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5CD9F" w14:textId="77777777" w:rsidR="00217417" w:rsidRPr="00217417" w:rsidRDefault="00217417" w:rsidP="00217417">
      <w:pPr>
        <w:pStyle w:val="Title"/>
        <w:rPr>
          <w:sz w:val="28"/>
          <w:szCs w:val="28"/>
        </w:rPr>
      </w:pPr>
      <w:bookmarkStart w:id="0" w:name="_GoBack"/>
      <w:bookmarkEnd w:id="0"/>
      <w:r w:rsidRPr="00217417">
        <w:rPr>
          <w:sz w:val="28"/>
          <w:szCs w:val="28"/>
        </w:rPr>
        <w:t>Terminal Evaluation Review form, GEF Evaluation Office, APR 201</w:t>
      </w:r>
      <w:r w:rsidR="00B20A23">
        <w:rPr>
          <w:sz w:val="28"/>
          <w:szCs w:val="28"/>
        </w:rPr>
        <w:t>4</w:t>
      </w:r>
    </w:p>
    <w:p w14:paraId="437E25DA" w14:textId="77777777"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76866AE1"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597EF4E9"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rPr>
              <w:t>Summary project data</w:t>
            </w:r>
          </w:p>
        </w:tc>
      </w:tr>
      <w:tr w:rsidR="007C3F0B" w:rsidRPr="007D0BE2" w14:paraId="0031EC4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1DBF2A95"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9D15EE2" w14:textId="77777777" w:rsidR="007C3F0B" w:rsidRPr="007D0BE2" w:rsidRDefault="006446EA"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2746</w:t>
            </w:r>
          </w:p>
        </w:tc>
      </w:tr>
      <w:tr w:rsidR="007C3F0B" w:rsidRPr="007D0BE2" w14:paraId="7C1DBE66"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16413F86"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02EBD37" w14:textId="77777777" w:rsidR="007C3F0B" w:rsidRPr="007D0BE2" w:rsidRDefault="006446EA"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3505</w:t>
            </w:r>
          </w:p>
        </w:tc>
      </w:tr>
      <w:tr w:rsidR="00A14365" w:rsidRPr="007D0BE2" w14:paraId="57B36F8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C1E5627"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2DBDCD3" w14:textId="77777777" w:rsidR="00A14365" w:rsidRPr="007D0BE2" w:rsidRDefault="00E26C4F"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GEF-4</w:t>
            </w:r>
          </w:p>
        </w:tc>
      </w:tr>
      <w:tr w:rsidR="007C3F0B" w:rsidRPr="007D0BE2" w14:paraId="53DCAFDE"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19C99470"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55047BB" w14:textId="77777777" w:rsidR="007C3F0B" w:rsidRPr="007D0BE2" w:rsidRDefault="006446EA"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UNDP</w:t>
            </w:r>
          </w:p>
        </w:tc>
      </w:tr>
      <w:tr w:rsidR="0040472B" w:rsidRPr="007D0BE2" w14:paraId="485E8F4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453B6CE"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A98F0E7" w14:textId="79708838" w:rsidR="0040472B" w:rsidRPr="007D0BE2" w:rsidRDefault="006446EA" w:rsidP="00FD56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Promoting Replication of Good Practices </w:t>
            </w:r>
            <w:r w:rsidR="00FD563E">
              <w:rPr>
                <w:rFonts w:ascii="Calibri" w:eastAsia="Times New Roman" w:hAnsi="Calibri" w:cstheme="minorHAnsi"/>
                <w:color w:val="000000"/>
                <w:sz w:val="18"/>
                <w:szCs w:val="18"/>
              </w:rPr>
              <w:t xml:space="preserve">for </w:t>
            </w:r>
            <w:r>
              <w:rPr>
                <w:rFonts w:ascii="Calibri" w:eastAsia="Times New Roman" w:hAnsi="Calibri" w:cstheme="minorHAnsi"/>
                <w:color w:val="000000"/>
                <w:sz w:val="18"/>
                <w:szCs w:val="18"/>
              </w:rPr>
              <w:t>Nutrient Reduction and Joint Collaboration in Central and Eastern Europe</w:t>
            </w:r>
          </w:p>
        </w:tc>
      </w:tr>
      <w:tr w:rsidR="0040472B" w:rsidRPr="007D0BE2" w14:paraId="5981A03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EAA996F"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1CD3BF3" w14:textId="77777777" w:rsidR="0040472B" w:rsidRPr="007D0BE2" w:rsidRDefault="006446EA"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Albania, Azerbaijan, Bosnia&amp; Herzegovina, Bulgaria, Croatia, Czech Republic, Georgia, Estonia, Hungary, I.R. Iran, Kazakhstan, Kyrgyzstan, Latvia, Lithuania, Moldova, Montenegro, Poland, Romania, Russian Federation, Serbia, Slovak Republic, Slovenia, Turkey, Turkmenistan, Ukraine.</w:t>
            </w:r>
          </w:p>
        </w:tc>
      </w:tr>
      <w:tr w:rsidR="0040472B" w:rsidRPr="007D0BE2" w14:paraId="3440381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CECF829"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9F918FC" w14:textId="029B2F0B" w:rsidR="0040472B" w:rsidRPr="007D0BE2" w:rsidRDefault="00C72A1C"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ECA</w:t>
            </w:r>
          </w:p>
        </w:tc>
      </w:tr>
      <w:tr w:rsidR="0040472B" w:rsidRPr="007D0BE2" w14:paraId="192EBF4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EB49B35"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1B2F35C" w14:textId="77777777" w:rsidR="0040472B" w:rsidRPr="007D0BE2" w:rsidRDefault="006446EA"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International Waters</w:t>
            </w:r>
          </w:p>
        </w:tc>
      </w:tr>
      <w:tr w:rsidR="0040472B" w:rsidRPr="007D0BE2" w14:paraId="4F39528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16BE83F"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3B9853E" w14:textId="77777777" w:rsidR="0040472B" w:rsidRPr="007D0BE2" w:rsidRDefault="006446EA"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GEF-4/ SP 2</w:t>
            </w:r>
          </w:p>
        </w:tc>
      </w:tr>
      <w:tr w:rsidR="0040472B" w:rsidRPr="007D0BE2" w14:paraId="6006802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51F9E97"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91404BD" w14:textId="77777777" w:rsidR="0040472B" w:rsidRPr="007D0BE2" w:rsidRDefault="00EA39E7"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Global Environment &amp;Technology Foundation (GETF)</w:t>
            </w:r>
          </w:p>
        </w:tc>
      </w:tr>
      <w:tr w:rsidR="00BA5521" w:rsidRPr="007D0BE2" w14:paraId="1C6B069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46E580A"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834609B" w14:textId="77777777" w:rsidR="00BA5521" w:rsidRPr="007D0BE2" w:rsidRDefault="00CD4F34" w:rsidP="00CD4F3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Lead executing agency</w:t>
            </w:r>
            <w:r w:rsidR="00BA5521">
              <w:rPr>
                <w:rFonts w:ascii="Calibri" w:eastAsia="Times New Roman" w:hAnsi="Calibri" w:cstheme="minorHAnsi"/>
                <w:color w:val="000000"/>
                <w:sz w:val="18"/>
                <w:szCs w:val="18"/>
              </w:rPr>
              <w:t xml:space="preserve"> </w:t>
            </w:r>
          </w:p>
        </w:tc>
      </w:tr>
      <w:tr w:rsidR="00BA5521" w:rsidRPr="007D0BE2" w14:paraId="21A8C23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0E847A9"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A120DCF" w14:textId="77777777" w:rsidR="00BA5521" w:rsidRPr="007D0BE2" w:rsidRDefault="00CD4F3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 financing Source</w:t>
            </w:r>
          </w:p>
        </w:tc>
      </w:tr>
      <w:tr w:rsidR="00BA5521" w:rsidRPr="007D0BE2" w14:paraId="1ADF39B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22FE0A4" w14:textId="77777777" w:rsidR="00BA5521" w:rsidRPr="007D0BE2" w:rsidRDefault="00BA5521" w:rsidP="004D4D01">
            <w:pPr>
              <w:rPr>
                <w:rFonts w:ascii="Calibri" w:eastAsia="Times New Roman" w:hAnsi="Calibri" w:cstheme="minorHAnsi"/>
                <w:color w:val="000000"/>
                <w:sz w:val="18"/>
                <w:szCs w:val="18"/>
              </w:rPr>
            </w:pPr>
            <w:r w:rsidRPr="007D0BE2">
              <w:rPr>
                <w:rFonts w:ascii="Calibri" w:hAnsi="Calibri"/>
                <w:sz w:val="18"/>
                <w:szCs w:val="18"/>
              </w:rPr>
              <w:t>CEO Endorsement</w:t>
            </w:r>
            <w:r>
              <w:rPr>
                <w:rFonts w:ascii="Calibri" w:hAnsi="Calibri"/>
                <w:sz w:val="18"/>
                <w:szCs w:val="18"/>
              </w:rPr>
              <w:t xml:space="preserve"> (FSP) </w:t>
            </w:r>
            <w:r w:rsidRPr="007D0BE2">
              <w:rPr>
                <w:rFonts w:ascii="Calibri" w:hAnsi="Calibri"/>
                <w:sz w:val="18"/>
                <w:szCs w:val="18"/>
              </w:rPr>
              <w:t>/Approval date</w:t>
            </w:r>
            <w:r>
              <w:rPr>
                <w:rFonts w:ascii="Calibri" w:hAnsi="Calibri"/>
                <w:sz w:val="18"/>
                <w:szCs w:val="18"/>
              </w:rPr>
              <w:t xml:space="preserv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1C9EEE9" w14:textId="77777777" w:rsidR="00BA5521" w:rsidRPr="007D0BE2" w:rsidRDefault="00793541"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05 August 2008</w:t>
            </w:r>
          </w:p>
        </w:tc>
      </w:tr>
      <w:tr w:rsidR="00BA5521" w:rsidRPr="007D0BE2" w14:paraId="25731DF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0B6BA04"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Effectiveness date</w:t>
            </w:r>
            <w:r>
              <w:rPr>
                <w:rFonts w:ascii="Calibri" w:eastAsia="Times New Roman" w:hAnsi="Calibri" w:cstheme="minorHAnsi"/>
                <w:color w:val="000000"/>
                <w:sz w:val="18"/>
                <w:szCs w:val="18"/>
              </w:rPr>
              <w:t xml:space="preserv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D0AE153" w14:textId="77777777" w:rsidR="00BA5521" w:rsidRPr="007D0BE2" w:rsidRDefault="00793541"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29 November</w:t>
            </w:r>
            <w:r w:rsidR="006446EA">
              <w:rPr>
                <w:rFonts w:ascii="Calibri" w:eastAsia="Times New Roman" w:hAnsi="Calibri" w:cstheme="minorHAnsi"/>
                <w:color w:val="000000"/>
                <w:sz w:val="18"/>
                <w:szCs w:val="18"/>
              </w:rPr>
              <w:t xml:space="preserve"> 2008</w:t>
            </w:r>
          </w:p>
        </w:tc>
      </w:tr>
      <w:tr w:rsidR="00BA5521" w:rsidRPr="007D0BE2" w14:paraId="651CAFF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C5293C8"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6FC38D3" w14:textId="77777777" w:rsidR="00BA5521" w:rsidRPr="007D0BE2" w:rsidRDefault="00793541"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31 March 2011</w:t>
            </w:r>
          </w:p>
        </w:tc>
      </w:tr>
      <w:tr w:rsidR="00BA5521" w:rsidRPr="007D0BE2" w14:paraId="7B19C60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897BB93"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003C142" w14:textId="6E0EC257" w:rsidR="00BA5521" w:rsidRPr="007D0BE2" w:rsidRDefault="00F27726"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March</w:t>
            </w:r>
            <w:r w:rsidR="00793541">
              <w:rPr>
                <w:rFonts w:ascii="Calibri" w:eastAsia="Times New Roman" w:hAnsi="Calibri" w:cstheme="minorHAnsi"/>
                <w:color w:val="000000"/>
                <w:sz w:val="18"/>
                <w:szCs w:val="18"/>
              </w:rPr>
              <w:t xml:space="preserve"> 201</w:t>
            </w:r>
            <w:r>
              <w:rPr>
                <w:rFonts w:ascii="Calibri" w:eastAsia="Times New Roman" w:hAnsi="Calibri" w:cstheme="minorHAnsi"/>
                <w:color w:val="000000"/>
                <w:sz w:val="18"/>
                <w:szCs w:val="18"/>
              </w:rPr>
              <w:t>1</w:t>
            </w:r>
          </w:p>
        </w:tc>
      </w:tr>
      <w:tr w:rsidR="00BA5521" w:rsidRPr="007D0BE2" w14:paraId="186C1456"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26D0196C"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color w:val="FFFFFF" w:themeColor="background1"/>
              </w:rPr>
              <w:t>Project Financing</w:t>
            </w:r>
          </w:p>
        </w:tc>
      </w:tr>
      <w:tr w:rsidR="00BA5521" w:rsidRPr="007D0BE2" w14:paraId="46E5233D"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554E164"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24576B02"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48B0EF9D"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79410E" w:rsidRPr="007D0BE2" w14:paraId="2B37762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5F85C6C1" w14:textId="77777777"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2A26D406" w14:textId="77777777"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2EA0B1F6" w14:textId="77777777" w:rsidR="0079410E" w:rsidRPr="007D0BE2" w:rsidRDefault="00E26C4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0.03</w:t>
            </w:r>
          </w:p>
        </w:tc>
        <w:tc>
          <w:tcPr>
            <w:tcW w:w="2700" w:type="dxa"/>
            <w:tcBorders>
              <w:top w:val="single" w:sz="4" w:space="0" w:color="auto"/>
              <w:left w:val="single" w:sz="4" w:space="0" w:color="auto"/>
              <w:bottom w:val="single" w:sz="4" w:space="0" w:color="auto"/>
              <w:right w:val="single" w:sz="4" w:space="0" w:color="auto"/>
            </w:tcBorders>
            <w:vAlign w:val="center"/>
          </w:tcPr>
          <w:p w14:paraId="65D804A7" w14:textId="77777777" w:rsidR="0079410E" w:rsidRPr="007D0BE2" w:rsidRDefault="00E26C4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0.03</w:t>
            </w:r>
          </w:p>
        </w:tc>
      </w:tr>
      <w:tr w:rsidR="0079410E" w:rsidRPr="007D0BE2" w14:paraId="6F5C025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09BC76D6" w14:textId="77777777"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1E2799DB" w14:textId="77777777"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70461D2E" w14:textId="6D26B311" w:rsidR="0079410E" w:rsidRPr="007D0BE2"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4CDA5782" w14:textId="77777777" w:rsidR="0079410E" w:rsidRPr="007D0BE2"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58743D6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7D2EE4B"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320C84B2" w14:textId="77777777" w:rsidR="00BA5521" w:rsidRPr="007D0BE2" w:rsidRDefault="00E26C4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0.975</w:t>
            </w:r>
          </w:p>
        </w:tc>
        <w:tc>
          <w:tcPr>
            <w:tcW w:w="2700" w:type="dxa"/>
            <w:tcBorders>
              <w:top w:val="single" w:sz="4" w:space="0" w:color="auto"/>
              <w:left w:val="single" w:sz="4" w:space="0" w:color="auto"/>
            </w:tcBorders>
            <w:vAlign w:val="center"/>
          </w:tcPr>
          <w:p w14:paraId="254B6527" w14:textId="77777777" w:rsidR="00BA5521" w:rsidRPr="007D0BE2" w:rsidRDefault="00E26C4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0.975</w:t>
            </w:r>
          </w:p>
        </w:tc>
      </w:tr>
      <w:tr w:rsidR="0038553A" w:rsidRPr="007D0BE2" w14:paraId="7CEC4CB6"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7E641651" w14:textId="77777777" w:rsidR="0038553A" w:rsidRPr="007D0BE2" w:rsidRDefault="0038553A"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60B91E54"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38CD74ED" w14:textId="77777777" w:rsidR="0038553A" w:rsidRPr="007D0BE2"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3D0B7DF7" w14:textId="77777777" w:rsidR="0038553A" w:rsidRPr="007D0BE2"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38553A" w:rsidRPr="007D0BE2" w14:paraId="41E9F09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1047D61C"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2EEDAA8B" w14:textId="77777777" w:rsidR="0038553A" w:rsidRPr="007D0BE2"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6EB45D13" w14:textId="77777777" w:rsidR="0038553A" w:rsidRPr="007D0BE2" w:rsidRDefault="00CD4F34"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0.15</w:t>
            </w:r>
          </w:p>
        </w:tc>
        <w:tc>
          <w:tcPr>
            <w:tcW w:w="2700" w:type="dxa"/>
            <w:tcBorders>
              <w:left w:val="single" w:sz="4" w:space="0" w:color="auto"/>
            </w:tcBorders>
            <w:vAlign w:val="center"/>
          </w:tcPr>
          <w:p w14:paraId="1863A627" w14:textId="77777777" w:rsidR="0038553A" w:rsidRPr="007D0BE2"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38553A" w:rsidRPr="007D0BE2" w14:paraId="7C11982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46BEF90A"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2764D2F8"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 multi- /bi-laterals</w:t>
            </w:r>
          </w:p>
        </w:tc>
        <w:tc>
          <w:tcPr>
            <w:tcW w:w="2610" w:type="dxa"/>
            <w:tcBorders>
              <w:top w:val="single" w:sz="4" w:space="0" w:color="auto"/>
              <w:left w:val="single" w:sz="4" w:space="0" w:color="auto"/>
              <w:bottom w:val="single" w:sz="4" w:space="0" w:color="auto"/>
              <w:right w:val="single" w:sz="4" w:space="0" w:color="auto"/>
            </w:tcBorders>
            <w:noWrap/>
            <w:vAlign w:val="center"/>
          </w:tcPr>
          <w:p w14:paraId="61FE41DE" w14:textId="77777777" w:rsidR="0038553A" w:rsidRPr="007D0BE2" w:rsidRDefault="00CD4F34"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0.52</w:t>
            </w:r>
          </w:p>
        </w:tc>
        <w:tc>
          <w:tcPr>
            <w:tcW w:w="2700" w:type="dxa"/>
            <w:tcBorders>
              <w:left w:val="single" w:sz="4" w:space="0" w:color="auto"/>
            </w:tcBorders>
            <w:vAlign w:val="center"/>
          </w:tcPr>
          <w:p w14:paraId="7231D051" w14:textId="77777777" w:rsidR="0038553A" w:rsidRPr="007D0BE2"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38553A" w:rsidRPr="007D0BE2" w14:paraId="6AC9E2AB"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4A06089F"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6485A57C" w14:textId="77777777" w:rsidR="0038553A"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w:t>
            </w:r>
          </w:p>
        </w:tc>
        <w:tc>
          <w:tcPr>
            <w:tcW w:w="2610" w:type="dxa"/>
            <w:tcBorders>
              <w:top w:val="single" w:sz="4" w:space="0" w:color="auto"/>
              <w:left w:val="single" w:sz="4" w:space="0" w:color="auto"/>
              <w:bottom w:val="single" w:sz="4" w:space="0" w:color="auto"/>
              <w:right w:val="single" w:sz="4" w:space="0" w:color="auto"/>
            </w:tcBorders>
            <w:noWrap/>
            <w:vAlign w:val="center"/>
          </w:tcPr>
          <w:p w14:paraId="762A6B32" w14:textId="77777777" w:rsidR="0038553A" w:rsidRPr="007D0BE2" w:rsidRDefault="00CD4F34"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0.3</w:t>
            </w:r>
          </w:p>
        </w:tc>
        <w:tc>
          <w:tcPr>
            <w:tcW w:w="2700" w:type="dxa"/>
            <w:tcBorders>
              <w:left w:val="single" w:sz="4" w:space="0" w:color="auto"/>
            </w:tcBorders>
            <w:vAlign w:val="center"/>
          </w:tcPr>
          <w:p w14:paraId="545F659C" w14:textId="77777777" w:rsidR="0038553A" w:rsidRPr="007D0BE2"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38553A" w:rsidRPr="007D0BE2" w14:paraId="7A265A52"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5E09A185"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32865EA2" w14:textId="77777777" w:rsidR="0038553A"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NGOs/CSOs</w:t>
            </w:r>
          </w:p>
        </w:tc>
        <w:tc>
          <w:tcPr>
            <w:tcW w:w="2610" w:type="dxa"/>
            <w:tcBorders>
              <w:top w:val="single" w:sz="4" w:space="0" w:color="auto"/>
              <w:left w:val="single" w:sz="4" w:space="0" w:color="auto"/>
              <w:bottom w:val="single" w:sz="4" w:space="0" w:color="auto"/>
              <w:right w:val="single" w:sz="4" w:space="0" w:color="auto"/>
            </w:tcBorders>
            <w:noWrap/>
            <w:vAlign w:val="center"/>
          </w:tcPr>
          <w:p w14:paraId="67E9353B" w14:textId="77777777" w:rsidR="0038553A" w:rsidRPr="007D0BE2" w:rsidRDefault="00CD4F34"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0.43</w:t>
            </w:r>
          </w:p>
        </w:tc>
        <w:tc>
          <w:tcPr>
            <w:tcW w:w="2700" w:type="dxa"/>
            <w:tcBorders>
              <w:left w:val="single" w:sz="4" w:space="0" w:color="auto"/>
            </w:tcBorders>
            <w:vAlign w:val="center"/>
          </w:tcPr>
          <w:p w14:paraId="78AC041A" w14:textId="77777777" w:rsidR="0038553A" w:rsidRPr="007D0BE2"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09634570"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C63E5D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0F74374E" w14:textId="1140BFEB" w:rsidR="00BA5521" w:rsidRPr="007D0BE2" w:rsidRDefault="00E26C4F" w:rsidP="00286BF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1.0</w:t>
            </w:r>
          </w:p>
        </w:tc>
        <w:tc>
          <w:tcPr>
            <w:tcW w:w="2700" w:type="dxa"/>
            <w:tcBorders>
              <w:left w:val="single" w:sz="4" w:space="0" w:color="auto"/>
            </w:tcBorders>
            <w:vAlign w:val="center"/>
          </w:tcPr>
          <w:p w14:paraId="787A5D89" w14:textId="77777777" w:rsidR="00BA5521" w:rsidRPr="007D0BE2" w:rsidRDefault="00E26C4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1.0</w:t>
            </w:r>
          </w:p>
        </w:tc>
      </w:tr>
      <w:tr w:rsidR="00763C1B" w:rsidRPr="007D0BE2" w14:paraId="3A285A7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06B861F" w14:textId="77777777" w:rsidR="00763C1B" w:rsidRPr="007D0BE2" w:rsidRDefault="00763C1B"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w:t>
            </w:r>
            <w:r w:rsidR="0057385E">
              <w:rPr>
                <w:rFonts w:ascii="Calibri" w:eastAsia="Times New Roman" w:hAnsi="Calibri" w:cstheme="minorHAnsi"/>
                <w:color w:val="000000"/>
                <w:sz w:val="18"/>
                <w:szCs w:val="18"/>
              </w:rPr>
              <w:t>f</w:t>
            </w:r>
            <w:r>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78052215" w14:textId="77777777" w:rsidR="00763C1B" w:rsidRPr="007D0BE2" w:rsidRDefault="00286BF0" w:rsidP="00286B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w:t>
            </w:r>
            <w:r w:rsidR="00CD4F34" w:rsidRPr="00CD4F34">
              <w:rPr>
                <w:rFonts w:ascii="Calibri" w:eastAsia="Times New Roman" w:hAnsi="Calibri" w:cstheme="minorHAnsi"/>
                <w:color w:val="000000"/>
                <w:sz w:val="18"/>
                <w:szCs w:val="18"/>
              </w:rPr>
              <w:t>3</w:t>
            </w:r>
          </w:p>
        </w:tc>
        <w:tc>
          <w:tcPr>
            <w:tcW w:w="2700" w:type="dxa"/>
            <w:tcBorders>
              <w:left w:val="single" w:sz="4" w:space="0" w:color="auto"/>
            </w:tcBorders>
            <w:vAlign w:val="center"/>
          </w:tcPr>
          <w:p w14:paraId="77F98320" w14:textId="47427DE3" w:rsidR="00763C1B" w:rsidRPr="007D0BE2" w:rsidRDefault="004C2B52"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 U/A</w:t>
            </w:r>
          </w:p>
        </w:tc>
      </w:tr>
      <w:tr w:rsidR="00BA5521" w:rsidRPr="007D0BE2" w14:paraId="375194F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9223F3F"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71E13571"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67CC1CEB" w14:textId="77777777" w:rsidR="00BA5521" w:rsidRPr="007D0BE2" w:rsidRDefault="00286BF0" w:rsidP="00286BF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w:t>
            </w:r>
            <w:r w:rsidRPr="00286BF0">
              <w:rPr>
                <w:rFonts w:ascii="Calibri" w:eastAsia="Times New Roman" w:hAnsi="Calibri" w:cstheme="minorHAnsi"/>
                <w:color w:val="000000"/>
                <w:sz w:val="18"/>
                <w:szCs w:val="18"/>
              </w:rPr>
              <w:t>3</w:t>
            </w:r>
          </w:p>
        </w:tc>
        <w:tc>
          <w:tcPr>
            <w:tcW w:w="2700" w:type="dxa"/>
            <w:tcBorders>
              <w:left w:val="single" w:sz="4" w:space="0" w:color="auto"/>
            </w:tcBorders>
            <w:vAlign w:val="center"/>
          </w:tcPr>
          <w:p w14:paraId="1C7E60BB" w14:textId="5CE45816" w:rsidR="00BA5521" w:rsidRPr="007D0BE2" w:rsidRDefault="004C2B52"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U/A</w:t>
            </w:r>
          </w:p>
        </w:tc>
      </w:tr>
      <w:tr w:rsidR="00BA5521" w:rsidRPr="007D0BE2" w14:paraId="1B451DC5"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4FCD8A72" w14:textId="77777777" w:rsidR="00BA5521" w:rsidRPr="007D0BE2" w:rsidRDefault="00BA5521" w:rsidP="005C191D">
            <w:pPr>
              <w:pStyle w:val="NoSpacing"/>
              <w:jc w:val="center"/>
              <w:rPr>
                <w:rFonts w:ascii="Calibri" w:hAnsi="Calibri"/>
                <w:b w:val="0"/>
              </w:rPr>
            </w:pPr>
            <w:r w:rsidRPr="007D0BE2">
              <w:rPr>
                <w:rFonts w:ascii="Calibri" w:eastAsia="Times New Roman" w:hAnsi="Calibri" w:cstheme="minorHAnsi"/>
                <w:color w:val="FFFFFF" w:themeColor="background1"/>
              </w:rPr>
              <w:t>Terminal evaluation/review information</w:t>
            </w:r>
          </w:p>
        </w:tc>
      </w:tr>
      <w:tr w:rsidR="00BA5521" w:rsidRPr="007D0BE2" w14:paraId="3F5CABBB"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593C6B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13A29A6" w14:textId="6D991A50" w:rsidR="00BA5521" w:rsidRPr="007D0BE2" w:rsidRDefault="005363E4"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2011</w:t>
            </w:r>
          </w:p>
        </w:tc>
      </w:tr>
      <w:tr w:rsidR="00BA5521" w:rsidRPr="007D0BE2" w14:paraId="00E4E16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1350A63"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submission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ADC4F8E" w14:textId="77777777" w:rsidR="00BA5521" w:rsidRPr="007D0BE2" w:rsidRDefault="008D30D2"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July 2011</w:t>
            </w:r>
          </w:p>
        </w:tc>
      </w:tr>
      <w:tr w:rsidR="00BA5521" w:rsidRPr="0027782F" w14:paraId="0D03C84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7A774E5"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E3C5E8B" w14:textId="77777777" w:rsidR="00BA5521" w:rsidRPr="0027782F" w:rsidRDefault="00286BF0"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lang w:val="es-419"/>
              </w:rPr>
            </w:pPr>
            <w:r w:rsidRPr="0027782F">
              <w:rPr>
                <w:rFonts w:ascii="Calibri" w:eastAsia="Times New Roman" w:hAnsi="Calibri" w:cstheme="minorHAnsi"/>
                <w:color w:val="000000"/>
                <w:sz w:val="18"/>
                <w:szCs w:val="18"/>
                <w:lang w:val="es-419"/>
              </w:rPr>
              <w:t>Sean J. Burke, Bernardita Cardenas</w:t>
            </w:r>
          </w:p>
        </w:tc>
      </w:tr>
      <w:tr w:rsidR="00BA5521" w:rsidRPr="007D0BE2" w14:paraId="0D0720A3"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526EDBC"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17B2A01" w14:textId="77777777" w:rsidR="00BA5521" w:rsidRPr="007D0BE2" w:rsidRDefault="00BA552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7E59CBC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57BD08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9FA9CAF" w14:textId="77777777" w:rsidR="00BA5521" w:rsidRPr="007D0BE2" w:rsidRDefault="008D30D2"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Michelle Peña Nelz</w:t>
            </w:r>
          </w:p>
        </w:tc>
      </w:tr>
      <w:tr w:rsidR="00BA5521" w:rsidRPr="007D0BE2" w14:paraId="480959F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5EB61D7"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peer review by (if GEF 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2155923" w14:textId="77777777" w:rsidR="00BA5521" w:rsidRPr="007D0BE2" w:rsidRDefault="008D30D2"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Joshua Schneck</w:t>
            </w:r>
          </w:p>
        </w:tc>
      </w:tr>
    </w:tbl>
    <w:p w14:paraId="704571E6" w14:textId="77777777" w:rsidR="00D97F19" w:rsidRPr="00E54D5C" w:rsidRDefault="00F7719A">
      <w:pPr>
        <w:pStyle w:val="Heading1"/>
      </w:pPr>
      <w:r>
        <w:lastRenderedPageBreak/>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28B108DE"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332F8A74"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41DF4E65"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2ECF52C2"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14:paraId="62A69CB0"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2CD5FF54"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9025FB">
              <w:rPr>
                <w:sz w:val="18"/>
                <w:szCs w:val="18"/>
              </w:rPr>
              <w:t xml:space="preserve">EO </w:t>
            </w:r>
            <w:r w:rsidRPr="00291487">
              <w:rPr>
                <w:sz w:val="18"/>
                <w:szCs w:val="18"/>
              </w:rPr>
              <w:t>Review</w:t>
            </w:r>
          </w:p>
        </w:tc>
      </w:tr>
      <w:tr w:rsidR="009025FB" w:rsidRPr="00291487" w14:paraId="47C5C682"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AADEDD6" w14:textId="77777777" w:rsidR="00291487" w:rsidRPr="009025FB" w:rsidRDefault="00291487"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6D8A05A1" w14:textId="7DB05F17" w:rsidR="00291487" w:rsidRPr="00291487" w:rsidRDefault="006B714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6306D7FD" w14:textId="1EFF5DDE" w:rsidR="00291487" w:rsidRPr="00291487" w:rsidRDefault="00EA471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1898F156" w14:textId="46F45D79" w:rsidR="00291487" w:rsidRPr="00291487" w:rsidRDefault="00EA471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3E6F1D59" w14:textId="2738DC39" w:rsidR="00291487" w:rsidRPr="00291487" w:rsidRDefault="00EA471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9025FB" w:rsidRPr="00291487" w14:paraId="2CDF790A"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95D47A4" w14:textId="77777777" w:rsidR="00291487" w:rsidRPr="009025FB" w:rsidRDefault="00291487"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tcPr>
          <w:p w14:paraId="5A920CF5" w14:textId="60B67241" w:rsidR="00291487" w:rsidRPr="00291487" w:rsidRDefault="006B7147"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3007FD8E" w14:textId="45C0DE92" w:rsidR="00291487" w:rsidRPr="00291487" w:rsidRDefault="00EA471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3D96EF4D" w14:textId="5BAD3C48" w:rsidR="00291487" w:rsidRPr="00291487" w:rsidRDefault="00EA471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62673815" w14:textId="3F14300A" w:rsidR="00291487" w:rsidRPr="00291487" w:rsidRDefault="00EE6047"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w:t>
            </w:r>
          </w:p>
        </w:tc>
      </w:tr>
      <w:tr w:rsidR="009025FB" w:rsidRPr="00291487" w14:paraId="7A5C5828"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4332E55" w14:textId="77777777" w:rsidR="00291487" w:rsidRPr="009025FB" w:rsidRDefault="00351C6D" w:rsidP="00291487">
            <w:pPr>
              <w:rPr>
                <w:color w:val="000000"/>
                <w:sz w:val="18"/>
                <w:szCs w:val="18"/>
              </w:rPr>
            </w:pPr>
            <w:r>
              <w:rPr>
                <w:color w:val="000000"/>
                <w:sz w:val="18"/>
                <w:szCs w:val="18"/>
              </w:rPr>
              <w:t>M&amp;E</w:t>
            </w:r>
            <w:r w:rsidR="006502E5">
              <w:rPr>
                <w:color w:val="000000"/>
                <w:sz w:val="18"/>
                <w:szCs w:val="18"/>
              </w:rPr>
              <w:t xml:space="preserve"> Design</w:t>
            </w:r>
          </w:p>
        </w:tc>
        <w:tc>
          <w:tcPr>
            <w:tcW w:w="1350" w:type="dxa"/>
            <w:tcBorders>
              <w:top w:val="single" w:sz="4" w:space="0" w:color="auto"/>
              <w:left w:val="single" w:sz="4" w:space="0" w:color="auto"/>
              <w:bottom w:val="single" w:sz="4" w:space="0" w:color="auto"/>
              <w:right w:val="single" w:sz="4" w:space="0" w:color="auto"/>
            </w:tcBorders>
          </w:tcPr>
          <w:p w14:paraId="0A85211D" w14:textId="015079D8" w:rsidR="00291487" w:rsidRPr="00291487" w:rsidRDefault="00EA471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30540BC9" w14:textId="1327677A" w:rsidR="00291487" w:rsidRPr="00291487" w:rsidRDefault="00EA471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2354E4FB" w14:textId="1FEE764B" w:rsidR="00291487" w:rsidRPr="00291487" w:rsidRDefault="00EA471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0AE12530" w14:textId="4E67BD8B" w:rsidR="00291487" w:rsidRPr="00291487" w:rsidRDefault="00845D4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r w:rsidR="006502E5" w:rsidRPr="00291487" w14:paraId="2BA610BB"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3AEFFCD" w14:textId="77777777" w:rsidR="006502E5" w:rsidRPr="009025FB" w:rsidRDefault="00351C6D" w:rsidP="006502E5">
            <w:pPr>
              <w:rPr>
                <w:color w:val="000000"/>
                <w:sz w:val="18"/>
                <w:szCs w:val="18"/>
              </w:rPr>
            </w:pPr>
            <w:r>
              <w:rPr>
                <w:color w:val="000000"/>
                <w:sz w:val="18"/>
                <w:szCs w:val="18"/>
              </w:rPr>
              <w:t>M&amp;E</w:t>
            </w:r>
            <w:r w:rsidR="006502E5">
              <w:rPr>
                <w:color w:val="000000"/>
                <w:sz w:val="18"/>
                <w:szCs w:val="18"/>
              </w:rPr>
              <w:t xml:space="preserve"> Implementation</w:t>
            </w:r>
          </w:p>
        </w:tc>
        <w:tc>
          <w:tcPr>
            <w:tcW w:w="1350" w:type="dxa"/>
            <w:tcBorders>
              <w:top w:val="single" w:sz="4" w:space="0" w:color="auto"/>
              <w:left w:val="single" w:sz="4" w:space="0" w:color="auto"/>
              <w:bottom w:val="single" w:sz="4" w:space="0" w:color="auto"/>
              <w:right w:val="single" w:sz="4" w:space="0" w:color="auto"/>
            </w:tcBorders>
          </w:tcPr>
          <w:p w14:paraId="2B982C52" w14:textId="075EF5DD" w:rsidR="006502E5" w:rsidRPr="00291487" w:rsidRDefault="00EA471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07E91F42" w14:textId="2D9B663C" w:rsidR="006502E5" w:rsidRPr="00291487" w:rsidRDefault="00FF29F9"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1560D5CF" w14:textId="1A3CD073" w:rsidR="006502E5" w:rsidRPr="00291487" w:rsidRDefault="00EA471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3EF72DD5" w14:textId="6F969635" w:rsidR="006502E5" w:rsidRPr="00291487" w:rsidRDefault="00825E69"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w:t>
            </w:r>
            <w:r w:rsidR="00EA4716">
              <w:rPr>
                <w:color w:val="000000"/>
                <w:sz w:val="18"/>
                <w:szCs w:val="18"/>
              </w:rPr>
              <w:t>S</w:t>
            </w:r>
          </w:p>
        </w:tc>
      </w:tr>
      <w:tr w:rsidR="009025FB" w:rsidRPr="00291487" w14:paraId="301A5FEA"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CDCB34C" w14:textId="77777777" w:rsidR="00291487" w:rsidRPr="009025FB" w:rsidRDefault="00291487"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tcPr>
          <w:p w14:paraId="59D72A86" w14:textId="2934CECC" w:rsidR="00291487" w:rsidRPr="00291487" w:rsidRDefault="006B714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2E872E33" w14:textId="3DADC651" w:rsidR="00291487" w:rsidRPr="00291487" w:rsidRDefault="00FF29F9"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13041400" w14:textId="2A157DE8" w:rsidR="00291487" w:rsidRPr="00291487" w:rsidRDefault="00EA471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1E8003B1" w14:textId="325E8420" w:rsidR="00291487" w:rsidRPr="00291487" w:rsidRDefault="00EA471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A6564E" w:rsidRPr="00291487" w14:paraId="6D158B14"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EDE59D6" w14:textId="77777777" w:rsidR="00A6564E" w:rsidRPr="009025FB" w:rsidRDefault="00A6564E"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tcPr>
          <w:p w14:paraId="33297209" w14:textId="7969674F" w:rsidR="00A6564E" w:rsidRPr="00291487" w:rsidRDefault="00EA471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58089085" w14:textId="4E9DE5F2" w:rsidR="00A6564E" w:rsidRPr="00291487" w:rsidRDefault="00FF29F9"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5B9D2292" w14:textId="158BF49E" w:rsidR="00A6564E" w:rsidRPr="00291487" w:rsidRDefault="00EA471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3644163A" w14:textId="6EFF7BF1" w:rsidR="00A6564E" w:rsidRPr="00291487" w:rsidRDefault="00EA471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r>
      <w:tr w:rsidR="009025FB" w:rsidRPr="00291487" w14:paraId="1A8462DF"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6E858090" w14:textId="77777777" w:rsidR="00291487" w:rsidRPr="009025FB" w:rsidRDefault="00291487" w:rsidP="00291487">
            <w:pPr>
              <w:rPr>
                <w:color w:val="000000"/>
                <w:sz w:val="18"/>
                <w:szCs w:val="18"/>
              </w:rPr>
            </w:pPr>
            <w:r w:rsidRPr="009025FB">
              <w:rPr>
                <w:color w:val="000000"/>
                <w:sz w:val="18"/>
                <w:szCs w:val="18"/>
              </w:rPr>
              <w:t xml:space="preserve">Quality of the </w:t>
            </w:r>
            <w:r w:rsidR="00BA5521">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tcPr>
          <w:p w14:paraId="12A20FB9" w14:textId="619870D1" w:rsidR="00291487" w:rsidRPr="00291487" w:rsidRDefault="00EA471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6E41E5F9" w14:textId="302CEFB2" w:rsidR="00291487" w:rsidRPr="00291487" w:rsidRDefault="00EA471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71208361" w14:textId="353401E1" w:rsidR="00291487" w:rsidRPr="00291487" w:rsidRDefault="00EA471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075D1F3F" w14:textId="6C753C23" w:rsidR="00291487" w:rsidRPr="00291487" w:rsidRDefault="00D8450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w:t>
            </w:r>
            <w:r w:rsidR="00FF29F9">
              <w:rPr>
                <w:color w:val="000000"/>
                <w:sz w:val="18"/>
                <w:szCs w:val="18"/>
              </w:rPr>
              <w:t>S</w:t>
            </w:r>
          </w:p>
        </w:tc>
      </w:tr>
    </w:tbl>
    <w:p w14:paraId="63D1B437" w14:textId="77777777" w:rsidR="00E54D5C" w:rsidRPr="00D22F3B" w:rsidRDefault="00E968A4" w:rsidP="00D22F3B">
      <w:pPr>
        <w:pStyle w:val="Heading1"/>
      </w:pPr>
      <w:r>
        <w:t xml:space="preserve">3. </w:t>
      </w:r>
      <w:r w:rsidR="00D62957" w:rsidRPr="00E54D5C">
        <w:t>Project Objectives</w:t>
      </w:r>
    </w:p>
    <w:p w14:paraId="7EFB8C73" w14:textId="77777777" w:rsidR="00422ED6" w:rsidRDefault="000D3731" w:rsidP="00422ED6">
      <w:pPr>
        <w:pStyle w:val="Heading2"/>
      </w:pPr>
      <w:r>
        <w:t xml:space="preserve">3.1 </w:t>
      </w:r>
      <w:r w:rsidR="00D62957" w:rsidRPr="00425A89">
        <w:t>Global Environmental Objectives</w:t>
      </w:r>
      <w:r>
        <w:t xml:space="preserve"> of the project: </w:t>
      </w:r>
    </w:p>
    <w:p w14:paraId="13481C41" w14:textId="459BE53A" w:rsidR="00286BF0" w:rsidRPr="00286BF0" w:rsidRDefault="00482A33" w:rsidP="00627072">
      <w:pPr>
        <w:jc w:val="both"/>
      </w:pPr>
      <w:r>
        <w:t>The Global Environmental Objective of this project, as stated in the TE, is</w:t>
      </w:r>
      <w:r w:rsidR="00AB7C3D" w:rsidRPr="007D0C70">
        <w:t xml:space="preserve"> </w:t>
      </w:r>
      <w:r w:rsidR="003C531E">
        <w:t>to reduce nutrient pollution and prevent de-oxygenated “dead zones” in international waterways and oceans or so called trans-boundary waters</w:t>
      </w:r>
      <w:r w:rsidR="007A3280">
        <w:t xml:space="preserve"> (TE, p.13). According to the TE, more than 500 “dead zones” exist worldwide</w:t>
      </w:r>
      <w:r w:rsidR="00DB1253">
        <w:t xml:space="preserve"> and their negative impacts include </w:t>
      </w:r>
      <w:r w:rsidR="00AB7C3D">
        <w:t>harmful</w:t>
      </w:r>
      <w:r w:rsidR="00DB1253">
        <w:t xml:space="preserve"> levels of algae and aquatic vegetation, increased treatment of cost of drinking water, imbalance of aquatic species, and shifts in the structure of the food chain.</w:t>
      </w:r>
      <w:r w:rsidR="007A3280">
        <w:t xml:space="preserve"> </w:t>
      </w:r>
      <w:r w:rsidR="003C531E">
        <w:t>Target</w:t>
      </w:r>
      <w:r>
        <w:t>ed</w:t>
      </w:r>
      <w:r w:rsidR="003C531E">
        <w:t xml:space="preserve"> regions are Central and Eastern Europe</w:t>
      </w:r>
      <w:r w:rsidR="00DB1253">
        <w:t xml:space="preserve"> (CEE)</w:t>
      </w:r>
      <w:r w:rsidR="003C531E">
        <w:t>, Caucasus and Central Asia</w:t>
      </w:r>
      <w:r>
        <w:t>.</w:t>
      </w:r>
      <w:r w:rsidR="00DB1253">
        <w:t xml:space="preserve"> </w:t>
      </w:r>
      <w:r>
        <w:t>The</w:t>
      </w:r>
      <w:r w:rsidR="00DB1253">
        <w:t xml:space="preserve"> CEE region is considered </w:t>
      </w:r>
      <w:r>
        <w:t>to be a leader</w:t>
      </w:r>
      <w:r w:rsidR="00DB1253">
        <w:t xml:space="preserve"> in </w:t>
      </w:r>
      <w:r>
        <w:t xml:space="preserve">the implementation of </w:t>
      </w:r>
      <w:r w:rsidR="00DB1253">
        <w:t xml:space="preserve">nutrient reduction best practices. </w:t>
      </w:r>
    </w:p>
    <w:p w14:paraId="5070A27C" w14:textId="77777777" w:rsidR="00422ED6" w:rsidRDefault="000D3731" w:rsidP="00422ED6">
      <w:pPr>
        <w:pStyle w:val="Heading2"/>
      </w:pPr>
      <w:r>
        <w:t xml:space="preserve">3.2 </w:t>
      </w:r>
      <w:r w:rsidR="00E54D5C" w:rsidRPr="00425A89">
        <w:t>Development Objectives</w:t>
      </w:r>
      <w:r w:rsidR="00E54D5C" w:rsidRPr="00E54D5C">
        <w:t xml:space="preserve"> of the project:</w:t>
      </w:r>
    </w:p>
    <w:p w14:paraId="0C1643B8" w14:textId="7B73A5D6" w:rsidR="001A533B" w:rsidRDefault="004062CC" w:rsidP="001A533B">
      <w:r>
        <w:t>The overall goal of the project, as stated in the Request for CEO Approval (to be henceforth referred to as the Project Document (PD) in this TE review), is to “accelerate the replication of successful nutrient reduction projects by identifying best nutrient reduction practices, demonstrate successful replication strategies, and to disseminate and promote best practices and replication strategies to practitioners and decision makers” (PD, p.9).</w:t>
      </w:r>
      <w:r>
        <w:t xml:space="preserve"> The PD defines the following </w:t>
      </w:r>
      <w:r w:rsidR="001A533B">
        <w:t>3 development objectives</w:t>
      </w:r>
      <w:r>
        <w:t>, by which the project will achieve its stated goal</w:t>
      </w:r>
      <w:r w:rsidR="001A533B">
        <w:t>:</w:t>
      </w:r>
    </w:p>
    <w:p w14:paraId="4D30A70F" w14:textId="18C3C1A5" w:rsidR="001A533B" w:rsidRDefault="001A533B" w:rsidP="00406725">
      <w:pPr>
        <w:pStyle w:val="ListParagraph"/>
        <w:numPr>
          <w:ilvl w:val="0"/>
          <w:numId w:val="8"/>
        </w:numPr>
      </w:pPr>
      <w:r>
        <w:t>To consolidate, inventory of and critically review/ assess the achievements</w:t>
      </w:r>
      <w:r w:rsidR="00406725">
        <w:t>/ experiences (in nutrient and multi-country cooperation) of GEF’s action in the CEE and EECCA regions (Black Sea- Danube, Baltic Sea, Caspian Sea) to document the good practices and provide recommendation for their replication and scaling up.</w:t>
      </w:r>
    </w:p>
    <w:p w14:paraId="5E85D3A6" w14:textId="77777777" w:rsidR="00406725" w:rsidRDefault="00406725" w:rsidP="00406725">
      <w:pPr>
        <w:pStyle w:val="ListParagraph"/>
        <w:numPr>
          <w:ilvl w:val="0"/>
          <w:numId w:val="8"/>
        </w:numPr>
      </w:pPr>
      <w:r>
        <w:t>To identify and demonstrate successful replication strategies</w:t>
      </w:r>
    </w:p>
    <w:p w14:paraId="4F15620B" w14:textId="77777777" w:rsidR="00406725" w:rsidRDefault="00406725" w:rsidP="00406725">
      <w:pPr>
        <w:pStyle w:val="ListParagraph"/>
        <w:numPr>
          <w:ilvl w:val="0"/>
          <w:numId w:val="8"/>
        </w:numPr>
      </w:pPr>
      <w:r>
        <w:t>To enhance or “extrapolate” replication of good nutrient reduction practices within the region and beyond (such as the Mediterranean and East Asian Seas), as well as their mainstreaming into multi- and bi-lateral donors’ strategies and programs.</w:t>
      </w:r>
    </w:p>
    <w:p w14:paraId="025F1891" w14:textId="77777777" w:rsidR="00406725" w:rsidRDefault="00406725" w:rsidP="00406725">
      <w:pPr>
        <w:ind w:left="360"/>
      </w:pPr>
      <w:r>
        <w:t>The expected project results corresponding to each of the 3 development objectives above are:</w:t>
      </w:r>
    </w:p>
    <w:p w14:paraId="153E1A9E" w14:textId="77777777" w:rsidR="00406725" w:rsidRDefault="00406725" w:rsidP="00406725">
      <w:pPr>
        <w:pStyle w:val="ListParagraph"/>
        <w:numPr>
          <w:ilvl w:val="0"/>
          <w:numId w:val="9"/>
        </w:numPr>
      </w:pPr>
      <w:r>
        <w:t xml:space="preserve">Clearer understanding of good practices and lessons learned experiences in nutrient reduction projects (enhancing knowledge and communication strategies among </w:t>
      </w:r>
      <w:r w:rsidR="005239D0">
        <w:t>practitioners</w:t>
      </w:r>
      <w:r>
        <w:t>)</w:t>
      </w:r>
    </w:p>
    <w:p w14:paraId="0A8FCBC3" w14:textId="77777777" w:rsidR="00406725" w:rsidRDefault="00406725" w:rsidP="00406725">
      <w:pPr>
        <w:pStyle w:val="ListParagraph"/>
        <w:numPr>
          <w:ilvl w:val="0"/>
          <w:numId w:val="9"/>
        </w:numPr>
      </w:pPr>
      <w:r>
        <w:t>Better understanding of the needs of project practitioners and stakeholders in regards to nutrient</w:t>
      </w:r>
      <w:r w:rsidR="005239D0">
        <w:t xml:space="preserve"> reduction expertise  needs and means of access to information (enhancing efficiency and effectiveness of knowledge transfer)</w:t>
      </w:r>
    </w:p>
    <w:p w14:paraId="4988B056" w14:textId="77777777" w:rsidR="005239D0" w:rsidRDefault="005239D0" w:rsidP="00406725">
      <w:pPr>
        <w:pStyle w:val="ListParagraph"/>
        <w:numPr>
          <w:ilvl w:val="0"/>
          <w:numId w:val="9"/>
        </w:numPr>
      </w:pPr>
      <w:r>
        <w:t>Better understanding of the nature of criteria for and categories of good nutrient reduction experiences (enhancing understanding among practitioners and decision makers)</w:t>
      </w:r>
    </w:p>
    <w:p w14:paraId="1BE1AB6F" w14:textId="77777777" w:rsidR="005239D0" w:rsidRDefault="005239D0" w:rsidP="00406725">
      <w:pPr>
        <w:pStyle w:val="ListParagraph"/>
        <w:numPr>
          <w:ilvl w:val="0"/>
          <w:numId w:val="9"/>
        </w:numPr>
      </w:pPr>
      <w:r>
        <w:t>Nutrient reduction promotion experiences inform GEF IWC5</w:t>
      </w:r>
    </w:p>
    <w:p w14:paraId="3B7A9326" w14:textId="77777777" w:rsidR="005239D0" w:rsidRPr="001A533B" w:rsidRDefault="005239D0" w:rsidP="00406725">
      <w:pPr>
        <w:pStyle w:val="ListParagraph"/>
        <w:numPr>
          <w:ilvl w:val="0"/>
          <w:numId w:val="9"/>
        </w:numPr>
      </w:pPr>
      <w:r>
        <w:t>Increased awareness among the region’s population and sectors about the importance and impact of nutrient reduction practices</w:t>
      </w:r>
    </w:p>
    <w:p w14:paraId="686BD9C4" w14:textId="77777777" w:rsidR="00422ED6" w:rsidRDefault="000D3731" w:rsidP="00614163">
      <w:pPr>
        <w:pStyle w:val="Heading2"/>
      </w:pPr>
      <w:r>
        <w:t xml:space="preserve">3.3 </w:t>
      </w:r>
      <w:r w:rsidRPr="007E61B6">
        <w:t xml:space="preserve">Were there any </w:t>
      </w:r>
      <w:r w:rsidRPr="007E61B6">
        <w:rPr>
          <w:b/>
        </w:rPr>
        <w:t>c</w:t>
      </w:r>
      <w:r w:rsidR="0098302E" w:rsidRPr="007E61B6">
        <w:rPr>
          <w:b/>
        </w:rPr>
        <w:t>hanges</w:t>
      </w:r>
      <w:r w:rsidR="0098302E" w:rsidRPr="007E61B6">
        <w:t xml:space="preserve"> in the Global Environmental Objectives, Development Objectives, or other activities</w:t>
      </w:r>
      <w:r w:rsidRPr="007E61B6">
        <w:t xml:space="preserve"> during implementation?</w:t>
      </w:r>
    </w:p>
    <w:p w14:paraId="0C8E208E" w14:textId="1EADF84F" w:rsidR="00614163" w:rsidRPr="00614163" w:rsidRDefault="007E61B6" w:rsidP="00EB7896">
      <w:pPr>
        <w:jc w:val="both"/>
      </w:pPr>
      <w:r w:rsidRPr="00883239">
        <w:rPr>
          <w:b/>
        </w:rPr>
        <w:t>Yes</w:t>
      </w:r>
      <w:r>
        <w:t xml:space="preserve">.  </w:t>
      </w:r>
      <w:r w:rsidR="001B4246">
        <w:t xml:space="preserve">Some of the activities changed during implementation. </w:t>
      </w:r>
      <w:r>
        <w:t xml:space="preserve">During the implementation period the amount of demonstration projects doubled from two to four. </w:t>
      </w:r>
      <w:r w:rsidR="001B4246">
        <w:t>The increase in demonstration projects was made</w:t>
      </w:r>
      <w:r>
        <w:t xml:space="preserve"> to enhance the scope </w:t>
      </w:r>
      <w:r w:rsidR="001B4246">
        <w:t>of projects demonstrating</w:t>
      </w:r>
      <w:r>
        <w:t xml:space="preserve"> nutrient reduction results on the ground</w:t>
      </w:r>
      <w:r w:rsidR="001B4246">
        <w:t>,</w:t>
      </w:r>
      <w:r>
        <w:t xml:space="preserve"> and </w:t>
      </w:r>
      <w:r w:rsidR="001B4246">
        <w:t xml:space="preserve">to </w:t>
      </w:r>
      <w:r>
        <w:t xml:space="preserve">promote capacity building and replication in the countries and the region. </w:t>
      </w:r>
      <w:r w:rsidR="00EB7896">
        <w:t xml:space="preserve">The TE </w:t>
      </w:r>
      <w:r w:rsidR="00172F0C">
        <w:t xml:space="preserve">states </w:t>
      </w:r>
      <w:r w:rsidR="00EB7896">
        <w:t xml:space="preserve">that this was a logical change in terms “of the scale of this project and the resources and time available to it […].” (TE, p.19) </w:t>
      </w:r>
    </w:p>
    <w:p w14:paraId="43838DB9" w14:textId="77777777" w:rsidR="0098302E" w:rsidRDefault="00DA4BF4" w:rsidP="00DA4BF4">
      <w:pPr>
        <w:pStyle w:val="Heading1"/>
      </w:pPr>
      <w:r>
        <w:t>4. GEF EO a</w:t>
      </w:r>
      <w:r w:rsidR="00CF085D" w:rsidRPr="006E3358">
        <w:t>ssessment of Outcomes and Sustainability</w:t>
      </w:r>
    </w:p>
    <w:p w14:paraId="28E0DD82" w14:textId="77777777" w:rsidR="00193F9A" w:rsidRPr="000C6514" w:rsidRDefault="00C3400F" w:rsidP="00565E2C">
      <w:pPr>
        <w:rPr>
          <w:rFonts w:asciiTheme="majorHAnsi" w:hAnsiTheme="majorHAnsi"/>
        </w:rPr>
      </w:pPr>
      <w:r w:rsidRPr="000C6514">
        <w:rPr>
          <w:rFonts w:asciiTheme="majorHAnsi" w:hAnsiTheme="majorHAnsi"/>
        </w:rPr>
        <w:t xml:space="preserve">Please refer to the GEF Terminal Evaluation Review Guidelines for detail on the criteria for ratings. </w:t>
      </w:r>
    </w:p>
    <w:p w14:paraId="559E7BE6" w14:textId="77777777" w:rsidR="00733785" w:rsidRDefault="00565E2C" w:rsidP="00733785">
      <w:pPr>
        <w:pStyle w:val="Heading2"/>
      </w:pPr>
      <w:r w:rsidRPr="000C6514">
        <w:t>Relevance can receive either a Satisfactory</w:t>
      </w:r>
      <w:r w:rsidR="00C3400F" w:rsidRPr="000C6514">
        <w:t xml:space="preserve"> or Unsatisfactory rating. For Effectiveness and C</w:t>
      </w:r>
      <w:r w:rsidRPr="000C6514">
        <w:t xml:space="preserve">ost efficiency, a six point </w:t>
      </w:r>
      <w:r w:rsidR="008B3045" w:rsidRPr="000C6514">
        <w:t xml:space="preserve">rating </w:t>
      </w:r>
      <w:r w:rsidRPr="000C6514">
        <w:t>scale is used (Highly Satisfactory</w:t>
      </w:r>
      <w:r w:rsidR="00EA038E" w:rsidRPr="000C6514">
        <w:t xml:space="preserve"> to Highly Unsati</w:t>
      </w:r>
      <w:r w:rsidR="00664094">
        <w:t xml:space="preserve">sfactory), or Unable to Assess. </w:t>
      </w:r>
      <w:r w:rsidR="00733785">
        <w:t>Sustainability ratings are assessed on a four-point scale: Likely=no or negligible risk; Moderately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3C03FED2" w14:textId="77777777" w:rsidR="00147D16" w:rsidRPr="004E671E" w:rsidRDefault="00733785" w:rsidP="004E671E">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4"/>
        <w:gridCol w:w="4676"/>
      </w:tblGrid>
      <w:tr w:rsidR="00A6564E" w14:paraId="6C8C9150" w14:textId="77777777" w:rsidTr="00733785">
        <w:tc>
          <w:tcPr>
            <w:tcW w:w="4788" w:type="dxa"/>
          </w:tcPr>
          <w:p w14:paraId="00539715" w14:textId="77777777" w:rsidR="00A6564E" w:rsidRPr="004E671E" w:rsidRDefault="00733785" w:rsidP="004E671E">
            <w:pPr>
              <w:pStyle w:val="Heading3"/>
              <w:outlineLvl w:val="2"/>
            </w:pPr>
            <w:r w:rsidRPr="004E671E">
              <w:rPr>
                <w:b w:val="0"/>
              </w:rPr>
              <w:t>4.1</w:t>
            </w:r>
            <w:r w:rsidRPr="004E671E">
              <w:t xml:space="preserve"> Relevance </w:t>
            </w:r>
          </w:p>
        </w:tc>
        <w:tc>
          <w:tcPr>
            <w:tcW w:w="4788" w:type="dxa"/>
            <w:vAlign w:val="center"/>
          </w:tcPr>
          <w:p w14:paraId="21D7BD79" w14:textId="77777777" w:rsidR="00A6564E" w:rsidRDefault="00A6564E" w:rsidP="00733785">
            <w:r>
              <w:t>Rating:</w:t>
            </w:r>
            <w:r w:rsidR="00685433">
              <w:t xml:space="preserve"> </w:t>
            </w:r>
            <w:r w:rsidR="00685433" w:rsidRPr="00685433">
              <w:rPr>
                <w:b/>
              </w:rPr>
              <w:t>Satisfactory</w:t>
            </w:r>
          </w:p>
        </w:tc>
      </w:tr>
    </w:tbl>
    <w:p w14:paraId="3F60D411" w14:textId="1604AB7B" w:rsidR="00883239" w:rsidRPr="00286BF0" w:rsidRDefault="005E535C" w:rsidP="00883239">
      <w:pPr>
        <w:jc w:val="both"/>
      </w:pPr>
      <w:r>
        <w:t xml:space="preserve">The Project is highly relevant to GEF </w:t>
      </w:r>
      <w:r w:rsidR="001B4246">
        <w:t>and stakeholder countries. Project goals are consistent with</w:t>
      </w:r>
      <w:r>
        <w:t xml:space="preserve"> GEF-4 </w:t>
      </w:r>
      <w:r w:rsidR="00D46538">
        <w:t xml:space="preserve">Strategic Priority 4, which is </w:t>
      </w:r>
      <w:r>
        <w:t>call</w:t>
      </w:r>
      <w:r w:rsidR="001B4246">
        <w:t>ing</w:t>
      </w:r>
      <w:r>
        <w:t xml:space="preserve"> for a move from a testing and demonstration mode to scaling-up of full operations in support of agreed incremental cost of reforms, investments, and management programs needed to reduce stress on trans- boundary freshwater and marine systems. Furthermore it responds to the identified need to share targeted experiences and learning among the new and existing GEF management tools to capture good practices and accelerated replication of good practices. (PD, p.7) </w:t>
      </w:r>
    </w:p>
    <w:p w14:paraId="58C4E8CB" w14:textId="74949616" w:rsidR="00733785" w:rsidRDefault="005E535C" w:rsidP="004E671E">
      <w:r>
        <w:t xml:space="preserve">Additionally it is aligned with existing national and international legislations in a number of countries, who are for example in the EU accession phase. Nutrient Reduction policies </w:t>
      </w:r>
      <w:r w:rsidR="00E7014C">
        <w:t>especially for the regional focus point are in the consolidation process</w:t>
      </w:r>
      <w:r w:rsidR="00183FB8">
        <w:t xml:space="preserve"> with the EU</w:t>
      </w:r>
      <w:r w:rsidR="00E7014C">
        <w:t xml:space="preserve"> and have been planned a</w:t>
      </w:r>
      <w:r w:rsidR="00183FB8">
        <w:t>nd partially implemented though</w:t>
      </w:r>
      <w:r w:rsidR="00E7014C">
        <w:t xml:space="preserve"> coordinated international and national actions by the regional seas conventions and their secretariats. </w:t>
      </w:r>
      <w:r w:rsidR="00183FB8">
        <w:t>One important international legal agreement in the respective project region is the Bucharest Convention (1992) in the Black Sea, which has to be seen as primary incentive for the wealth in experiences and knowledge in nutrient reduction practices.</w:t>
      </w:r>
      <w:r w:rsidR="00E7014C">
        <w:rPr>
          <w:rStyle w:val="FootnoteReference"/>
        </w:rPr>
        <w:footnoteReference w:id="1"/>
      </w:r>
      <w:r w:rsidR="00727A85">
        <w:t xml:space="preserve"> </w:t>
      </w:r>
    </w:p>
    <w:tbl>
      <w:tblPr>
        <w:tblStyle w:val="TableGrid"/>
        <w:tblW w:w="0" w:type="auto"/>
        <w:tblLook w:val="04A0" w:firstRow="1" w:lastRow="0" w:firstColumn="1" w:lastColumn="0" w:noHBand="0" w:noVBand="1"/>
      </w:tblPr>
      <w:tblGrid>
        <w:gridCol w:w="4679"/>
        <w:gridCol w:w="4671"/>
      </w:tblGrid>
      <w:tr w:rsidR="00733785" w14:paraId="6A9C8971" w14:textId="77777777" w:rsidTr="000108C0">
        <w:tc>
          <w:tcPr>
            <w:tcW w:w="4788" w:type="dxa"/>
          </w:tcPr>
          <w:p w14:paraId="1523899E" w14:textId="77777777" w:rsidR="00733785" w:rsidRPr="004E671E" w:rsidRDefault="00733785" w:rsidP="004E671E">
            <w:pPr>
              <w:pStyle w:val="Heading3"/>
              <w:outlineLvl w:val="2"/>
            </w:pPr>
            <w:r w:rsidRPr="004E671E">
              <w:rPr>
                <w:b w:val="0"/>
              </w:rPr>
              <w:t>4.2</w:t>
            </w:r>
            <w:r w:rsidRPr="004E671E">
              <w:t xml:space="preserve"> Effectiveness </w:t>
            </w:r>
          </w:p>
        </w:tc>
        <w:tc>
          <w:tcPr>
            <w:tcW w:w="4788" w:type="dxa"/>
            <w:vAlign w:val="center"/>
          </w:tcPr>
          <w:p w14:paraId="0F632C06" w14:textId="77777777" w:rsidR="00733785" w:rsidRDefault="00733785" w:rsidP="000108C0">
            <w:r>
              <w:t>Rating:</w:t>
            </w:r>
            <w:r w:rsidR="00685433">
              <w:t xml:space="preserve"> </w:t>
            </w:r>
            <w:r w:rsidR="00685433" w:rsidRPr="00685433">
              <w:rPr>
                <w:b/>
              </w:rPr>
              <w:t>Satisfactory</w:t>
            </w:r>
          </w:p>
        </w:tc>
      </w:tr>
    </w:tbl>
    <w:p w14:paraId="62CBD702" w14:textId="034ECC99" w:rsidR="001B4246" w:rsidRDefault="00A332D6" w:rsidP="00873DE4">
      <w:pPr>
        <w:jc w:val="both"/>
      </w:pPr>
      <w:r>
        <w:t xml:space="preserve">The Terminal Evaluation (TE) document and this review </w:t>
      </w:r>
      <w:r w:rsidR="00172F0C">
        <w:t>assess a</w:t>
      </w:r>
      <w:r>
        <w:t xml:space="preserve"> satisfactory rating </w:t>
      </w:r>
      <w:r w:rsidR="00172F0C">
        <w:t xml:space="preserve">for project effectiveness </w:t>
      </w:r>
      <w:r>
        <w:t xml:space="preserve">considering the achievement of set objectives. </w:t>
      </w:r>
      <w:r w:rsidR="006B36FC">
        <w:t xml:space="preserve">From the evidence presented, the project </w:t>
      </w:r>
      <w:r>
        <w:t>has attained all the set outcomes and objectives and only experienced</w:t>
      </w:r>
      <w:r w:rsidR="006B36FC">
        <w:t xml:space="preserve"> minor </w:t>
      </w:r>
      <w:r w:rsidR="009A3DBF">
        <w:t xml:space="preserve">shortcomings regarding the selection of pilot project sites and the quality of the online knowledge-sharing database. </w:t>
      </w:r>
      <w:r w:rsidR="009B0BEC">
        <w:t xml:space="preserve"> </w:t>
      </w:r>
      <w:r w:rsidR="00172F0C">
        <w:t>The</w:t>
      </w:r>
      <w:r w:rsidR="009B0BEC">
        <w:t xml:space="preserve"> project </w:t>
      </w:r>
      <w:r w:rsidR="009A3DBF">
        <w:t xml:space="preserve">successfully </w:t>
      </w:r>
      <w:r w:rsidR="009B0BEC">
        <w:t>set up a best practice data bank, implemented 4 demonstration projects</w:t>
      </w:r>
      <w:r w:rsidR="00172F0C">
        <w:t>,</w:t>
      </w:r>
      <w:r w:rsidR="009B0BEC">
        <w:t xml:space="preserve"> and presented the results for this region. </w:t>
      </w:r>
    </w:p>
    <w:p w14:paraId="125194C9" w14:textId="4F64A2F1" w:rsidR="00733785" w:rsidRDefault="00556912" w:rsidP="00873DE4">
      <w:pPr>
        <w:jc w:val="both"/>
      </w:pPr>
      <w:r>
        <w:t>Progress under each of the 3 development objectives is detailed below:</w:t>
      </w:r>
    </w:p>
    <w:p w14:paraId="5EC5A99A" w14:textId="77777777" w:rsidR="00EB7896" w:rsidRPr="00D46538" w:rsidRDefault="00EB7896" w:rsidP="00EB7896">
      <w:pPr>
        <w:pStyle w:val="ListParagraph"/>
        <w:numPr>
          <w:ilvl w:val="0"/>
          <w:numId w:val="10"/>
        </w:numPr>
        <w:rPr>
          <w:i/>
        </w:rPr>
      </w:pPr>
      <w:r w:rsidRPr="00D46538">
        <w:rPr>
          <w:i/>
        </w:rPr>
        <w:t>To consolidate, inventory of (or “exact”) and critically review/ assess the achievements/ experiences (in nutrient and multi-country cooperation) of GEF’s action in the CEE and EECCA regions (Black Sea- Danube, Baltic Sea, Caspian Sea) to document the good practices and provide recommendation for their replication and scaling up.</w:t>
      </w:r>
    </w:p>
    <w:p w14:paraId="600856D4" w14:textId="38165482" w:rsidR="00EC792F" w:rsidRDefault="00556912" w:rsidP="00450848">
      <w:pPr>
        <w:jc w:val="both"/>
      </w:pPr>
      <w:r>
        <w:t xml:space="preserve">The project identified </w:t>
      </w:r>
      <w:r w:rsidR="00172F0C">
        <w:t>successful</w:t>
      </w:r>
      <w:r>
        <w:t xml:space="preserve"> nutrient reduction relevant projects, which </w:t>
      </w:r>
      <w:r w:rsidR="00450848">
        <w:t xml:space="preserve">were documented and made available online. The projects </w:t>
      </w:r>
      <w:r>
        <w:t>are mostly (75%) located in the Danube-Black Sea region, whereas the other region</w:t>
      </w:r>
      <w:r w:rsidR="00EE6047">
        <w:t>s</w:t>
      </w:r>
      <w:r>
        <w:t xml:space="preserve"> were underrepresented. </w:t>
      </w:r>
      <w:r w:rsidR="009A3DBF">
        <w:t>TE states that project design was</w:t>
      </w:r>
      <w:r w:rsidR="008575DF">
        <w:t xml:space="preserve"> </w:t>
      </w:r>
      <w:r w:rsidR="00172F0C">
        <w:t>overly ambitious</w:t>
      </w:r>
      <w:r w:rsidR="00EC792F">
        <w:t xml:space="preserve"> regarding the time and effort required to secure cooperation and feedback from the project managers of completed GEF projects.</w:t>
      </w:r>
      <w:r w:rsidR="009B0BEC">
        <w:t xml:space="preserve"> </w:t>
      </w:r>
    </w:p>
    <w:p w14:paraId="10C7CC7A" w14:textId="4BB4C5F4" w:rsidR="003B7591" w:rsidRDefault="00556912" w:rsidP="00450848">
      <w:pPr>
        <w:jc w:val="both"/>
      </w:pPr>
      <w:r>
        <w:t>Furthermore, the project identified</w:t>
      </w:r>
      <w:r w:rsidR="00F62F7E">
        <w:t xml:space="preserve"> </w:t>
      </w:r>
      <w:r>
        <w:t xml:space="preserve">“Best Agricultural Practices” and </w:t>
      </w:r>
      <w:r w:rsidR="008575DF">
        <w:t xml:space="preserve">achieved </w:t>
      </w:r>
      <w:r>
        <w:t xml:space="preserve">(according to the TE) an </w:t>
      </w:r>
      <w:r w:rsidR="00F62F7E">
        <w:t>“</w:t>
      </w:r>
      <w:r>
        <w:t xml:space="preserve">important milestone in chronicling </w:t>
      </w:r>
      <w:r w:rsidR="00F62F7E">
        <w:t>GEF NR- relevant projects, and distilling best practices and best management practice and making available for third party use.” (TE, p.28)</w:t>
      </w:r>
      <w:r w:rsidR="00BA31FE">
        <w:t xml:space="preserve"> </w:t>
      </w:r>
      <w:r w:rsidR="00A320AD">
        <w:t xml:space="preserve"> </w:t>
      </w:r>
    </w:p>
    <w:p w14:paraId="5BFC31B8" w14:textId="77777777" w:rsidR="00EB7896" w:rsidRPr="00883239" w:rsidRDefault="00EB7896" w:rsidP="00EB7896">
      <w:pPr>
        <w:pStyle w:val="ListParagraph"/>
        <w:numPr>
          <w:ilvl w:val="0"/>
          <w:numId w:val="10"/>
        </w:numPr>
        <w:rPr>
          <w:i/>
        </w:rPr>
      </w:pPr>
      <w:r w:rsidRPr="00883239">
        <w:rPr>
          <w:i/>
        </w:rPr>
        <w:t>To identify and demonstrate successful replication strategies</w:t>
      </w:r>
    </w:p>
    <w:p w14:paraId="750C5208" w14:textId="77777777" w:rsidR="00362F7F" w:rsidRDefault="003440DA" w:rsidP="00EF1592">
      <w:pPr>
        <w:jc w:val="both"/>
      </w:pPr>
      <w:r>
        <w:t>Part of the strategy was to establish “show cases” in order to prove the replicability of nutrient reduction approaches based on demonstration projects and peer to peer knowledge transfer.</w:t>
      </w:r>
      <w:r w:rsidR="0042114B">
        <w:t xml:space="preserve"> Selected sites were in: Albania, Moldova, Serbia and Ukraine. </w:t>
      </w:r>
      <w:r w:rsidR="00450848">
        <w:t xml:space="preserve">Under this objective all of the expected outputs have been </w:t>
      </w:r>
      <w:r w:rsidR="00EF1592">
        <w:t xml:space="preserve">successfully </w:t>
      </w:r>
      <w:r w:rsidR="00450848">
        <w:t xml:space="preserve">delivered. </w:t>
      </w:r>
    </w:p>
    <w:p w14:paraId="74B3F636" w14:textId="72F4B0E4" w:rsidR="00446E21" w:rsidRDefault="00450848" w:rsidP="00EF1592">
      <w:pPr>
        <w:jc w:val="both"/>
      </w:pPr>
      <w:r>
        <w:t>As already mentioned, the project managed to double the amount of demonstration projects under the same budgetary res</w:t>
      </w:r>
      <w:r w:rsidR="006B5323">
        <w:t>ources</w:t>
      </w:r>
      <w:r>
        <w:t>.</w:t>
      </w:r>
      <w:r w:rsidR="006B5323">
        <w:t xml:space="preserve"> </w:t>
      </w:r>
      <w:r>
        <w:t xml:space="preserve"> </w:t>
      </w:r>
      <w:r w:rsidR="00446E21">
        <w:t xml:space="preserve">The TE states, that each of the demonstration projects completed </w:t>
      </w:r>
      <w:r w:rsidR="00EE6047">
        <w:t>expected activities</w:t>
      </w:r>
      <w:r w:rsidR="00446E21">
        <w:t xml:space="preserve">. </w:t>
      </w:r>
      <w:r w:rsidR="003440DA">
        <w:t xml:space="preserve">Furthermore, </w:t>
      </w:r>
      <w:r w:rsidR="00446E21">
        <w:t>in some cases significant obstacles had to be</w:t>
      </w:r>
      <w:r w:rsidR="005528A2">
        <w:t xml:space="preserve"> overcome to secure the results</w:t>
      </w:r>
      <w:r w:rsidR="00446E21">
        <w:t xml:space="preserve"> </w:t>
      </w:r>
      <w:r w:rsidR="005528A2">
        <w:t xml:space="preserve">(see ‘Efficiency’ section). </w:t>
      </w:r>
      <w:r w:rsidR="0042114B">
        <w:t xml:space="preserve">Special </w:t>
      </w:r>
      <w:r w:rsidR="001B1C30">
        <w:t xml:space="preserve">champions were Moldova and Albania, where local governments showed a </w:t>
      </w:r>
      <w:r w:rsidR="00EE6047">
        <w:t xml:space="preserve">strong </w:t>
      </w:r>
      <w:r w:rsidR="001B1C30">
        <w:t xml:space="preserve">commitment to the </w:t>
      </w:r>
      <w:r w:rsidR="00EE6047">
        <w:t>project</w:t>
      </w:r>
      <w:r w:rsidR="001B1C30">
        <w:t xml:space="preserve">. </w:t>
      </w:r>
    </w:p>
    <w:p w14:paraId="36F978D1" w14:textId="1E4138A6" w:rsidR="00362F7F" w:rsidRDefault="001B1C30" w:rsidP="00EF1592">
      <w:pPr>
        <w:jc w:val="both"/>
      </w:pPr>
      <w:r>
        <w:t xml:space="preserve">On the other hand some shortcomings were noticed in reference to the selection process. </w:t>
      </w:r>
      <w:r w:rsidR="008575DF">
        <w:t>As stated in the TE, t</w:t>
      </w:r>
      <w:r>
        <w:t xml:space="preserve">he decision </w:t>
      </w:r>
      <w:r w:rsidR="008575DF">
        <w:t xml:space="preserve">on where to site demonstration projects </w:t>
      </w:r>
      <w:r>
        <w:t xml:space="preserve">was partially based on the geographical closeness to existing (larger) projects sites from either </w:t>
      </w:r>
      <w:r w:rsidR="009A3DBF">
        <w:t xml:space="preserve">the </w:t>
      </w:r>
      <w:r>
        <w:t xml:space="preserve">implementing agency or executing organization. </w:t>
      </w:r>
    </w:p>
    <w:p w14:paraId="1B9CC5DE" w14:textId="3C636963" w:rsidR="008B6B42" w:rsidRDefault="00362F7F" w:rsidP="00EF1592">
      <w:pPr>
        <w:jc w:val="both"/>
      </w:pPr>
      <w:r>
        <w:t xml:space="preserve">The peer to peer knowledge exchange was very successful and </w:t>
      </w:r>
      <w:r w:rsidR="005402D4">
        <w:t>received strong support</w:t>
      </w:r>
      <w:r>
        <w:t xml:space="preserve"> (according to the TE) </w:t>
      </w:r>
      <w:r w:rsidR="005402D4">
        <w:t>from</w:t>
      </w:r>
      <w:r>
        <w:t xml:space="preserve"> stakeholder</w:t>
      </w:r>
      <w:r w:rsidR="005402D4">
        <w:t>s</w:t>
      </w:r>
      <w:r>
        <w:t xml:space="preserve">. </w:t>
      </w:r>
    </w:p>
    <w:p w14:paraId="685F8440" w14:textId="77777777" w:rsidR="00EB7896" w:rsidRDefault="00EB7896" w:rsidP="00EB7896">
      <w:pPr>
        <w:pStyle w:val="ListParagraph"/>
        <w:numPr>
          <w:ilvl w:val="0"/>
          <w:numId w:val="10"/>
        </w:numPr>
      </w:pPr>
      <w:r w:rsidRPr="00883239">
        <w:rPr>
          <w:i/>
        </w:rPr>
        <w:t>To enhance or “extrapolate” replication of good nutrient reduction practices within the region and beyond (such as the Mediterranean and East Asian Seas), as well as their mainstreaming into multi- and bi-lateral donors’ strategies and programs</w:t>
      </w:r>
      <w:r>
        <w:t>.</w:t>
      </w:r>
    </w:p>
    <w:p w14:paraId="4012F41B" w14:textId="303322E6" w:rsidR="00EB7896" w:rsidRDefault="008B6B42" w:rsidP="004E671E">
      <w:r>
        <w:t>All the planned activities in order to disseminate and promote NR Best practices were a</w:t>
      </w:r>
      <w:r w:rsidR="00E00861">
        <w:t>chieved during the implementation time. Part of the achievements are the successful establishment of an online database that aims to help practitioners and decision-makers t</w:t>
      </w:r>
      <w:r w:rsidR="0098617E">
        <w:t xml:space="preserve">o access best practice examples from GEF projects. The TE states that even though the database is online and complete “The project pages on the IW:LEARN portal are very static and not very enticing to the reader”. </w:t>
      </w:r>
    </w:p>
    <w:tbl>
      <w:tblPr>
        <w:tblStyle w:val="TableGrid"/>
        <w:tblW w:w="0" w:type="auto"/>
        <w:tblLook w:val="04A0" w:firstRow="1" w:lastRow="0" w:firstColumn="1" w:lastColumn="0" w:noHBand="0" w:noVBand="1"/>
      </w:tblPr>
      <w:tblGrid>
        <w:gridCol w:w="4673"/>
        <w:gridCol w:w="4677"/>
      </w:tblGrid>
      <w:tr w:rsidR="00733785" w14:paraId="184A6AB7" w14:textId="77777777" w:rsidTr="00702B40">
        <w:tc>
          <w:tcPr>
            <w:tcW w:w="4673" w:type="dxa"/>
          </w:tcPr>
          <w:p w14:paraId="322B8C0C" w14:textId="77777777" w:rsidR="00733785" w:rsidRPr="00DA697F" w:rsidRDefault="00733785" w:rsidP="004E671E">
            <w:pPr>
              <w:pStyle w:val="Heading3"/>
              <w:outlineLvl w:val="2"/>
            </w:pPr>
            <w:r w:rsidRPr="00DA697F">
              <w:rPr>
                <w:b w:val="0"/>
              </w:rPr>
              <w:t>4.3</w:t>
            </w:r>
            <w:r w:rsidRPr="00DA697F">
              <w:t xml:space="preserve"> Efficiency</w:t>
            </w:r>
          </w:p>
        </w:tc>
        <w:tc>
          <w:tcPr>
            <w:tcW w:w="4677" w:type="dxa"/>
            <w:vAlign w:val="center"/>
          </w:tcPr>
          <w:p w14:paraId="4BA872D6" w14:textId="77777777" w:rsidR="00733785" w:rsidRPr="00DA697F" w:rsidRDefault="00733785" w:rsidP="000108C0">
            <w:r w:rsidRPr="00DA697F">
              <w:t>Rating:</w:t>
            </w:r>
            <w:r w:rsidR="00685433" w:rsidRPr="00DA697F">
              <w:rPr>
                <w:b/>
              </w:rPr>
              <w:t xml:space="preserve"> Satisfactory</w:t>
            </w:r>
          </w:p>
        </w:tc>
      </w:tr>
    </w:tbl>
    <w:p w14:paraId="79ECA254" w14:textId="14B7FBC3" w:rsidR="003A78FE" w:rsidRDefault="0027782F" w:rsidP="00702B40">
      <w:pPr>
        <w:jc w:val="both"/>
      </w:pPr>
      <w:r>
        <w:t xml:space="preserve">The Terminal Evaluation </w:t>
      </w:r>
      <w:r w:rsidR="00541F3D">
        <w:t>assesses a</w:t>
      </w:r>
      <w:r>
        <w:t xml:space="preserve"> satisfactory rating </w:t>
      </w:r>
      <w:r w:rsidR="00541F3D">
        <w:t>for project efficiency</w:t>
      </w:r>
      <w:r>
        <w:t xml:space="preserve">. This </w:t>
      </w:r>
      <w:r w:rsidR="00541F3D">
        <w:t>TER concurs with this rating,</w:t>
      </w:r>
      <w:r>
        <w:t xml:space="preserve"> due to following aspects:</w:t>
      </w:r>
    </w:p>
    <w:p w14:paraId="2038B975" w14:textId="34CEA600" w:rsidR="00733785" w:rsidRDefault="00876C06" w:rsidP="00627737">
      <w:pPr>
        <w:jc w:val="both"/>
      </w:pPr>
      <w:r>
        <w:t>All the objectives were achieved without delays. Moreover, the project doubled the number of</w:t>
      </w:r>
      <w:r w:rsidR="0027782F">
        <w:t xml:space="preserve"> </w:t>
      </w:r>
      <w:r>
        <w:t>expected</w:t>
      </w:r>
      <w:r w:rsidR="0027782F">
        <w:t xml:space="preserve"> demonstration projects</w:t>
      </w:r>
      <w:r>
        <w:t xml:space="preserve">. </w:t>
      </w:r>
      <w:r w:rsidR="00446E21">
        <w:t xml:space="preserve">Regarding the demonstration projects, </w:t>
      </w:r>
      <w:r>
        <w:t>TE states that</w:t>
      </w:r>
      <w:r w:rsidR="00446E21">
        <w:t xml:space="preserve"> some substantial obstacles in form of hostility and suspicion from the local residents </w:t>
      </w:r>
      <w:r>
        <w:t>were efficiently addressed by project management.</w:t>
      </w:r>
      <w:r w:rsidR="00453303">
        <w:t xml:space="preserve"> It indicates a functioning and well-coordinated effort between all involved agencies, beginning from the executing on the local level to the support from the implementing agency. </w:t>
      </w:r>
      <w:r w:rsidR="002B73EC">
        <w:t xml:space="preserve">In this context the TE highlights specifically the good performance in establishing partnerships with relevant stake holders (TE, p. 23). </w:t>
      </w:r>
      <w:r>
        <w:t xml:space="preserve"> TE reports no issues with financial disbursement, contracting, or procurement, or communication with partners in the field.</w:t>
      </w:r>
      <w:r w:rsidR="002B73EC">
        <w:t xml:space="preserve"> On the contrary: The PIR reported an efficient budgeting behavior; based on the TE the quality of external consultants was high so that the project could be delivered satisfactorily.</w:t>
      </w:r>
    </w:p>
    <w:tbl>
      <w:tblPr>
        <w:tblStyle w:val="TableGrid"/>
        <w:tblW w:w="0" w:type="auto"/>
        <w:tblLook w:val="04A0" w:firstRow="1" w:lastRow="0" w:firstColumn="1" w:lastColumn="0" w:noHBand="0" w:noVBand="1"/>
      </w:tblPr>
      <w:tblGrid>
        <w:gridCol w:w="4687"/>
        <w:gridCol w:w="4663"/>
      </w:tblGrid>
      <w:tr w:rsidR="00733785" w14:paraId="5788B506" w14:textId="77777777" w:rsidTr="000108C0">
        <w:tc>
          <w:tcPr>
            <w:tcW w:w="4788" w:type="dxa"/>
          </w:tcPr>
          <w:p w14:paraId="3B2F6F8E" w14:textId="77777777" w:rsidR="00733785" w:rsidRDefault="00733785" w:rsidP="004E671E">
            <w:pPr>
              <w:pStyle w:val="Heading3"/>
              <w:outlineLvl w:val="2"/>
            </w:pPr>
            <w:r w:rsidRPr="004E671E">
              <w:rPr>
                <w:b w:val="0"/>
              </w:rPr>
              <w:t>4.4</w:t>
            </w:r>
            <w:r>
              <w:t xml:space="preserve"> </w:t>
            </w:r>
            <w:r w:rsidRPr="004E671E">
              <w:t>Sustainability</w:t>
            </w:r>
          </w:p>
        </w:tc>
        <w:tc>
          <w:tcPr>
            <w:tcW w:w="4788" w:type="dxa"/>
            <w:vAlign w:val="center"/>
          </w:tcPr>
          <w:p w14:paraId="25D78151" w14:textId="76C31CAC" w:rsidR="00733785" w:rsidRDefault="00733785">
            <w:r>
              <w:t>Rating:</w:t>
            </w:r>
            <w:r w:rsidR="00685433" w:rsidRPr="00685433">
              <w:rPr>
                <w:b/>
              </w:rPr>
              <w:t xml:space="preserve"> </w:t>
            </w:r>
            <w:r w:rsidR="00876C06">
              <w:rPr>
                <w:b/>
              </w:rPr>
              <w:t>Likely</w:t>
            </w:r>
          </w:p>
        </w:tc>
      </w:tr>
    </w:tbl>
    <w:p w14:paraId="329594A7" w14:textId="1AF1CF5F" w:rsidR="00C3400F" w:rsidRDefault="007D0C70" w:rsidP="009D0E51">
      <w:pPr>
        <w:jc w:val="both"/>
      </w:pPr>
      <w:r>
        <w:t xml:space="preserve">The Terminal Evaluation (TE) document doesn’t </w:t>
      </w:r>
      <w:r w:rsidR="002B73EC">
        <w:t>provide</w:t>
      </w:r>
      <w:r w:rsidR="0064447C">
        <w:t>s</w:t>
      </w:r>
      <w:r w:rsidR="002B73EC">
        <w:t xml:space="preserve"> </w:t>
      </w:r>
      <w:r w:rsidR="00876C06">
        <w:t>a</w:t>
      </w:r>
      <w:r w:rsidR="00BD35A0">
        <w:t xml:space="preserve"> clear</w:t>
      </w:r>
      <w:r w:rsidR="00876C06">
        <w:t xml:space="preserve"> rating for</w:t>
      </w:r>
      <w:r>
        <w:t xml:space="preserve"> sustainability. This revi</w:t>
      </w:r>
      <w:r w:rsidR="00A717B2">
        <w:t xml:space="preserve">ew </w:t>
      </w:r>
      <w:r w:rsidR="00876C06">
        <w:t>assesses a rating of likely, based on evidence presented in the TE narrative</w:t>
      </w:r>
      <w:r w:rsidR="00A320AD">
        <w:t xml:space="preserve"> and based on the project</w:t>
      </w:r>
      <w:r w:rsidR="001117FD">
        <w:t>’s</w:t>
      </w:r>
      <w:r w:rsidR="00A320AD">
        <w:t xml:space="preserve"> </w:t>
      </w:r>
      <w:r w:rsidR="001117FD">
        <w:t>progress in</w:t>
      </w:r>
      <w:r w:rsidR="00A320AD">
        <w:t xml:space="preserve"> ensur</w:t>
      </w:r>
      <w:r w:rsidR="001117FD">
        <w:t>ing</w:t>
      </w:r>
      <w:r w:rsidR="00A320AD">
        <w:t xml:space="preserve"> that knowledge from Nutrient Reduction (NR) strategies are widely spread in the region. </w:t>
      </w:r>
      <w:r w:rsidR="007C736F">
        <w:t xml:space="preserve">The project </w:t>
      </w:r>
      <w:r w:rsidR="001117FD">
        <w:t xml:space="preserve">was </w:t>
      </w:r>
      <w:r w:rsidR="007C736F">
        <w:t>designed to ensure sustainability for nutrient reduction strategies through demonstration and dissemination of best practice examples across the project region.</w:t>
      </w:r>
      <w:r w:rsidR="009D0E51">
        <w:t xml:space="preserve"> </w:t>
      </w:r>
      <w:r w:rsidR="007C736F">
        <w:t>The strategies and objectives were chosen based on a pre- project phase multi-stakeholder consultation</w:t>
      </w:r>
      <w:r w:rsidR="009D0E51">
        <w:t>. This participatory approach not only ensured a further stakeholder involvement but also</w:t>
      </w:r>
      <w:r w:rsidR="007C736F">
        <w:t xml:space="preserve"> </w:t>
      </w:r>
      <w:r w:rsidR="009D0E51">
        <w:t>enhanced the likelihood of survival.</w:t>
      </w:r>
      <w:r w:rsidR="0064447C">
        <w:t xml:space="preserve"> Most importantly, the </w:t>
      </w:r>
      <w:r w:rsidR="00E34E95">
        <w:t>project succeeded in</w:t>
      </w:r>
      <w:r w:rsidR="0064447C">
        <w:t xml:space="preserve"> generat</w:t>
      </w:r>
      <w:r w:rsidR="00E34E95">
        <w:t>ing</w:t>
      </w:r>
      <w:r w:rsidR="0064447C">
        <w:t xml:space="preserve"> a databank with NR good practices</w:t>
      </w:r>
      <w:r w:rsidR="00E34E95">
        <w:t>, housed on IWLEARN, that will be available in perpetuity post project</w:t>
      </w:r>
      <w:r w:rsidR="00587575">
        <w:t>.</w:t>
      </w:r>
    </w:p>
    <w:p w14:paraId="06D14A63" w14:textId="261F6E71" w:rsidR="005F4318" w:rsidRDefault="005F4318" w:rsidP="009D0E51">
      <w:pPr>
        <w:jc w:val="both"/>
      </w:pPr>
      <w:r>
        <w:t>Risks to the sustainability of project outcomes is further assessed along the following 4 dimensions:</w:t>
      </w:r>
    </w:p>
    <w:p w14:paraId="2F748C9B" w14:textId="49AD21A3" w:rsidR="00B33B3A" w:rsidRDefault="007C736F" w:rsidP="00EE53E2">
      <w:pPr>
        <w:pStyle w:val="ListParagraph"/>
        <w:numPr>
          <w:ilvl w:val="0"/>
          <w:numId w:val="11"/>
        </w:numPr>
      </w:pPr>
      <w:r w:rsidRPr="00627737">
        <w:rPr>
          <w:i/>
        </w:rPr>
        <w:t>Environmental threats</w:t>
      </w:r>
      <w:r w:rsidR="000644C8">
        <w:rPr>
          <w:i/>
        </w:rPr>
        <w:t xml:space="preserve"> </w:t>
      </w:r>
      <w:r>
        <w:t>-</w:t>
      </w:r>
      <w:r w:rsidR="000644C8">
        <w:t xml:space="preserve"> </w:t>
      </w:r>
      <w:r>
        <w:t>(</w:t>
      </w:r>
      <w:r w:rsidR="002D1813" w:rsidRPr="00627737">
        <w:rPr>
          <w:b/>
        </w:rPr>
        <w:t>U/A</w:t>
      </w:r>
      <w:r>
        <w:t>)</w:t>
      </w:r>
      <w:r w:rsidR="00CA75CF">
        <w:t>:</w:t>
      </w:r>
      <w:r w:rsidR="00B33B3A">
        <w:t xml:space="preserve"> </w:t>
      </w:r>
      <w:r w:rsidR="00876C06">
        <w:t>The TE does not provide any assessment of environmental risks to the sustainability of project outcomes</w:t>
      </w:r>
      <w:r w:rsidR="00B33B3A">
        <w:t>.</w:t>
      </w:r>
    </w:p>
    <w:p w14:paraId="2542EA28" w14:textId="79134979" w:rsidR="00EC792F" w:rsidRDefault="007C736F" w:rsidP="00B33B3A">
      <w:pPr>
        <w:pStyle w:val="ListParagraph"/>
        <w:numPr>
          <w:ilvl w:val="0"/>
          <w:numId w:val="11"/>
        </w:numPr>
      </w:pPr>
      <w:r w:rsidRPr="000A2DB1">
        <w:rPr>
          <w:i/>
        </w:rPr>
        <w:t>Financial</w:t>
      </w:r>
      <w:r w:rsidR="000644C8">
        <w:rPr>
          <w:i/>
        </w:rPr>
        <w:t xml:space="preserve"> </w:t>
      </w:r>
      <w:r>
        <w:t>-</w:t>
      </w:r>
      <w:r w:rsidR="000644C8">
        <w:t xml:space="preserve"> </w:t>
      </w:r>
      <w:r>
        <w:t>(</w:t>
      </w:r>
      <w:r w:rsidRPr="000A2DB1">
        <w:rPr>
          <w:b/>
        </w:rPr>
        <w:t>L</w:t>
      </w:r>
      <w:r>
        <w:t>)</w:t>
      </w:r>
      <w:r w:rsidR="00EC792F">
        <w:t xml:space="preserve">: </w:t>
      </w:r>
      <w:r w:rsidR="00A320AD">
        <w:t>As the TE states, t</w:t>
      </w:r>
      <w:r w:rsidR="00EE53E2">
        <w:t>he m</w:t>
      </w:r>
      <w:r w:rsidR="00B33B3A">
        <w:t>obilization</w:t>
      </w:r>
      <w:r w:rsidR="00EC792F">
        <w:t xml:space="preserve"> of local stakeholders in the Demonstration Projects (DPs) as well as in the co-financing performance of the DPs, is a promising sign for a future scaling</w:t>
      </w:r>
      <w:r w:rsidR="00314719">
        <w:t>-up</w:t>
      </w:r>
      <w:r w:rsidR="00EC792F">
        <w:t xml:space="preserve"> effort.</w:t>
      </w:r>
      <w:r w:rsidR="00D43502">
        <w:t xml:space="preserve"> </w:t>
      </w:r>
      <w:r w:rsidR="00314719">
        <w:t xml:space="preserve">While </w:t>
      </w:r>
      <w:r w:rsidR="00332431">
        <w:t>the</w:t>
      </w:r>
      <w:r w:rsidR="00314719">
        <w:t xml:space="preserve"> pilot demonstration projects </w:t>
      </w:r>
      <w:r w:rsidR="00332431">
        <w:t>end with the project phase</w:t>
      </w:r>
      <w:r w:rsidR="000644C8">
        <w:t>,</w:t>
      </w:r>
      <w:r w:rsidR="00332431">
        <w:t xml:space="preserve"> </w:t>
      </w:r>
      <w:r w:rsidR="000644C8">
        <w:t>sustainability of project outcomes is to a large extent not reliant upon additional funding commitments</w:t>
      </w:r>
      <w:r w:rsidR="00332431">
        <w:t>.</w:t>
      </w:r>
      <w:r w:rsidR="000644C8">
        <w:t xml:space="preserve"> </w:t>
      </w:r>
      <w:r w:rsidR="00332431">
        <w:t>T</w:t>
      </w:r>
      <w:r w:rsidR="000644C8">
        <w:t>he costs of distributing and providing ongoing access to project-generated findings</w:t>
      </w:r>
      <w:r w:rsidR="00314719">
        <w:t xml:space="preserve"> </w:t>
      </w:r>
      <w:r w:rsidR="00627737">
        <w:t xml:space="preserve">on nutrient reduction management practices </w:t>
      </w:r>
      <w:r w:rsidR="00314719">
        <w:t>(the principle output of the project)</w:t>
      </w:r>
      <w:r w:rsidR="000644C8">
        <w:t xml:space="preserve"> is covered by participating institutions.</w:t>
      </w:r>
      <w:r w:rsidR="00332431">
        <w:t xml:space="preserve"> The project website with the databank of goof practice examples f</w:t>
      </w:r>
      <w:r w:rsidR="00E33EE1">
        <w:t xml:space="preserve">or instance is maintained by </w:t>
      </w:r>
      <w:r w:rsidR="00E34E95">
        <w:t>the</w:t>
      </w:r>
      <w:r w:rsidR="00E33EE1">
        <w:t xml:space="preserve"> GEF and </w:t>
      </w:r>
      <w:r w:rsidR="00E34E95">
        <w:t>participating stakeholders</w:t>
      </w:r>
      <w:r w:rsidR="00E33EE1">
        <w:t>.</w:t>
      </w:r>
    </w:p>
    <w:p w14:paraId="131DBDD3" w14:textId="20C0C135" w:rsidR="00B33B3A" w:rsidRDefault="007C736F" w:rsidP="00B33B3A">
      <w:pPr>
        <w:pStyle w:val="ListParagraph"/>
        <w:numPr>
          <w:ilvl w:val="0"/>
          <w:numId w:val="11"/>
        </w:numPr>
      </w:pPr>
      <w:r w:rsidRPr="000A2DB1">
        <w:rPr>
          <w:i/>
        </w:rPr>
        <w:t>Socio-political</w:t>
      </w:r>
      <w:r w:rsidR="000644C8">
        <w:rPr>
          <w:i/>
        </w:rPr>
        <w:t xml:space="preserve"> </w:t>
      </w:r>
      <w:r>
        <w:t>-</w:t>
      </w:r>
      <w:r w:rsidR="000644C8">
        <w:t xml:space="preserve"> </w:t>
      </w:r>
      <w:r>
        <w:t>(</w:t>
      </w:r>
      <w:r w:rsidR="008548D4" w:rsidRPr="000A2DB1">
        <w:rPr>
          <w:b/>
        </w:rPr>
        <w:t>U/A</w:t>
      </w:r>
      <w:r>
        <w:t>)</w:t>
      </w:r>
      <w:r w:rsidR="00CA75CF">
        <w:t>:</w:t>
      </w:r>
      <w:r w:rsidR="009D0E51">
        <w:t xml:space="preserve"> </w:t>
      </w:r>
      <w:r w:rsidR="00A320AD">
        <w:t>the T</w:t>
      </w:r>
      <w:r w:rsidR="00453303">
        <w:t>E</w:t>
      </w:r>
      <w:r w:rsidR="00A320AD">
        <w:t xml:space="preserve"> does not provide a clear assessment on this aspect for sustainability. </w:t>
      </w:r>
      <w:r w:rsidR="008548D4">
        <w:t>Due</w:t>
      </w:r>
      <w:r w:rsidR="009D0E51">
        <w:t xml:space="preserve"> to the </w:t>
      </w:r>
      <w:r w:rsidR="00B33B3A">
        <w:t xml:space="preserve">geo-political closeness to the European Union of some countries in the target region, it is </w:t>
      </w:r>
      <w:r w:rsidR="00627737">
        <w:t xml:space="preserve">likely </w:t>
      </w:r>
      <w:r w:rsidR="00B33B3A">
        <w:t xml:space="preserve">that </w:t>
      </w:r>
      <w:r w:rsidR="008548D4">
        <w:t xml:space="preserve">EU </w:t>
      </w:r>
      <w:r w:rsidR="00B33B3A">
        <w:t xml:space="preserve">standards regarding nutrient reduction will help to keep the governments and the public interested </w:t>
      </w:r>
      <w:r w:rsidR="008548D4">
        <w:t>in sustaining project outcomes</w:t>
      </w:r>
      <w:r w:rsidR="00B33B3A">
        <w:t xml:space="preserve">. </w:t>
      </w:r>
    </w:p>
    <w:p w14:paraId="77081174" w14:textId="3C79663B" w:rsidR="007C736F" w:rsidRPr="00C3400F" w:rsidRDefault="007C736F" w:rsidP="007C736F">
      <w:pPr>
        <w:pStyle w:val="ListParagraph"/>
        <w:numPr>
          <w:ilvl w:val="0"/>
          <w:numId w:val="11"/>
        </w:numPr>
      </w:pPr>
      <w:r w:rsidRPr="000A2DB1">
        <w:rPr>
          <w:i/>
        </w:rPr>
        <w:t>Institutional</w:t>
      </w:r>
      <w:r w:rsidR="00CA75CF" w:rsidRPr="000A2DB1">
        <w:rPr>
          <w:i/>
        </w:rPr>
        <w:t xml:space="preserve"> framework and governance</w:t>
      </w:r>
      <w:r w:rsidR="000644C8">
        <w:rPr>
          <w:i/>
        </w:rPr>
        <w:t xml:space="preserve"> </w:t>
      </w:r>
      <w:r>
        <w:t>- (</w:t>
      </w:r>
      <w:r w:rsidR="002D1813" w:rsidRPr="000A2DB1">
        <w:rPr>
          <w:b/>
        </w:rPr>
        <w:t>U/A</w:t>
      </w:r>
      <w:r>
        <w:t>)</w:t>
      </w:r>
      <w:r w:rsidR="00CA75CF">
        <w:t xml:space="preserve">: </w:t>
      </w:r>
      <w:r w:rsidR="00A320AD">
        <w:t xml:space="preserve">The TE makes no reference to this aspect for sustainability. Therefore the </w:t>
      </w:r>
      <w:r w:rsidR="002D1813">
        <w:t>TER</w:t>
      </w:r>
      <w:r w:rsidR="00A320AD">
        <w:t xml:space="preserve"> is u</w:t>
      </w:r>
      <w:r w:rsidR="00EE53E2">
        <w:t>nable to assess risk on this di</w:t>
      </w:r>
      <w:r w:rsidR="00CA75CF">
        <w:t>mension.</w:t>
      </w:r>
    </w:p>
    <w:p w14:paraId="0B928C20" w14:textId="77777777" w:rsidR="00D91731" w:rsidRPr="00D91731" w:rsidRDefault="00AC439C" w:rsidP="00AC439C">
      <w:pPr>
        <w:pStyle w:val="Heading1"/>
      </w:pPr>
      <w:r>
        <w:t xml:space="preserve">5. </w:t>
      </w:r>
      <w:r w:rsidR="00D91731">
        <w:t>Processes and factors affecting attainment of project outcomes</w:t>
      </w:r>
    </w:p>
    <w:p w14:paraId="10165A34" w14:textId="77777777" w:rsidR="00B53643" w:rsidRDefault="00AC439C" w:rsidP="00733785">
      <w:pPr>
        <w:pStyle w:val="Heading2"/>
      </w:pPr>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p>
    <w:p w14:paraId="448F47AB" w14:textId="096BD2C7" w:rsidR="00873DE4" w:rsidRPr="00873DE4" w:rsidRDefault="00A717B2" w:rsidP="00873DE4">
      <w:r>
        <w:t>The Termi</w:t>
      </w:r>
      <w:r w:rsidR="008D3085">
        <w:t>nal Evaluation</w:t>
      </w:r>
      <w:r w:rsidR="00FF29F9">
        <w:t xml:space="preserve"> (TE)</w:t>
      </w:r>
      <w:r w:rsidR="008D3085">
        <w:t xml:space="preserve"> does not </w:t>
      </w:r>
      <w:r w:rsidR="008548D4">
        <w:t xml:space="preserve">report on the level of </w:t>
      </w:r>
      <w:r w:rsidR="00314719">
        <w:t xml:space="preserve">realized </w:t>
      </w:r>
      <w:r w:rsidR="008548D4">
        <w:t>co-financing or the effect of co-financing on project outcomes or sustainability.</w:t>
      </w:r>
      <w:r w:rsidR="00861D2C">
        <w:t xml:space="preserve"> </w:t>
      </w:r>
      <w:r w:rsidR="008D3085">
        <w:t xml:space="preserve"> </w:t>
      </w:r>
      <w:r w:rsidR="00E16882">
        <w:t xml:space="preserve">The </w:t>
      </w:r>
      <w:r w:rsidR="00352166">
        <w:t xml:space="preserve">final </w:t>
      </w:r>
      <w:r w:rsidR="00E16882">
        <w:t>Project Implementation Review (PIR)</w:t>
      </w:r>
      <w:r w:rsidR="008D3085">
        <w:t xml:space="preserve"> </w:t>
      </w:r>
      <w:r w:rsidR="00E16882">
        <w:t xml:space="preserve">states that </w:t>
      </w:r>
      <w:r w:rsidR="008548D4">
        <w:t>$</w:t>
      </w:r>
      <w:r w:rsidR="00E16882">
        <w:t>72</w:t>
      </w:r>
      <w:r w:rsidR="008548D4">
        <w:t>k</w:t>
      </w:r>
      <w:r w:rsidR="00E16882">
        <w:t xml:space="preserve"> USD of additional resources were provided by the demonstration partners. </w:t>
      </w:r>
    </w:p>
    <w:p w14:paraId="47BD4F9A" w14:textId="77777777" w:rsidR="00C41456" w:rsidRDefault="00AC439C" w:rsidP="00733785">
      <w:pPr>
        <w:pStyle w:val="Heading2"/>
      </w:pPr>
      <w:r>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p>
    <w:p w14:paraId="44A390AD" w14:textId="71F09ACA" w:rsidR="00873DE4" w:rsidRPr="00873DE4" w:rsidRDefault="00873DE4" w:rsidP="00873DE4">
      <w:r>
        <w:t>The project did not experience any extension or delays.</w:t>
      </w:r>
    </w:p>
    <w:p w14:paraId="51F20C7F" w14:textId="77777777" w:rsidR="000B3320" w:rsidRDefault="00AC439C" w:rsidP="00733785">
      <w:pPr>
        <w:pStyle w:val="Heading2"/>
      </w:pPr>
      <w:r w:rsidRPr="00C416B0">
        <w:t xml:space="preserve">5.3 </w:t>
      </w:r>
      <w:r w:rsidR="000218A0" w:rsidRPr="00C416B0">
        <w:t>Country ownership</w:t>
      </w:r>
      <w:r w:rsidRPr="00C416B0">
        <w:t xml:space="preserve">. </w:t>
      </w:r>
      <w:r w:rsidR="000B3320" w:rsidRPr="00C416B0">
        <w:t>Assess the extent to which country ownership has affected project outcomes and sustainability? Describe the ways in which it affected outcomes and sustainability, highlighting the causal links:</w:t>
      </w:r>
    </w:p>
    <w:p w14:paraId="4DD64132" w14:textId="0584540A" w:rsidR="005D2D6E" w:rsidRPr="00D66E71" w:rsidRDefault="000108C0" w:rsidP="00BF5405">
      <w:pPr>
        <w:jc w:val="both"/>
        <w:rPr>
          <w:rFonts w:eastAsiaTheme="minorEastAsia"/>
          <w:lang w:val="en-GB"/>
        </w:rPr>
      </w:pPr>
      <w:r>
        <w:rPr>
          <w:rFonts w:eastAsiaTheme="minorEastAsia"/>
          <w:lang w:val="en-GB"/>
        </w:rPr>
        <w:t xml:space="preserve">Based on the information of the Terminal evaluation the </w:t>
      </w:r>
      <w:r w:rsidR="005D2D6E" w:rsidRPr="00D66E71">
        <w:rPr>
          <w:rFonts w:eastAsiaTheme="minorEastAsia"/>
          <w:lang w:val="en-GB"/>
        </w:rPr>
        <w:t xml:space="preserve">level of country ownership </w:t>
      </w:r>
      <w:r>
        <w:rPr>
          <w:rFonts w:eastAsiaTheme="minorEastAsia"/>
          <w:lang w:val="en-GB"/>
        </w:rPr>
        <w:t>is not</w:t>
      </w:r>
      <w:r w:rsidR="005D2D6E" w:rsidRPr="00D66E71">
        <w:rPr>
          <w:rFonts w:eastAsiaTheme="minorEastAsia"/>
          <w:lang w:val="en-GB"/>
        </w:rPr>
        <w:t xml:space="preserve"> easily assess</w:t>
      </w:r>
      <w:r>
        <w:rPr>
          <w:rFonts w:eastAsiaTheme="minorEastAsia"/>
          <w:lang w:val="en-GB"/>
        </w:rPr>
        <w:t xml:space="preserve">able, as </w:t>
      </w:r>
      <w:r w:rsidR="005D2D6E" w:rsidRPr="00D66E71">
        <w:rPr>
          <w:rFonts w:eastAsiaTheme="minorEastAsia"/>
          <w:lang w:val="en-GB"/>
        </w:rPr>
        <w:t>for this project the involvement of national Ministries was only planned in the four demonstration project countries</w:t>
      </w:r>
      <w:r>
        <w:rPr>
          <w:rFonts w:eastAsiaTheme="minorEastAsia"/>
          <w:lang w:val="en-GB"/>
        </w:rPr>
        <w:t xml:space="preserve">. </w:t>
      </w:r>
      <w:r w:rsidR="005D2D6E" w:rsidRPr="00D66E71">
        <w:rPr>
          <w:rFonts w:eastAsiaTheme="minorEastAsia"/>
          <w:lang w:val="en-GB"/>
        </w:rPr>
        <w:t xml:space="preserve"> </w:t>
      </w:r>
      <w:r w:rsidR="005F4318">
        <w:rPr>
          <w:rFonts w:eastAsiaTheme="minorEastAsia"/>
          <w:lang w:val="en-GB"/>
        </w:rPr>
        <w:t>M</w:t>
      </w:r>
      <w:r w:rsidR="00C416B0" w:rsidRPr="00D66E71">
        <w:rPr>
          <w:rFonts w:eastAsiaTheme="minorEastAsia"/>
          <w:lang w:val="en-GB"/>
        </w:rPr>
        <w:t>ost of the countries involved have national and international legislation in place regarding Nutrient Reduction.</w:t>
      </w:r>
      <w:r>
        <w:rPr>
          <w:rFonts w:eastAsiaTheme="minorEastAsia"/>
          <w:lang w:val="en-GB"/>
        </w:rPr>
        <w:t xml:space="preserve"> </w:t>
      </w:r>
      <w:r w:rsidR="00C416B0" w:rsidRPr="00D66E71">
        <w:rPr>
          <w:rFonts w:eastAsiaTheme="minorEastAsia"/>
          <w:lang w:val="en-GB"/>
        </w:rPr>
        <w:t xml:space="preserve"> A number of countries are in the EU accession phase, which is also driving policy and legislative development.</w:t>
      </w:r>
    </w:p>
    <w:p w14:paraId="2F900BEF" w14:textId="77777777" w:rsidR="005D2D6E" w:rsidRPr="000108C0" w:rsidRDefault="000108C0" w:rsidP="00BF5405">
      <w:pPr>
        <w:jc w:val="both"/>
        <w:rPr>
          <w:rFonts w:eastAsiaTheme="minorEastAsia"/>
          <w:lang w:val="en-GB"/>
        </w:rPr>
      </w:pPr>
      <w:r>
        <w:rPr>
          <w:rFonts w:eastAsiaTheme="minorEastAsia"/>
          <w:lang w:val="en-GB"/>
        </w:rPr>
        <w:t>On the local level however, the d</w:t>
      </w:r>
      <w:r w:rsidR="005D2D6E" w:rsidRPr="00D66E71">
        <w:rPr>
          <w:rFonts w:eastAsiaTheme="minorEastAsia"/>
          <w:lang w:val="en-GB"/>
        </w:rPr>
        <w:t>emonstration Projects</w:t>
      </w:r>
      <w:r>
        <w:rPr>
          <w:rFonts w:eastAsiaTheme="minorEastAsia"/>
          <w:lang w:val="en-GB"/>
        </w:rPr>
        <w:t xml:space="preserve"> (DPs)</w:t>
      </w:r>
      <w:r w:rsidR="005D2D6E" w:rsidRPr="00D66E71">
        <w:rPr>
          <w:rFonts w:eastAsiaTheme="minorEastAsia"/>
          <w:lang w:val="en-GB"/>
        </w:rPr>
        <w:t xml:space="preserve"> generated </w:t>
      </w:r>
      <w:r>
        <w:rPr>
          <w:rFonts w:eastAsiaTheme="minorEastAsia"/>
          <w:lang w:val="en-GB"/>
        </w:rPr>
        <w:t>(according to the TE) a “</w:t>
      </w:r>
      <w:r w:rsidR="005D2D6E" w:rsidRPr="00D66E71">
        <w:rPr>
          <w:rFonts w:eastAsiaTheme="minorEastAsia"/>
          <w:lang w:val="en-GB"/>
        </w:rPr>
        <w:t>significant local ownership within their respective regions, as</w:t>
      </w:r>
      <w:r>
        <w:rPr>
          <w:rFonts w:eastAsiaTheme="minorEastAsia"/>
          <w:lang w:val="en-GB"/>
        </w:rPr>
        <w:t xml:space="preserve"> did the peer to peer exchanges.” Furthermore the TE highlights the</w:t>
      </w:r>
      <w:r w:rsidR="005D2D6E" w:rsidRPr="000108C0">
        <w:rPr>
          <w:lang w:val="en-GB"/>
        </w:rPr>
        <w:t xml:space="preserve"> very satisfactory level of stakeholder</w:t>
      </w:r>
      <w:r>
        <w:rPr>
          <w:lang w:val="en-GB"/>
        </w:rPr>
        <w:t xml:space="preserve"> participation, which </w:t>
      </w:r>
      <w:r w:rsidR="00BF5405">
        <w:rPr>
          <w:lang w:val="en-GB"/>
        </w:rPr>
        <w:t>resulted in</w:t>
      </w:r>
      <w:r>
        <w:rPr>
          <w:lang w:val="en-GB"/>
        </w:rPr>
        <w:t xml:space="preserve"> </w:t>
      </w:r>
      <w:r w:rsidR="005D2D6E" w:rsidRPr="00D66E71">
        <w:rPr>
          <w:rFonts w:eastAsiaTheme="minorEastAsia"/>
          <w:lang w:val="en-GB"/>
        </w:rPr>
        <w:t xml:space="preserve">respective regions </w:t>
      </w:r>
      <w:r w:rsidR="00BF5405">
        <w:rPr>
          <w:rFonts w:eastAsiaTheme="minorEastAsia"/>
          <w:lang w:val="en-GB"/>
        </w:rPr>
        <w:t xml:space="preserve">a </w:t>
      </w:r>
      <w:r w:rsidR="005D2D6E" w:rsidRPr="00D66E71">
        <w:rPr>
          <w:rFonts w:eastAsiaTheme="minorEastAsia"/>
          <w:lang w:val="en-GB"/>
        </w:rPr>
        <w:t xml:space="preserve">significant local ownership. </w:t>
      </w:r>
    </w:p>
    <w:p w14:paraId="44269176" w14:textId="77777777" w:rsidR="005D2D6E" w:rsidRPr="005D2D6E" w:rsidRDefault="005D2D6E" w:rsidP="00DC1D79">
      <w:pPr>
        <w:rPr>
          <w:rFonts w:eastAsiaTheme="minorEastAsia"/>
          <w:lang w:val="en-GB"/>
        </w:rPr>
      </w:pPr>
    </w:p>
    <w:p w14:paraId="16A73A34" w14:textId="77777777" w:rsidR="000218A0" w:rsidRDefault="00AC439C" w:rsidP="00AC439C">
      <w:pPr>
        <w:pStyle w:val="Heading1"/>
      </w:pPr>
      <w:r>
        <w:t xml:space="preserve">6. </w:t>
      </w:r>
      <w:r w:rsidR="000218A0">
        <w:t>Assessment of project’s Monitoring and Evaluation system</w:t>
      </w:r>
    </w:p>
    <w:p w14:paraId="2870AAAB" w14:textId="77777777"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05502A6E" w14:textId="77777777"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69"/>
        <w:gridCol w:w="4681"/>
      </w:tblGrid>
      <w:tr w:rsidR="00614163" w:rsidRPr="00FF29F9" w14:paraId="0F974809" w14:textId="77777777" w:rsidTr="000108C0">
        <w:tc>
          <w:tcPr>
            <w:tcW w:w="4788" w:type="dxa"/>
          </w:tcPr>
          <w:p w14:paraId="6F787C4C" w14:textId="77777777" w:rsidR="00614163" w:rsidRPr="00F46F61" w:rsidRDefault="00614163" w:rsidP="00614163">
            <w:pPr>
              <w:pStyle w:val="Heading3"/>
              <w:outlineLvl w:val="2"/>
            </w:pPr>
            <w:r w:rsidRPr="00F46F61">
              <w:rPr>
                <w:b w:val="0"/>
              </w:rPr>
              <w:t>6.1</w:t>
            </w:r>
            <w:r w:rsidRPr="00F46F61">
              <w:t xml:space="preserve"> M&amp;E Design at entry </w:t>
            </w:r>
          </w:p>
        </w:tc>
        <w:tc>
          <w:tcPr>
            <w:tcW w:w="4788" w:type="dxa"/>
            <w:vAlign w:val="center"/>
          </w:tcPr>
          <w:p w14:paraId="7C45749B" w14:textId="3652475A" w:rsidR="00614163" w:rsidRPr="00F46F61" w:rsidRDefault="00614163" w:rsidP="00357FD9">
            <w:r w:rsidRPr="00F46F61">
              <w:t>Rating:</w:t>
            </w:r>
            <w:r w:rsidR="00B707EB" w:rsidRPr="00F46F61">
              <w:t xml:space="preserve"> </w:t>
            </w:r>
            <w:r w:rsidR="00845D4A" w:rsidRPr="000A2DB1">
              <w:rPr>
                <w:b/>
              </w:rPr>
              <w:t>Moderately</w:t>
            </w:r>
            <w:r w:rsidR="00845D4A">
              <w:t xml:space="preserve"> </w:t>
            </w:r>
            <w:r w:rsidR="00685433" w:rsidRPr="00F46F61">
              <w:rPr>
                <w:b/>
              </w:rPr>
              <w:t>Satisfactory</w:t>
            </w:r>
          </w:p>
        </w:tc>
      </w:tr>
    </w:tbl>
    <w:p w14:paraId="459C8E0D" w14:textId="6759E7B6" w:rsidR="00347E26" w:rsidRPr="00347E26" w:rsidRDefault="00786BD1" w:rsidP="006505E9">
      <w:pPr>
        <w:jc w:val="both"/>
      </w:pPr>
      <w:r w:rsidRPr="00347E26">
        <w:t>The Terminal Evaluation (TE)</w:t>
      </w:r>
      <w:r w:rsidR="00B046D1">
        <w:t xml:space="preserve"> does not </w:t>
      </w:r>
      <w:r w:rsidR="00743F3A">
        <w:t>provide</w:t>
      </w:r>
      <w:r w:rsidR="00B046D1">
        <w:t xml:space="preserve"> a </w:t>
      </w:r>
      <w:r w:rsidR="004062CC">
        <w:t>rating for M&amp;E Design</w:t>
      </w:r>
      <w:r w:rsidR="00B046D1">
        <w:t xml:space="preserve">. This TER assesses a rating of </w:t>
      </w:r>
      <w:r w:rsidR="00825E69">
        <w:t xml:space="preserve">moderately </w:t>
      </w:r>
      <w:r w:rsidR="00B046D1">
        <w:t>Satisfactory</w:t>
      </w:r>
      <w:r w:rsidR="00E67A19">
        <w:t xml:space="preserve"> for M&amp;E Design based on the M&amp;E design presented in the PD.</w:t>
      </w:r>
    </w:p>
    <w:p w14:paraId="22AB2C91" w14:textId="3F320945" w:rsidR="00B60122" w:rsidRDefault="000C0F49" w:rsidP="006505E9">
      <w:pPr>
        <w:jc w:val="both"/>
      </w:pPr>
      <w:r>
        <w:t xml:space="preserve">The M&amp;E Design presented in the PD includes guidance calling for the </w:t>
      </w:r>
      <w:r w:rsidR="00F87619">
        <w:t>development</w:t>
      </w:r>
      <w:r>
        <w:t xml:space="preserve"> of</w:t>
      </w:r>
      <w:r w:rsidR="00F87619">
        <w:t xml:space="preserve"> a </w:t>
      </w:r>
      <w:r>
        <w:t xml:space="preserve">detailed monitoring and evaluation plan during year 1 of the project. </w:t>
      </w:r>
      <w:r w:rsidR="00925474">
        <w:t>Overall</w:t>
      </w:r>
      <w:r>
        <w:t xml:space="preserve"> roles and responsibilities f</w:t>
      </w:r>
      <w:r w:rsidR="00925474">
        <w:t>or M&amp;E are set forth in the PD.</w:t>
      </w:r>
      <w:r>
        <w:t xml:space="preserve"> PD calls for a Mid-Term review following year 1, quarterly, annual, and terminal evaluation reports, and involvement of the project Steering Committee</w:t>
      </w:r>
      <w:r w:rsidR="00F87619">
        <w:t xml:space="preserve"> in project M&amp;E</w:t>
      </w:r>
      <w:r>
        <w:t>.</w:t>
      </w:r>
    </w:p>
    <w:p w14:paraId="1BD968E1" w14:textId="446FBA7F" w:rsidR="00B60122" w:rsidRDefault="000C0F49" w:rsidP="006505E9">
      <w:pPr>
        <w:jc w:val="both"/>
      </w:pPr>
      <w:r>
        <w:t xml:space="preserve">PD includes a </w:t>
      </w:r>
      <w:r w:rsidR="00E67A19">
        <w:t xml:space="preserve">Project Results Framework with Outcomes, Outputs, and Indicators, along with means of verifications. Weaknesses in the M&amp;E Framework include a general lack of targets and complete lack of baseline information or guidance on how to acquire baseline information during project implementation. Moreover, the indicators are focused on the output level – no indicators are provided for the project’s three Outcomes. </w:t>
      </w:r>
      <w:r w:rsidR="00076686">
        <w:t xml:space="preserve">While some of the lack of specificity in indicators and targets is reflective of the project’s overall purpose to identifying gaps in the knowledge base of nutrient reduction approaches and thus </w:t>
      </w:r>
      <w:r w:rsidR="00DB2BB5">
        <w:t>is intended to provide</w:t>
      </w:r>
      <w:r w:rsidR="00076686">
        <w:t xml:space="preserve"> flexibility during the project implementation phase to develop a tailored</w:t>
      </w:r>
      <w:r w:rsidR="00DB2BB5">
        <w:t xml:space="preserve"> M&amp;E plan based on preliminary findings</w:t>
      </w:r>
      <w:r w:rsidR="00076686">
        <w:t xml:space="preserve">, the M&amp;E plan would have been strengthened by clearer identification of: (1) </w:t>
      </w:r>
      <w:r w:rsidR="00DB2BB5">
        <w:t>baseline data or means for acquiring baseline data in all key project areas (including for example, information on nutrient reductions best practices; current practices in nutrient management</w:t>
      </w:r>
      <w:r w:rsidR="00076686">
        <w:t xml:space="preserve"> </w:t>
      </w:r>
      <w:r w:rsidR="00DB2BB5">
        <w:t>in targeted areas; awareness of nutrient reduction approaches among key stakeholders)</w:t>
      </w:r>
      <w:r w:rsidR="009D5597">
        <w:t>; (2) timetables for conducting M&amp;E activities (M&amp;E plan only states when project reviews will take place, but does not state what the content of those reviews will be in so far as specific M&amp;E activities and milestones are concerned); SMART indicators an</w:t>
      </w:r>
      <w:r w:rsidR="002D76B0">
        <w:t>d targets, particularly at</w:t>
      </w:r>
      <w:r w:rsidR="00314719">
        <w:t xml:space="preserve"> the Outcome level</w:t>
      </w:r>
      <w:r w:rsidR="002D76B0">
        <w:t xml:space="preserve"> and for pilot replication activities where the indicators provided are especially vague and without targets (eg. “Planning with targeted country officials to implement the replication projects”; or “Identification and engagement of business community, trade associations, individual facilities, and opi</w:t>
      </w:r>
      <w:r w:rsidR="00925474">
        <w:t>n</w:t>
      </w:r>
      <w:r w:rsidR="002D76B0">
        <w:t>ion-leader businesses focused within specific industry sectors relevant to nutrient reduction, as well as selected other relevant key stakeholders.”</w:t>
      </w:r>
    </w:p>
    <w:p w14:paraId="00C9D939" w14:textId="790186D1" w:rsidR="00170C8B" w:rsidRDefault="000C0F49" w:rsidP="003165D6">
      <w:pPr>
        <w:jc w:val="both"/>
      </w:pPr>
      <w:r>
        <w:t xml:space="preserve">A dedicated budget component is provided </w:t>
      </w:r>
      <w:r w:rsidR="00925474">
        <w:t>for M&amp;E activities (PD, pg 40).</w:t>
      </w:r>
    </w:p>
    <w:tbl>
      <w:tblPr>
        <w:tblStyle w:val="TableGrid"/>
        <w:tblW w:w="0" w:type="auto"/>
        <w:tblLook w:val="04A0" w:firstRow="1" w:lastRow="0" w:firstColumn="1" w:lastColumn="0" w:noHBand="0" w:noVBand="1"/>
      </w:tblPr>
      <w:tblGrid>
        <w:gridCol w:w="4685"/>
        <w:gridCol w:w="4665"/>
      </w:tblGrid>
      <w:tr w:rsidR="00614163" w14:paraId="3889D313" w14:textId="77777777" w:rsidTr="00347E26">
        <w:tc>
          <w:tcPr>
            <w:tcW w:w="4685" w:type="dxa"/>
          </w:tcPr>
          <w:p w14:paraId="5A9F1A26" w14:textId="77777777" w:rsidR="00614163" w:rsidRPr="00B143D7" w:rsidRDefault="00614163" w:rsidP="00614163">
            <w:pPr>
              <w:pStyle w:val="Heading3"/>
              <w:outlineLvl w:val="2"/>
            </w:pPr>
            <w:r w:rsidRPr="00B143D7">
              <w:rPr>
                <w:b w:val="0"/>
              </w:rPr>
              <w:t>6.2</w:t>
            </w:r>
            <w:r w:rsidRPr="00B143D7">
              <w:t xml:space="preserve"> M&amp;E Implementation </w:t>
            </w:r>
          </w:p>
        </w:tc>
        <w:tc>
          <w:tcPr>
            <w:tcW w:w="4665" w:type="dxa"/>
            <w:vAlign w:val="center"/>
          </w:tcPr>
          <w:p w14:paraId="24BB17B9" w14:textId="0FA2B215" w:rsidR="00614163" w:rsidRPr="00B143D7" w:rsidRDefault="00614163" w:rsidP="000108C0">
            <w:r w:rsidRPr="00B143D7">
              <w:t>Rating:</w:t>
            </w:r>
            <w:r w:rsidR="00685433" w:rsidRPr="00B143D7">
              <w:rPr>
                <w:b/>
              </w:rPr>
              <w:t xml:space="preserve"> </w:t>
            </w:r>
            <w:r w:rsidR="00825E69">
              <w:rPr>
                <w:b/>
              </w:rPr>
              <w:t xml:space="preserve">Moderately </w:t>
            </w:r>
            <w:r w:rsidR="00685433" w:rsidRPr="00B143D7">
              <w:rPr>
                <w:b/>
              </w:rPr>
              <w:t>Satisfactory</w:t>
            </w:r>
          </w:p>
        </w:tc>
      </w:tr>
    </w:tbl>
    <w:p w14:paraId="726D719F" w14:textId="2A999E0A" w:rsidR="00B976C3" w:rsidRDefault="00347E26" w:rsidP="00D04302">
      <w:pPr>
        <w:jc w:val="both"/>
      </w:pPr>
      <w:r w:rsidRPr="00347E26">
        <w:t>The Terminal Evaluation (TE)</w:t>
      </w:r>
      <w:r w:rsidR="00F46F61">
        <w:t xml:space="preserve"> and the last</w:t>
      </w:r>
      <w:r w:rsidR="00F46F61" w:rsidRPr="00715CF5">
        <w:rPr>
          <w:rFonts w:eastAsiaTheme="minorEastAsia"/>
          <w:lang w:val="en-GB"/>
        </w:rPr>
        <w:t xml:space="preserve"> Project Implementation Review (PIR) </w:t>
      </w:r>
      <w:r w:rsidR="00F46F61">
        <w:rPr>
          <w:rFonts w:eastAsiaTheme="minorEastAsia"/>
          <w:lang w:val="en-GB"/>
        </w:rPr>
        <w:t xml:space="preserve">rated the </w:t>
      </w:r>
      <w:r w:rsidR="00801919">
        <w:rPr>
          <w:rFonts w:eastAsiaTheme="minorEastAsia"/>
          <w:lang w:val="en-GB"/>
        </w:rPr>
        <w:t>M&amp;E Implementation</w:t>
      </w:r>
      <w:r w:rsidR="00F46F61">
        <w:rPr>
          <w:rFonts w:eastAsiaTheme="minorEastAsia"/>
          <w:lang w:val="en-GB"/>
        </w:rPr>
        <w:t xml:space="preserve"> as</w:t>
      </w:r>
      <w:r w:rsidR="00F46F61" w:rsidRPr="00715CF5">
        <w:rPr>
          <w:rFonts w:eastAsiaTheme="minorEastAsia"/>
          <w:lang w:val="en-GB"/>
        </w:rPr>
        <w:t xml:space="preserve"> ‘satisfactory’</w:t>
      </w:r>
      <w:r w:rsidRPr="00347E26">
        <w:t xml:space="preserve">. </w:t>
      </w:r>
      <w:r w:rsidR="00314719">
        <w:t>However, this</w:t>
      </w:r>
      <w:r w:rsidR="00314719" w:rsidRPr="00347E26">
        <w:t xml:space="preserve"> </w:t>
      </w:r>
      <w:r w:rsidRPr="00347E26">
        <w:t xml:space="preserve">review </w:t>
      </w:r>
      <w:r w:rsidR="00314719">
        <w:t>assesses a Moderately Satisfactory rating to M&amp;E Implementation, based on moderate shortcomings that are identified in the text of the TE</w:t>
      </w:r>
      <w:r w:rsidR="00627737">
        <w:t>, including an overly optimistic 2010 PIR, and inadequate support provided for training on M&amp;E</w:t>
      </w:r>
      <w:r w:rsidRPr="00347E26">
        <w:t xml:space="preserve">. </w:t>
      </w:r>
      <w:r w:rsidR="00B976C3">
        <w:t xml:space="preserve"> </w:t>
      </w:r>
    </w:p>
    <w:p w14:paraId="4CFADB4B" w14:textId="7E0841A7" w:rsidR="00475C7F" w:rsidRDefault="00597BBE" w:rsidP="009D10E6">
      <w:pPr>
        <w:jc w:val="both"/>
      </w:pPr>
      <w:r>
        <w:t xml:space="preserve">TE states that “the project developed a detailed Monitoring and Evaluation Plan,” although little information is provided on the content of that plan. TE states that the planned Mid-Term evaluation was not carried out, although reasons for this are not discussed. </w:t>
      </w:r>
      <w:r w:rsidR="00475C7F">
        <w:t xml:space="preserve">TE also states that the Project Steering committee has “played an important part in the overall monitoring work within the project,” and that they have been “responsive and constructive in their feedback.” (TE, pg 24). </w:t>
      </w:r>
    </w:p>
    <w:p w14:paraId="697ADB91" w14:textId="20350267" w:rsidR="00597BBE" w:rsidRDefault="00597BBE" w:rsidP="009D10E6">
      <w:pPr>
        <w:jc w:val="both"/>
      </w:pPr>
      <w:r>
        <w:t>TE does not</w:t>
      </w:r>
      <w:r w:rsidR="00825E69">
        <w:t>e</w:t>
      </w:r>
      <w:r>
        <w:t xml:space="preserve"> some shortcomings in M&amp;E implementation. TE states that </w:t>
      </w:r>
      <w:r w:rsidR="00475C7F">
        <w:t xml:space="preserve">the 2010 PIR was overly-optimistic in its assessment that all project activities could be finalized by the end of 2010 (at time of TE, finalization of work was still ongoing into Q2 of 2011). </w:t>
      </w:r>
      <w:r w:rsidR="00825E69">
        <w:t xml:space="preserve">It furthermore makes reference to the “impact of short timeframe” (TE, p.38) which contributed to a lack of M&amp;E </w:t>
      </w:r>
      <w:r w:rsidR="00E124B4">
        <w:t>and “proper follow-up in actions to secure and optimize impact and sustainability.”</w:t>
      </w:r>
      <w:r w:rsidR="00071303">
        <w:t xml:space="preserve"> The evaluators </w:t>
      </w:r>
      <w:r w:rsidR="00627737">
        <w:t>state</w:t>
      </w:r>
      <w:r w:rsidR="00071303">
        <w:t xml:space="preserve"> that technical support for M&amp;E and follow-up activities “should include a project planning phase before he ‘live implementation’ phase. (ibid) The TE however does not </w:t>
      </w:r>
      <w:r w:rsidR="00627737">
        <w:t xml:space="preserve">provide more detailed </w:t>
      </w:r>
      <w:r w:rsidR="00071303">
        <w:t xml:space="preserve">examples </w:t>
      </w:r>
      <w:r w:rsidR="00627737">
        <w:t>of</w:t>
      </w:r>
      <w:r w:rsidR="00071303">
        <w:t xml:space="preserve"> these shortcomings. </w:t>
      </w:r>
    </w:p>
    <w:p w14:paraId="08380FCD" w14:textId="08820773" w:rsidR="0032760F" w:rsidRPr="00403512" w:rsidRDefault="00357FD9" w:rsidP="00873DE4">
      <w:pPr>
        <w:jc w:val="both"/>
      </w:pPr>
      <w:r>
        <w:t xml:space="preserve">The TE </w:t>
      </w:r>
      <w:r w:rsidR="00627737">
        <w:t>also notes</w:t>
      </w:r>
      <w:r>
        <w:t xml:space="preserve"> significant w</w:t>
      </w:r>
      <w:r w:rsidR="00B707EB">
        <w:t xml:space="preserve">eakness in monitoring due to insufficient rigor with regard to nutrient monitoring in some DPs </w:t>
      </w:r>
      <w:r w:rsidR="00627737">
        <w:t>with the result that</w:t>
      </w:r>
      <w:r w:rsidR="00B707EB">
        <w:t xml:space="preserve"> their value as demonstration projects</w:t>
      </w:r>
      <w:r w:rsidR="00627737">
        <w:t xml:space="preserve"> was diminished</w:t>
      </w:r>
      <w:r w:rsidR="00B707EB">
        <w:t>.</w:t>
      </w:r>
      <w:r w:rsidR="00627737">
        <w:t xml:space="preserve"> </w:t>
      </w:r>
    </w:p>
    <w:p w14:paraId="69C2CFD0" w14:textId="77777777" w:rsidR="000218A0" w:rsidRDefault="0022787B" w:rsidP="0022787B">
      <w:pPr>
        <w:pStyle w:val="Heading1"/>
      </w:pPr>
      <w:r>
        <w:t>7. Assessment of project</w:t>
      </w:r>
      <w:r w:rsidR="000218A0">
        <w:t xml:space="preserve"> </w:t>
      </w:r>
      <w:r>
        <w:t>implementation and e</w:t>
      </w:r>
      <w:r w:rsidR="000218A0">
        <w:t>xecution</w:t>
      </w:r>
    </w:p>
    <w:p w14:paraId="71AB3C12" w14:textId="77777777"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512C72C1" w14:textId="77777777" w:rsidR="00614163" w:rsidRPr="004E671E" w:rsidRDefault="00614163" w:rsidP="00614163">
      <w:pPr>
        <w:rPr>
          <w:rFonts w:asciiTheme="majorHAnsi" w:hAnsiTheme="majorHAnsi"/>
        </w:rPr>
      </w:pPr>
      <w:r>
        <w:rPr>
          <w:rFonts w:asciiTheme="majorHAnsi" w:hAnsiTheme="majorHAnsi"/>
        </w:rPr>
        <w:t>Please justify ratings in the space below each box.</w:t>
      </w:r>
    </w:p>
    <w:p w14:paraId="313B2577" w14:textId="77777777" w:rsidR="00614163" w:rsidRPr="000C6514" w:rsidRDefault="00614163" w:rsidP="008B3045">
      <w:pPr>
        <w:rPr>
          <w:rFonts w:asciiTheme="majorHAnsi" w:hAnsiTheme="majorHAnsi"/>
        </w:rPr>
      </w:pPr>
    </w:p>
    <w:tbl>
      <w:tblPr>
        <w:tblStyle w:val="TableGrid"/>
        <w:tblW w:w="0" w:type="auto"/>
        <w:tblLook w:val="04A0" w:firstRow="1" w:lastRow="0" w:firstColumn="1" w:lastColumn="0" w:noHBand="0" w:noVBand="1"/>
      </w:tblPr>
      <w:tblGrid>
        <w:gridCol w:w="4685"/>
        <w:gridCol w:w="4665"/>
      </w:tblGrid>
      <w:tr w:rsidR="00614163" w14:paraId="322BEEFB" w14:textId="77777777" w:rsidTr="000108C0">
        <w:tc>
          <w:tcPr>
            <w:tcW w:w="4788" w:type="dxa"/>
          </w:tcPr>
          <w:p w14:paraId="4519076B" w14:textId="77777777" w:rsidR="00614163" w:rsidRPr="008660D7" w:rsidRDefault="00614163" w:rsidP="00614163">
            <w:pPr>
              <w:pStyle w:val="Heading3"/>
              <w:outlineLvl w:val="2"/>
            </w:pPr>
            <w:r w:rsidRPr="008660D7">
              <w:rPr>
                <w:b w:val="0"/>
              </w:rPr>
              <w:t>7.1</w:t>
            </w:r>
            <w:r w:rsidRPr="008660D7">
              <w:t xml:space="preserve"> Quality of Project Implementation </w:t>
            </w:r>
          </w:p>
        </w:tc>
        <w:tc>
          <w:tcPr>
            <w:tcW w:w="4788" w:type="dxa"/>
            <w:vAlign w:val="center"/>
          </w:tcPr>
          <w:p w14:paraId="6C3E6EC2" w14:textId="77777777" w:rsidR="00614163" w:rsidRPr="008660D7" w:rsidRDefault="00614163" w:rsidP="000108C0">
            <w:r w:rsidRPr="008660D7">
              <w:t>Rating:</w:t>
            </w:r>
            <w:r w:rsidR="00685433" w:rsidRPr="008660D7">
              <w:rPr>
                <w:b/>
              </w:rPr>
              <w:t xml:space="preserve"> Satisfactory</w:t>
            </w:r>
          </w:p>
        </w:tc>
      </w:tr>
    </w:tbl>
    <w:p w14:paraId="5A7BD93E" w14:textId="2595FEFE" w:rsidR="00C416B0" w:rsidRDefault="00800B41" w:rsidP="00593562">
      <w:pPr>
        <w:rPr>
          <w:rFonts w:eastAsiaTheme="minorEastAsia"/>
          <w:lang w:val="en-GB"/>
        </w:rPr>
      </w:pPr>
      <w:r>
        <w:rPr>
          <w:rFonts w:eastAsiaTheme="minorEastAsia"/>
          <w:lang w:val="en-GB"/>
        </w:rPr>
        <w:t>TE rates the quality of Project Implementation as Satisfactory and this TE</w:t>
      </w:r>
      <w:r w:rsidR="009870B4">
        <w:rPr>
          <w:rFonts w:eastAsiaTheme="minorEastAsia"/>
          <w:lang w:val="en-GB"/>
        </w:rPr>
        <w:t xml:space="preserve">R concurs with that assessment based on following reasons. </w:t>
      </w:r>
    </w:p>
    <w:p w14:paraId="2904D730" w14:textId="2A3DB7A0" w:rsidR="00614163" w:rsidRDefault="00F07B54" w:rsidP="00614163">
      <w:r>
        <w:rPr>
          <w:rFonts w:eastAsiaTheme="minorEastAsia"/>
          <w:lang w:val="en-GB"/>
        </w:rPr>
        <w:t>TE states that UNDP, through its regional office in Bratislava, played “…a key role in the support and monitoring of the project.” (TE, pg 25). Moreover, TE states that stakeholders perceived UNDP’s efforts as being persistent “…in ensuring that the project met its objectives and that solutions were found to challenges encountered along the way.” (TE, pg 25). Shortcomings include weaknesses in the M&amp;E design noted above</w:t>
      </w:r>
      <w:r w:rsidR="00071303">
        <w:rPr>
          <w:rStyle w:val="CommentReference"/>
        </w:rPr>
        <w:t xml:space="preserve">, </w:t>
      </w:r>
      <w:r w:rsidR="00071303" w:rsidRPr="000A2DB1">
        <w:rPr>
          <w:rFonts w:eastAsiaTheme="minorEastAsia"/>
          <w:lang w:val="en-GB"/>
        </w:rPr>
        <w:t xml:space="preserve">especially </w:t>
      </w:r>
      <w:r>
        <w:rPr>
          <w:rFonts w:eastAsiaTheme="minorEastAsia"/>
          <w:lang w:val="en-GB"/>
        </w:rPr>
        <w:t xml:space="preserve"> </w:t>
      </w:r>
      <w:r w:rsidR="00071303">
        <w:rPr>
          <w:rFonts w:eastAsiaTheme="minorEastAsia"/>
          <w:lang w:val="en-GB"/>
        </w:rPr>
        <w:t>regarding the overly ambitious timetables for demonstration projects and the lack of follow-up mechanisms after wards in order to ensure follow-up activities.</w:t>
      </w:r>
    </w:p>
    <w:tbl>
      <w:tblPr>
        <w:tblStyle w:val="TableGrid"/>
        <w:tblW w:w="0" w:type="auto"/>
        <w:tblLook w:val="04A0" w:firstRow="1" w:lastRow="0" w:firstColumn="1" w:lastColumn="0" w:noHBand="0" w:noVBand="1"/>
      </w:tblPr>
      <w:tblGrid>
        <w:gridCol w:w="4674"/>
        <w:gridCol w:w="4676"/>
      </w:tblGrid>
      <w:tr w:rsidR="00614163" w14:paraId="3139E50E" w14:textId="77777777" w:rsidTr="00932023">
        <w:tc>
          <w:tcPr>
            <w:tcW w:w="4674" w:type="dxa"/>
          </w:tcPr>
          <w:p w14:paraId="39C0212F" w14:textId="77777777" w:rsidR="00614163" w:rsidRPr="00932023" w:rsidRDefault="00614163" w:rsidP="00614163">
            <w:pPr>
              <w:pStyle w:val="Heading3"/>
              <w:outlineLvl w:val="2"/>
            </w:pPr>
            <w:r w:rsidRPr="00932023">
              <w:rPr>
                <w:b w:val="0"/>
              </w:rPr>
              <w:t>7.2</w:t>
            </w:r>
            <w:r w:rsidRPr="00932023">
              <w:t xml:space="preserve"> Quality of Project Execution </w:t>
            </w:r>
          </w:p>
        </w:tc>
        <w:tc>
          <w:tcPr>
            <w:tcW w:w="4676" w:type="dxa"/>
            <w:vAlign w:val="center"/>
          </w:tcPr>
          <w:p w14:paraId="1AC5CC43" w14:textId="77777777" w:rsidR="00614163" w:rsidRPr="00932023" w:rsidRDefault="00614163" w:rsidP="000108C0">
            <w:r w:rsidRPr="00932023">
              <w:t>Rating:</w:t>
            </w:r>
            <w:r w:rsidR="00685433" w:rsidRPr="00932023">
              <w:rPr>
                <w:b/>
              </w:rPr>
              <w:t xml:space="preserve"> Satisfactory</w:t>
            </w:r>
          </w:p>
        </w:tc>
      </w:tr>
    </w:tbl>
    <w:p w14:paraId="15152534" w14:textId="5A5A9986" w:rsidR="009801BE" w:rsidRPr="00932023" w:rsidRDefault="00932023" w:rsidP="00932023">
      <w:pPr>
        <w:rPr>
          <w:rFonts w:eastAsiaTheme="minorEastAsia"/>
          <w:lang w:val="en-GB"/>
        </w:rPr>
      </w:pPr>
      <w:r>
        <w:rPr>
          <w:rFonts w:eastAsiaTheme="minorEastAsia"/>
          <w:lang w:val="en-GB"/>
        </w:rPr>
        <w:t>TE rates the quality of Project Implementation as Satisfactory and this TER concurs with that assessment. The</w:t>
      </w:r>
      <w:r w:rsidR="009801BE">
        <w:rPr>
          <w:rFonts w:cs="Calibri"/>
          <w:bCs/>
        </w:rPr>
        <w:t xml:space="preserve"> quality of the project execution</w:t>
      </w:r>
      <w:r w:rsidR="00433C66">
        <w:rPr>
          <w:rFonts w:cs="Calibri"/>
          <w:bCs/>
        </w:rPr>
        <w:t xml:space="preserve"> by the Global Environment &amp;Technology Foundation (GETF)</w:t>
      </w:r>
      <w:r w:rsidR="009801BE">
        <w:rPr>
          <w:rFonts w:cs="Calibri"/>
          <w:bCs/>
        </w:rPr>
        <w:t xml:space="preserve"> was consequently to the implementation satisfactory too. The Terminal Evaluation however highlights several aspects which have to be taken in consideration- in the positive as in the negative.  </w:t>
      </w:r>
    </w:p>
    <w:p w14:paraId="6740EA92" w14:textId="19E77280" w:rsidR="00CF470E" w:rsidRPr="009801BE" w:rsidRDefault="00CF470E" w:rsidP="009801BE">
      <w:pPr>
        <w:spacing w:before="120" w:after="60"/>
        <w:jc w:val="both"/>
        <w:rPr>
          <w:rFonts w:cs="Calibri"/>
          <w:lang w:val="en-GB"/>
        </w:rPr>
      </w:pPr>
      <w:r w:rsidRPr="009801BE">
        <w:rPr>
          <w:rFonts w:cs="Calibri"/>
          <w:lang w:val="en-GB"/>
        </w:rPr>
        <w:t>The</w:t>
      </w:r>
      <w:r w:rsidR="009801BE">
        <w:rPr>
          <w:rFonts w:cs="Calibri"/>
          <w:lang w:val="en-GB"/>
        </w:rPr>
        <w:t xml:space="preserve"> TE </w:t>
      </w:r>
      <w:r w:rsidR="0091265B">
        <w:rPr>
          <w:rFonts w:cs="Calibri"/>
          <w:lang w:val="en-GB"/>
        </w:rPr>
        <w:t>states that the project’s</w:t>
      </w:r>
      <w:r w:rsidR="009801BE">
        <w:rPr>
          <w:rFonts w:cs="Calibri"/>
          <w:lang w:val="en-GB"/>
        </w:rPr>
        <w:t xml:space="preserve"> </w:t>
      </w:r>
      <w:r w:rsidR="0091265B">
        <w:rPr>
          <w:rFonts w:cs="Calibri"/>
          <w:lang w:val="en-GB"/>
        </w:rPr>
        <w:t xml:space="preserve">short timetable </w:t>
      </w:r>
      <w:r w:rsidR="00157989">
        <w:rPr>
          <w:rFonts w:cs="Calibri"/>
          <w:lang w:val="en-GB"/>
        </w:rPr>
        <w:t>contributed to weaknesses in</w:t>
      </w:r>
      <w:r w:rsidR="007101A7">
        <w:rPr>
          <w:rFonts w:cs="Calibri"/>
          <w:lang w:val="en-GB"/>
        </w:rPr>
        <w:t xml:space="preserve"> the monitoring of some demonstration projects, in particular in the case of Albania. The TE comes to the conclusion that the short timeframe “</w:t>
      </w:r>
      <w:r w:rsidRPr="009801BE">
        <w:rPr>
          <w:rFonts w:cs="Calibri"/>
          <w:lang w:val="en-GB"/>
        </w:rPr>
        <w:t>has contributed also to a lack of monitoring and proper follow-up in actions to secure or opt</w:t>
      </w:r>
      <w:r w:rsidR="007101A7">
        <w:rPr>
          <w:rFonts w:cs="Calibri"/>
          <w:lang w:val="en-GB"/>
        </w:rPr>
        <w:t xml:space="preserve">imise impact and sustainability”. </w:t>
      </w:r>
      <w:r w:rsidRPr="009801BE">
        <w:rPr>
          <w:rFonts w:cs="Calibri"/>
          <w:lang w:val="en-GB"/>
        </w:rPr>
        <w:t xml:space="preserve"> On the other hand, it </w:t>
      </w:r>
      <w:r w:rsidR="007101A7">
        <w:rPr>
          <w:rFonts w:cs="Calibri"/>
          <w:lang w:val="en-GB"/>
        </w:rPr>
        <w:t>admits that “</w:t>
      </w:r>
      <w:r w:rsidRPr="009801BE">
        <w:rPr>
          <w:rFonts w:cs="Calibri"/>
          <w:lang w:val="en-GB"/>
        </w:rPr>
        <w:t>short timeframes helped focus minds and contributed to building local mobilisation, along with the pressure/demands of local co-financing.</w:t>
      </w:r>
      <w:r w:rsidR="007101A7">
        <w:rPr>
          <w:rFonts w:cs="Calibri"/>
          <w:lang w:val="en-GB"/>
        </w:rPr>
        <w:t>”</w:t>
      </w:r>
      <w:r w:rsidRPr="009801BE">
        <w:rPr>
          <w:rFonts w:cs="Calibri"/>
          <w:lang w:val="en-GB"/>
        </w:rPr>
        <w:t xml:space="preserve"> </w:t>
      </w:r>
    </w:p>
    <w:p w14:paraId="4073C319" w14:textId="12EC6C07" w:rsidR="007101A7" w:rsidRDefault="00157989" w:rsidP="007101A7">
      <w:pPr>
        <w:spacing w:before="120" w:after="60"/>
        <w:jc w:val="both"/>
        <w:rPr>
          <w:lang w:val="en-GB"/>
        </w:rPr>
      </w:pPr>
      <w:r>
        <w:rPr>
          <w:rFonts w:cs="Calibri"/>
          <w:bCs/>
          <w:lang w:val="en-GB"/>
        </w:rPr>
        <w:t xml:space="preserve">As noted above, TE finds that all project activities were successfully executed, including 4 demonstration projects, compared to the PD’s target of 2. </w:t>
      </w:r>
      <w:r w:rsidR="007101A7">
        <w:rPr>
          <w:lang w:val="en-GB"/>
        </w:rPr>
        <w:t xml:space="preserve">TE </w:t>
      </w:r>
      <w:r>
        <w:rPr>
          <w:lang w:val="en-GB"/>
        </w:rPr>
        <w:t>finds that the</w:t>
      </w:r>
      <w:r w:rsidR="007101A7">
        <w:rPr>
          <w:lang w:val="en-GB"/>
        </w:rPr>
        <w:t xml:space="preserve"> effectiveness of Nutrient reduction (NR) strategies could have been further </w:t>
      </w:r>
      <w:r>
        <w:rPr>
          <w:lang w:val="en-GB"/>
        </w:rPr>
        <w:t>enhanced</w:t>
      </w:r>
      <w:r w:rsidRPr="009801BE">
        <w:rPr>
          <w:lang w:val="en-GB"/>
        </w:rPr>
        <w:t xml:space="preserve"> </w:t>
      </w:r>
      <w:r w:rsidR="00CF470E" w:rsidRPr="009801BE">
        <w:rPr>
          <w:lang w:val="en-GB"/>
        </w:rPr>
        <w:t xml:space="preserve">by a more comprehensive online content and resource repository. </w:t>
      </w:r>
    </w:p>
    <w:p w14:paraId="74D94B75" w14:textId="4904A59D" w:rsidR="00CF470E" w:rsidRPr="00EC70CC" w:rsidRDefault="00157989" w:rsidP="000A2DB1">
      <w:pPr>
        <w:spacing w:before="120" w:after="60"/>
        <w:jc w:val="both"/>
      </w:pPr>
      <w:r>
        <w:rPr>
          <w:lang w:val="en-GB"/>
        </w:rPr>
        <w:t>TE finds that execution of the project’s demonstration projects</w:t>
      </w:r>
      <w:r w:rsidR="00B56614">
        <w:rPr>
          <w:lang w:val="en-GB"/>
        </w:rPr>
        <w:t xml:space="preserve"> </w:t>
      </w:r>
      <w:r>
        <w:rPr>
          <w:lang w:val="en-GB"/>
        </w:rPr>
        <w:t>was</w:t>
      </w:r>
      <w:r w:rsidR="00B56614">
        <w:rPr>
          <w:rFonts w:cs="Calibri"/>
          <w:lang w:val="en-GB"/>
        </w:rPr>
        <w:t xml:space="preserve"> very effective in mobilizing</w:t>
      </w:r>
      <w:r w:rsidR="0032760F" w:rsidRPr="0032760F">
        <w:rPr>
          <w:rFonts w:cs="Calibri"/>
          <w:lang w:val="en-GB"/>
        </w:rPr>
        <w:t xml:space="preserve"> significant local stakeholder involvement and ownership</w:t>
      </w:r>
      <w:r w:rsidR="00B56614">
        <w:rPr>
          <w:rFonts w:cs="Calibri"/>
          <w:lang w:val="en-GB"/>
        </w:rPr>
        <w:t xml:space="preserve"> as visible in the Moldova project, where local stakeholders championed in engaging local population in the project.  </w:t>
      </w:r>
    </w:p>
    <w:p w14:paraId="4F30B4D3" w14:textId="77777777" w:rsidR="00C533B2" w:rsidRDefault="00B20A23" w:rsidP="00A8692C">
      <w:pPr>
        <w:pStyle w:val="Heading1"/>
      </w:pPr>
      <w:r w:rsidRPr="00E470B8">
        <w:t>8. Assessment of Project Impacts</w:t>
      </w:r>
    </w:p>
    <w:p w14:paraId="1A95DD18" w14:textId="77777777" w:rsidR="00A8692C" w:rsidRPr="00A8692C" w:rsidRDefault="00A8692C" w:rsidP="00A8692C"/>
    <w:p w14:paraId="024F9E6A" w14:textId="77777777" w:rsidR="00C533B2" w:rsidRPr="00C533B2" w:rsidRDefault="00A8692C" w:rsidP="00B20A23">
      <w:pPr>
        <w:rPr>
          <w:b/>
          <w:i/>
        </w:rPr>
      </w:pPr>
      <w:r>
        <w:rPr>
          <w:b/>
          <w:bCs/>
          <w:i/>
          <w:iCs/>
        </w:rPr>
        <w:t xml:space="preserve">Note - </w:t>
      </w:r>
      <w:r w:rsidR="00343C93">
        <w:rPr>
          <w:b/>
          <w:bCs/>
          <w:i/>
          <w:iCs/>
        </w:rPr>
        <w:t>In instances where information on any impact related topic is not provided in the terminal evaluations, the reviewer should indicate below that this is indeed the case. When providing information on topics related to impact, please cite the page number of the terminal evaluation from where the information is sourced</w:t>
      </w:r>
      <w:r w:rsidR="00C533B2">
        <w:rPr>
          <w:b/>
          <w:i/>
        </w:rPr>
        <w:t>.</w:t>
      </w:r>
    </w:p>
    <w:p w14:paraId="437D00EE" w14:textId="77777777" w:rsidR="00B20A23" w:rsidRDefault="00B20A23" w:rsidP="00B20A23">
      <w:r w:rsidRPr="00E470B8">
        <w:t>8.1 Environmental Change. Describe the changes in environmental stress and environmental status 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64926637" w14:textId="399D813F" w:rsidR="00157989" w:rsidRPr="00E470B8" w:rsidRDefault="00157989" w:rsidP="00B20A23">
      <w:r>
        <w:t xml:space="preserve">TE does not provide any assessment of any </w:t>
      </w:r>
      <w:r w:rsidRPr="00E470B8">
        <w:t>changes in environmental stress and environmental status that occurred by the end of the project</w:t>
      </w:r>
    </w:p>
    <w:p w14:paraId="742AD584" w14:textId="77777777" w:rsidR="00B20A23" w:rsidRDefault="00B20A23" w:rsidP="00B20A23">
      <w:r w:rsidRPr="00E470B8">
        <w:t>8.2 Socioeconomic change. Describe any changes in human well-being (</w:t>
      </w:r>
      <w:r w:rsidRPr="00E470B8">
        <w:rPr>
          <w:rFonts w:cstheme="minorHAnsi"/>
          <w:color w:val="000000"/>
        </w:rPr>
        <w:t xml:space="preserve">income, education, health, community relationships, etc.) </w:t>
      </w:r>
      <w:r w:rsidRPr="00E470B8">
        <w:t>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2A4E2D34" w14:textId="77777777" w:rsidR="003A78FE" w:rsidRPr="00E470B8" w:rsidRDefault="003A78FE" w:rsidP="003A78FE">
      <w:r>
        <w:t>No assessment possible.</w:t>
      </w:r>
    </w:p>
    <w:p w14:paraId="1428EE4C" w14:textId="77777777" w:rsidR="00B20A23" w:rsidRPr="00E470B8" w:rsidRDefault="00B20A23" w:rsidP="00B20A23">
      <w:r w:rsidRPr="007063EA">
        <w:t>8.3 Capacity and governance changes. Describe notable changes in capacities and governance that can lead to large-scale action (both mass and legislative) bringing about positive environmental change. “Capacities” include awareness, knowledge, skills, infrastructure, and environmental monitoring systems, among others. “Governance” refers to decision-making processes, structures and systems, including access to and use of information, and thus would include laws, administrative bodies, trust-building and conflict resolution processes, information-sharing systems, etc. Indicate how project activities contributed to/ hindered these changes, as well as how contextual factors have influenced these changes.</w:t>
      </w:r>
    </w:p>
    <w:p w14:paraId="014A9B40" w14:textId="77777777" w:rsidR="00B20A23" w:rsidRDefault="00B20A23" w:rsidP="00B20A23">
      <w:pPr>
        <w:ind w:firstLine="720"/>
      </w:pPr>
      <w:r w:rsidRPr="00E470B8">
        <w:t>a) Capacities</w:t>
      </w:r>
    </w:p>
    <w:p w14:paraId="26329E39" w14:textId="77777777" w:rsidR="007063EA" w:rsidRDefault="007063EA" w:rsidP="00D65261">
      <w:pPr>
        <w:jc w:val="both"/>
      </w:pPr>
      <w:r>
        <w:t>The project immanent idea of establishing demonstration projects in different countries, was based on the goal to enhance knowledge about best strategies and prove the replicability in different contexts. It is one of the great merits of this project that they managed to double the amount of demonstrations projects. However, the implementation of them was not possible without the support of local stakeholders, and in some cases with rather drastic consequences. Local demonstration projects like in Albania and Moldova had to experience a strong skepticism from side of the local population, which could only be appeased</w:t>
      </w:r>
      <w:r w:rsidR="00B435D5">
        <w:t xml:space="preserve"> though active involvement and engagement of governmental actors, who were convinced about the project. </w:t>
      </w:r>
      <w:r>
        <w:t xml:space="preserve"> </w:t>
      </w:r>
    </w:p>
    <w:p w14:paraId="7EECBE7B" w14:textId="77777777" w:rsidR="00BF5405" w:rsidRPr="002170F1" w:rsidRDefault="00BF5405" w:rsidP="00D65261">
      <w:pPr>
        <w:jc w:val="both"/>
        <w:rPr>
          <w:rFonts w:eastAsiaTheme="minorEastAsia"/>
          <w:lang w:val="en-GB"/>
        </w:rPr>
      </w:pPr>
      <w:r>
        <w:rPr>
          <w:rFonts w:eastAsiaTheme="minorEastAsia"/>
          <w:lang w:val="en-GB"/>
        </w:rPr>
        <w:t xml:space="preserve">Furthermore, </w:t>
      </w:r>
      <w:r w:rsidR="004915F0">
        <w:rPr>
          <w:rFonts w:eastAsiaTheme="minorEastAsia"/>
          <w:lang w:val="en-GB"/>
        </w:rPr>
        <w:t xml:space="preserve">the TE states that </w:t>
      </w:r>
      <w:r>
        <w:rPr>
          <w:rFonts w:eastAsiaTheme="minorEastAsia"/>
          <w:lang w:val="en-GB"/>
        </w:rPr>
        <w:t>t</w:t>
      </w:r>
      <w:r w:rsidRPr="00D66E71">
        <w:rPr>
          <w:rFonts w:eastAsiaTheme="minorEastAsia"/>
          <w:lang w:val="en-GB"/>
        </w:rPr>
        <w:t xml:space="preserve">he Peer to Peer exchanges </w:t>
      </w:r>
      <w:r w:rsidR="004915F0">
        <w:rPr>
          <w:rFonts w:eastAsiaTheme="minorEastAsia"/>
          <w:lang w:val="en-GB"/>
        </w:rPr>
        <w:t xml:space="preserve">proved themselves as a </w:t>
      </w:r>
      <w:r w:rsidRPr="00D66E71">
        <w:rPr>
          <w:rFonts w:eastAsiaTheme="minorEastAsia"/>
          <w:lang w:val="en-GB"/>
        </w:rPr>
        <w:t xml:space="preserve">valuable platform to build capacity of local stakeholders and share experience and knowledge with experts from outside the regions. </w:t>
      </w:r>
    </w:p>
    <w:p w14:paraId="5B546EDA" w14:textId="77777777" w:rsidR="00B20A23" w:rsidRDefault="00B20A23" w:rsidP="00B20A23">
      <w:pPr>
        <w:ind w:firstLine="720"/>
      </w:pPr>
      <w:r w:rsidRPr="00E470B8">
        <w:t>b) Governance</w:t>
      </w:r>
    </w:p>
    <w:p w14:paraId="512D94A9" w14:textId="77777777" w:rsidR="0032760F" w:rsidRPr="00C416B0" w:rsidRDefault="0032760F" w:rsidP="0032760F">
      <w:pPr>
        <w:rPr>
          <w:rFonts w:cs="Calibri"/>
          <w:lang w:val="en-GB"/>
        </w:rPr>
      </w:pPr>
      <w:r>
        <w:t>Major impact</w:t>
      </w:r>
      <w:r w:rsidR="00B56614">
        <w:t xml:space="preserve"> on local governance was visible for example in Albania. D</w:t>
      </w:r>
      <w:r>
        <w:t>espite</w:t>
      </w:r>
      <w:r w:rsidR="00B56614">
        <w:t xml:space="preserve"> of</w:t>
      </w:r>
      <w:r>
        <w:t xml:space="preserve"> </w:t>
      </w:r>
      <w:r w:rsidR="00B56614">
        <w:t xml:space="preserve">a rather </w:t>
      </w:r>
      <w:r>
        <w:t>unsuccessful</w:t>
      </w:r>
      <w:r w:rsidR="00B56614">
        <w:t xml:space="preserve"> project</w:t>
      </w:r>
      <w:r>
        <w:t xml:space="preserve"> management</w:t>
      </w:r>
      <w:r w:rsidR="00B56614">
        <w:t xml:space="preserve">, some </w:t>
      </w:r>
      <w:r w:rsidR="000954FA" w:rsidRPr="00715CF5">
        <w:rPr>
          <w:rFonts w:cs="Calibri"/>
          <w:lang w:val="en-GB"/>
        </w:rPr>
        <w:t xml:space="preserve">significant obstacles </w:t>
      </w:r>
      <w:r w:rsidR="00B56614">
        <w:rPr>
          <w:rFonts w:cs="Calibri"/>
          <w:lang w:val="en-GB"/>
        </w:rPr>
        <w:t>were</w:t>
      </w:r>
      <w:r w:rsidR="000954FA" w:rsidRPr="00715CF5">
        <w:rPr>
          <w:rFonts w:cs="Calibri"/>
          <w:lang w:val="en-GB"/>
        </w:rPr>
        <w:t xml:space="preserve"> overcome to secure these results</w:t>
      </w:r>
      <w:r w:rsidR="00B56614">
        <w:rPr>
          <w:rFonts w:cs="Calibri"/>
          <w:lang w:val="en-GB"/>
        </w:rPr>
        <w:t>. In this case,</w:t>
      </w:r>
      <w:r w:rsidR="000954FA" w:rsidRPr="00715CF5">
        <w:rPr>
          <w:rFonts w:cs="Calibri"/>
          <w:lang w:val="en-GB"/>
        </w:rPr>
        <w:t xml:space="preserve"> hostility and suspicion from local residents required support from the municipal authorities and police intervention, while in the Ukraine a significant communication and buy-in process was required to create sufficient support from local citizens. </w:t>
      </w:r>
    </w:p>
    <w:p w14:paraId="5CACEDB6" w14:textId="77777777" w:rsidR="00B20A23" w:rsidRDefault="00B20A23" w:rsidP="00B20A23">
      <w:r w:rsidRPr="00E470B8">
        <w:t>8.4 Unintended impacts. Describe any impacts not targeted by the project, whether positive or negative, affecting either ecological or social aspects. Indicate the factors that contributed to these unintended impacts occurring.</w:t>
      </w:r>
    </w:p>
    <w:p w14:paraId="7128428B" w14:textId="77777777" w:rsidR="00FB448E" w:rsidRPr="00E470B8" w:rsidRDefault="00FB448E" w:rsidP="00B20A23">
      <w:r>
        <w:t>No unintended impacts reported.</w:t>
      </w:r>
    </w:p>
    <w:p w14:paraId="308DD020" w14:textId="77777777" w:rsidR="00B20A23" w:rsidRDefault="00B20A23" w:rsidP="00B20A23">
      <w:r w:rsidRPr="007063EA">
        <w:t>8.5 Adoption of GEF initiatives at scale. Identify any initiatives (e.g. technologies, approaches, financing instruments, implementing bodies, legal frameworks, information systems) that have been mainstreamed, replicated and/or scaled up by government and other stakeholders by project end. Include the extent to which this broader adoption has taken place, e.g. if plans and resources have been established but no actual adoption has taken place, or if market change and large-scale environmental benefits have begun to occur. Indicate how project activities and other contextual factors contributed to these taking place. If broader adoption has not taken place as expected, indicate which factors (both project-related and contextual) have hindered this from happening.</w:t>
      </w:r>
    </w:p>
    <w:p w14:paraId="311E7838" w14:textId="5BA787F7" w:rsidR="00703449" w:rsidRDefault="007063EA" w:rsidP="00703449">
      <w:r>
        <w:t xml:space="preserve">The whole project design is around disseminating and promoting best practice examples from GEF projects in the Danube region in order to mainstream nutrient reduction strategies in the project countries. Through the peer-to-peer exchange approach and the inclusion of various stakeholder the GEF initiative has been widely replicated and adopted by governments (local and national). </w:t>
      </w:r>
      <w:r w:rsidR="00703449">
        <w:t>The Project Implementation Review (PIR) gives examples for</w:t>
      </w:r>
      <w:r w:rsidR="00703449" w:rsidRPr="00703449">
        <w:t xml:space="preserve"> </w:t>
      </w:r>
      <w:r w:rsidR="00703449">
        <w:t xml:space="preserve">Government participants from Armenia, Azerbaijan and Georgia showed commitment to explore a regional trans-boundary project focusing on an integrated approach to nutrient reduction. </w:t>
      </w:r>
    </w:p>
    <w:p w14:paraId="0C929A16" w14:textId="72175293" w:rsidR="001A7856" w:rsidRPr="001A7856" w:rsidRDefault="00B20A23" w:rsidP="00703449">
      <w:pPr>
        <w:pStyle w:val="Heading1"/>
      </w:pPr>
      <w:r>
        <w:t>9</w:t>
      </w:r>
      <w:r w:rsidR="00EC70CC">
        <w:t xml:space="preserve">. </w:t>
      </w:r>
      <w:r w:rsidR="000218A0">
        <w:t>Lessons and recommendations</w:t>
      </w:r>
    </w:p>
    <w:p w14:paraId="6F2DE4BA" w14:textId="77777777" w:rsidR="00ED465F" w:rsidRDefault="00B20A23" w:rsidP="00CF470E">
      <w:pPr>
        <w:pStyle w:val="Heading2"/>
      </w:pPr>
      <w:r w:rsidRPr="00FB448E">
        <w:t>9</w:t>
      </w:r>
      <w:r w:rsidR="00477B6D" w:rsidRPr="00FB448E">
        <w:t xml:space="preserve">.1 Briefly describe the </w:t>
      </w:r>
      <w:r w:rsidR="00477B6D" w:rsidRPr="00CF470E">
        <w:t>k</w:t>
      </w:r>
      <w:r w:rsidR="001A7856" w:rsidRPr="00CF470E">
        <w:t>ey lessons</w:t>
      </w:r>
      <w:r w:rsidR="00477B6D" w:rsidRPr="00CF470E">
        <w:t>, good practices, or approaches mentioned</w:t>
      </w:r>
      <w:r w:rsidR="00477B6D" w:rsidRPr="00FB448E">
        <w:t xml:space="preserve"> in the terminal evaluation report that could have application for other GEF projects</w:t>
      </w:r>
      <w:r w:rsidR="000C6514" w:rsidRPr="00FB448E">
        <w:t>.</w:t>
      </w:r>
    </w:p>
    <w:p w14:paraId="4EACB040" w14:textId="77777777" w:rsidR="00AB68EF" w:rsidRPr="00AB68EF" w:rsidRDefault="00AB68EF" w:rsidP="00AB68EF">
      <w:r>
        <w:t>The TE offers the following key lessons from the project experience:</w:t>
      </w:r>
    </w:p>
    <w:p w14:paraId="51F26AAE" w14:textId="77777777" w:rsidR="00CF470E" w:rsidRDefault="00ED465F" w:rsidP="00CF470E">
      <w:pPr>
        <w:rPr>
          <w:i/>
          <w:iCs/>
          <w:lang w:val="en-GB"/>
        </w:rPr>
      </w:pPr>
      <w:r w:rsidRPr="00CF470E">
        <w:rPr>
          <w:i/>
          <w:iCs/>
          <w:lang w:val="en-GB"/>
        </w:rPr>
        <w:t>Inventory Work</w:t>
      </w:r>
      <w:r w:rsidR="00CF470E" w:rsidRPr="00CF470E">
        <w:rPr>
          <w:i/>
          <w:iCs/>
          <w:lang w:val="en-GB"/>
        </w:rPr>
        <w:t>:</w:t>
      </w:r>
    </w:p>
    <w:p w14:paraId="5BF37079" w14:textId="77777777" w:rsidR="00CF470E" w:rsidRPr="00CF470E" w:rsidRDefault="00CF470E" w:rsidP="00ED465F">
      <w:pPr>
        <w:pStyle w:val="ListParagraph"/>
        <w:numPr>
          <w:ilvl w:val="0"/>
          <w:numId w:val="21"/>
        </w:numPr>
        <w:rPr>
          <w:i/>
          <w:iCs/>
          <w:lang w:val="en-GB"/>
        </w:rPr>
      </w:pPr>
      <w:r w:rsidRPr="00CF470E">
        <w:rPr>
          <w:lang w:val="en-GB"/>
        </w:rPr>
        <w:t>in order</w:t>
      </w:r>
      <w:r w:rsidR="0010758F">
        <w:rPr>
          <w:lang w:val="en-GB"/>
        </w:rPr>
        <w:t xml:space="preserve"> to promote nutrient- reduction (NR)</w:t>
      </w:r>
      <w:r w:rsidR="00ED465F" w:rsidRPr="00CF470E">
        <w:rPr>
          <w:lang w:val="en-GB"/>
        </w:rPr>
        <w:t xml:space="preserve"> policies and practices the project has emphasised the importance of systems of practices above individual NR practices, and highlights a number of important components or success factors, such as cooperation between farmers and direct dialogue and consultation with farmers or farmer organisations have the trust of their local members. </w:t>
      </w:r>
    </w:p>
    <w:p w14:paraId="252EB4F0" w14:textId="77777777" w:rsidR="00CF470E" w:rsidRPr="00CF470E" w:rsidRDefault="00CF470E" w:rsidP="00ED465F">
      <w:pPr>
        <w:pStyle w:val="ListParagraph"/>
        <w:numPr>
          <w:ilvl w:val="0"/>
          <w:numId w:val="21"/>
        </w:numPr>
        <w:rPr>
          <w:i/>
          <w:iCs/>
          <w:lang w:val="en-GB"/>
        </w:rPr>
      </w:pPr>
      <w:r>
        <w:rPr>
          <w:lang w:val="en-GB"/>
        </w:rPr>
        <w:t>N</w:t>
      </w:r>
      <w:r w:rsidR="00ED465F" w:rsidRPr="00CF470E">
        <w:rPr>
          <w:lang w:val="en-GB"/>
        </w:rPr>
        <w:t>eed for increasing monitoring of projects, more systematic data collation and ensuring adeq</w:t>
      </w:r>
      <w:r>
        <w:rPr>
          <w:lang w:val="en-GB"/>
        </w:rPr>
        <w:t>uate operations and maintenance</w:t>
      </w:r>
    </w:p>
    <w:p w14:paraId="0BE03302" w14:textId="77777777" w:rsidR="00ED465F" w:rsidRPr="00CF470E" w:rsidRDefault="00CF470E" w:rsidP="00ED465F">
      <w:pPr>
        <w:pStyle w:val="ListParagraph"/>
        <w:numPr>
          <w:ilvl w:val="0"/>
          <w:numId w:val="21"/>
        </w:numPr>
        <w:rPr>
          <w:i/>
          <w:iCs/>
          <w:lang w:val="en-GB"/>
        </w:rPr>
      </w:pPr>
      <w:r>
        <w:rPr>
          <w:lang w:val="en-GB"/>
        </w:rPr>
        <w:t>F</w:t>
      </w:r>
      <w:r w:rsidR="00ED465F" w:rsidRPr="00CF470E">
        <w:rPr>
          <w:lang w:val="en-GB"/>
        </w:rPr>
        <w:t>rom a process perspective, it is important that GEF considers how the challenges in collecting data from GEF-funded projects can be addressed by building this requirement into project reporting obligations.</w:t>
      </w:r>
    </w:p>
    <w:p w14:paraId="331182B5" w14:textId="77777777" w:rsidR="00ED465F" w:rsidRPr="00715CF5" w:rsidRDefault="00ED465F" w:rsidP="00ED465F">
      <w:pPr>
        <w:rPr>
          <w:i/>
          <w:iCs/>
          <w:lang w:val="en-GB"/>
        </w:rPr>
      </w:pPr>
      <w:r w:rsidRPr="00715CF5">
        <w:rPr>
          <w:i/>
          <w:iCs/>
          <w:lang w:val="en-GB"/>
        </w:rPr>
        <w:t>Peer to Peer Exchanges</w:t>
      </w:r>
    </w:p>
    <w:p w14:paraId="41D02F52" w14:textId="77777777" w:rsidR="00CF470E" w:rsidRDefault="00ED465F" w:rsidP="000108C0">
      <w:pPr>
        <w:pStyle w:val="ListParagraph"/>
        <w:numPr>
          <w:ilvl w:val="0"/>
          <w:numId w:val="22"/>
        </w:numPr>
        <w:rPr>
          <w:lang w:val="en-GB"/>
        </w:rPr>
      </w:pPr>
      <w:r w:rsidRPr="00CF470E">
        <w:rPr>
          <w:lang w:val="en-GB"/>
        </w:rPr>
        <w:t>The combination of peer to peer exchanges and demonstration projects also appears to have been a promising mechanism for generating interest by other possible ‘take-up’ actors</w:t>
      </w:r>
    </w:p>
    <w:p w14:paraId="6AB44743" w14:textId="77777777" w:rsidR="00CF470E" w:rsidRDefault="00CF470E" w:rsidP="000108C0">
      <w:pPr>
        <w:pStyle w:val="ListParagraph"/>
        <w:numPr>
          <w:ilvl w:val="0"/>
          <w:numId w:val="22"/>
        </w:numPr>
        <w:rPr>
          <w:lang w:val="en-GB"/>
        </w:rPr>
      </w:pPr>
      <w:r>
        <w:rPr>
          <w:lang w:val="en-GB"/>
        </w:rPr>
        <w:t>I</w:t>
      </w:r>
      <w:r w:rsidR="00ED465F" w:rsidRPr="00CF470E">
        <w:rPr>
          <w:lang w:val="en-GB"/>
        </w:rPr>
        <w:t xml:space="preserve">mportance of publicity for raising public awareness and public education regarding the need for nutrient reduction. </w:t>
      </w:r>
    </w:p>
    <w:p w14:paraId="211EB374" w14:textId="77777777" w:rsidR="00ED465F" w:rsidRPr="00CF470E" w:rsidRDefault="00CF470E" w:rsidP="000108C0">
      <w:pPr>
        <w:pStyle w:val="ListParagraph"/>
        <w:numPr>
          <w:ilvl w:val="0"/>
          <w:numId w:val="22"/>
        </w:numPr>
        <w:rPr>
          <w:lang w:val="en-GB"/>
        </w:rPr>
      </w:pPr>
      <w:r>
        <w:rPr>
          <w:lang w:val="en-GB"/>
        </w:rPr>
        <w:t>D</w:t>
      </w:r>
      <w:r w:rsidR="00ED465F" w:rsidRPr="00CF470E">
        <w:rPr>
          <w:lang w:val="en-GB"/>
        </w:rPr>
        <w:t xml:space="preserve">iscussion of pathways to replication </w:t>
      </w:r>
      <w:r>
        <w:rPr>
          <w:lang w:val="en-GB"/>
        </w:rPr>
        <w:t>deserve</w:t>
      </w:r>
      <w:r w:rsidR="00ED465F" w:rsidRPr="00CF470E">
        <w:rPr>
          <w:lang w:val="en-GB"/>
        </w:rPr>
        <w:t xml:space="preserve">s further discussion in terms of how different approaches, policy and legislative frameworks, funding sources could be envisaged for different countries or sub-regions. </w:t>
      </w:r>
    </w:p>
    <w:p w14:paraId="31D72203" w14:textId="77777777" w:rsidR="00ED465F" w:rsidRPr="00715CF5" w:rsidRDefault="00ED465F" w:rsidP="00ED465F">
      <w:pPr>
        <w:rPr>
          <w:i/>
          <w:iCs/>
          <w:lang w:val="en-GB"/>
        </w:rPr>
      </w:pPr>
      <w:r w:rsidRPr="00715CF5">
        <w:rPr>
          <w:rFonts w:eastAsiaTheme="minorEastAsia"/>
          <w:i/>
          <w:iCs/>
          <w:lang w:val="en-GB"/>
        </w:rPr>
        <w:t>Demonstration Projects</w:t>
      </w:r>
    </w:p>
    <w:p w14:paraId="2540A1C3" w14:textId="77777777" w:rsidR="00C2755C" w:rsidRPr="00C2755C" w:rsidRDefault="00C2755C" w:rsidP="00C2755C">
      <w:pPr>
        <w:pStyle w:val="ListParagraph"/>
        <w:numPr>
          <w:ilvl w:val="0"/>
          <w:numId w:val="22"/>
        </w:numPr>
        <w:tabs>
          <w:tab w:val="left" w:pos="318"/>
        </w:tabs>
        <w:spacing w:before="120" w:after="60"/>
        <w:contextualSpacing w:val="0"/>
        <w:jc w:val="both"/>
        <w:rPr>
          <w:b/>
          <w:bCs/>
          <w:lang w:val="en-GB"/>
        </w:rPr>
      </w:pPr>
      <w:r w:rsidRPr="00C2755C">
        <w:rPr>
          <w:rFonts w:cs="Calibri"/>
          <w:bCs/>
          <w:lang w:val="en-GB"/>
        </w:rPr>
        <w:t>Importance of local organisations serving as project champions</w:t>
      </w:r>
      <w:r>
        <w:rPr>
          <w:rFonts w:cs="Calibri"/>
          <w:lang w:val="en-GB"/>
        </w:rPr>
        <w:t xml:space="preserve"> are a</w:t>
      </w:r>
      <w:r w:rsidRPr="00715CF5">
        <w:rPr>
          <w:rFonts w:cs="Calibri"/>
          <w:lang w:val="en-GB"/>
        </w:rPr>
        <w:t xml:space="preserve"> key success factor in any future replication work using demonstration projects </w:t>
      </w:r>
    </w:p>
    <w:p w14:paraId="3B8A730F" w14:textId="77777777" w:rsidR="00ED465F" w:rsidRPr="00CF470E" w:rsidRDefault="00CF470E" w:rsidP="00C2755C">
      <w:pPr>
        <w:pStyle w:val="ListParagraph"/>
        <w:numPr>
          <w:ilvl w:val="0"/>
          <w:numId w:val="22"/>
        </w:numPr>
        <w:rPr>
          <w:lang w:val="en-GB"/>
        </w:rPr>
      </w:pPr>
      <w:r w:rsidRPr="00C2755C">
        <w:rPr>
          <w:lang w:val="en-GB"/>
        </w:rPr>
        <w:t>Creating local expertise is in general a key factor for success.</w:t>
      </w:r>
    </w:p>
    <w:p w14:paraId="496CC949" w14:textId="77777777" w:rsidR="00CF470E" w:rsidRPr="00C2755C" w:rsidRDefault="00CF470E" w:rsidP="00C2755C">
      <w:pPr>
        <w:pStyle w:val="ListParagraph"/>
        <w:numPr>
          <w:ilvl w:val="0"/>
          <w:numId w:val="22"/>
        </w:numPr>
        <w:rPr>
          <w:lang w:val="en-GB"/>
        </w:rPr>
      </w:pPr>
      <w:r w:rsidRPr="00C2755C">
        <w:rPr>
          <w:lang w:val="en-GB"/>
        </w:rPr>
        <w:t>Land ownership is a critical consideration to ensuring the outcomes, security &amp; sustainability of projects.</w:t>
      </w:r>
    </w:p>
    <w:p w14:paraId="6D72D041" w14:textId="77777777" w:rsidR="00FB448E" w:rsidRPr="00C2755C" w:rsidRDefault="00CF470E" w:rsidP="00FB448E">
      <w:pPr>
        <w:pStyle w:val="ListParagraph"/>
        <w:numPr>
          <w:ilvl w:val="0"/>
          <w:numId w:val="22"/>
        </w:numPr>
        <w:rPr>
          <w:lang w:val="en-GB"/>
        </w:rPr>
      </w:pPr>
      <w:r w:rsidRPr="00C2755C">
        <w:rPr>
          <w:lang w:val="en-GB"/>
        </w:rPr>
        <w:t>Technical support will assist projects in more effective monitoring and measuring of outcomes. Follow up also after the project regarding monitoring is necessary to ensure sustainability.</w:t>
      </w:r>
    </w:p>
    <w:p w14:paraId="68AC4C8A" w14:textId="77777777" w:rsidR="00FB448E" w:rsidRDefault="00B20A23" w:rsidP="00AB68EF">
      <w:pPr>
        <w:pStyle w:val="Heading2"/>
      </w:pPr>
      <w:r w:rsidRPr="00FB448E">
        <w:t>9</w:t>
      </w:r>
      <w:r w:rsidR="00477B6D" w:rsidRPr="00FB448E">
        <w:t xml:space="preserve">.2 Briefly describe the </w:t>
      </w:r>
      <w:r w:rsidR="001A7856" w:rsidRPr="00FB448E">
        <w:t>recommendations</w:t>
      </w:r>
      <w:r w:rsidR="00477B6D" w:rsidRPr="00FB448E">
        <w:t xml:space="preserve"> given in the terminal evaluation.</w:t>
      </w:r>
    </w:p>
    <w:p w14:paraId="35013EF2" w14:textId="77777777" w:rsidR="00AB68EF" w:rsidRPr="00AB68EF" w:rsidRDefault="00AB68EF" w:rsidP="00AB68EF">
      <w:r>
        <w:t>The TE offers the following recommendations from the project experience</w:t>
      </w:r>
    </w:p>
    <w:p w14:paraId="0BD8AA93" w14:textId="77777777" w:rsidR="00FB448E" w:rsidRPr="009F4660" w:rsidRDefault="00FB448E" w:rsidP="000108C0">
      <w:pPr>
        <w:pStyle w:val="ListParagraph"/>
        <w:numPr>
          <w:ilvl w:val="0"/>
          <w:numId w:val="15"/>
        </w:numPr>
        <w:spacing w:before="120" w:after="60"/>
        <w:jc w:val="both"/>
        <w:rPr>
          <w:rFonts w:cs="Calibri"/>
          <w:lang w:val="en-GB"/>
        </w:rPr>
      </w:pPr>
      <w:r w:rsidRPr="009F4660">
        <w:rPr>
          <w:rFonts w:cs="Calibri"/>
          <w:lang w:val="en-GB"/>
        </w:rPr>
        <w:t xml:space="preserve">The </w:t>
      </w:r>
      <w:r w:rsidR="009F4660" w:rsidRPr="009F4660">
        <w:rPr>
          <w:rFonts w:cs="Calibri"/>
          <w:lang w:val="en-GB"/>
        </w:rPr>
        <w:t xml:space="preserve">established </w:t>
      </w:r>
      <w:r w:rsidRPr="009F4660">
        <w:rPr>
          <w:rFonts w:cs="Calibri"/>
          <w:lang w:val="en-GB"/>
        </w:rPr>
        <w:t xml:space="preserve">online </w:t>
      </w:r>
      <w:r w:rsidR="009F4660" w:rsidRPr="009F4660">
        <w:rPr>
          <w:rFonts w:cs="Calibri"/>
          <w:lang w:val="en-GB"/>
        </w:rPr>
        <w:t>databases of good practice examples</w:t>
      </w:r>
      <w:r w:rsidRPr="009F4660">
        <w:rPr>
          <w:rFonts w:cs="Calibri"/>
          <w:lang w:val="en-GB"/>
        </w:rPr>
        <w:t xml:space="preserve"> created by the project are an important step in documenting and making </w:t>
      </w:r>
      <w:r w:rsidR="009F4660" w:rsidRPr="009F4660">
        <w:rPr>
          <w:rFonts w:cs="Calibri"/>
          <w:lang w:val="en-GB"/>
        </w:rPr>
        <w:t xml:space="preserve">the results </w:t>
      </w:r>
      <w:r w:rsidRPr="009F4660">
        <w:rPr>
          <w:rFonts w:cs="Calibri"/>
          <w:lang w:val="en-GB"/>
        </w:rPr>
        <w:t xml:space="preserve">available </w:t>
      </w:r>
      <w:r w:rsidR="009F4660" w:rsidRPr="009F4660">
        <w:rPr>
          <w:rFonts w:cs="Calibri"/>
          <w:lang w:val="en-GB"/>
        </w:rPr>
        <w:t xml:space="preserve">for a broader public. Nevertheless </w:t>
      </w:r>
      <w:r w:rsidRPr="009F4660">
        <w:rPr>
          <w:rFonts w:cs="Calibri"/>
          <w:lang w:val="en-GB"/>
        </w:rPr>
        <w:t>it is recommended that a follow-up prog</w:t>
      </w:r>
      <w:r w:rsidR="009F4660" w:rsidRPr="009F4660">
        <w:rPr>
          <w:rFonts w:cs="Calibri"/>
          <w:lang w:val="en-GB"/>
        </w:rPr>
        <w:t>ramme of actions should be designed in order to prepare the data in a more reader-</w:t>
      </w:r>
      <w:r w:rsidR="009F4660">
        <w:rPr>
          <w:rFonts w:cs="Calibri"/>
          <w:lang w:val="en-GB"/>
        </w:rPr>
        <w:t xml:space="preserve"> and user-</w:t>
      </w:r>
      <w:r w:rsidR="009F4660" w:rsidRPr="009F4660">
        <w:rPr>
          <w:rFonts w:cs="Calibri"/>
          <w:lang w:val="en-GB"/>
        </w:rPr>
        <w:t>friendly way, also based on the needs and expectations of the target groups. (</w:t>
      </w:r>
      <w:r w:rsidRPr="009F4660">
        <w:rPr>
          <w:rFonts w:cs="Calibri"/>
          <w:lang w:val="en-GB"/>
        </w:rPr>
        <w:t xml:space="preserve">Development of regional and </w:t>
      </w:r>
      <w:r w:rsidR="009F4660">
        <w:rPr>
          <w:rFonts w:cs="Calibri"/>
          <w:lang w:val="en-GB"/>
        </w:rPr>
        <w:t>thematic/sectoral short papers etc.)</w:t>
      </w:r>
    </w:p>
    <w:p w14:paraId="12148905" w14:textId="77777777" w:rsidR="00FB448E" w:rsidRPr="00715CF5" w:rsidRDefault="009F4660" w:rsidP="006A3837">
      <w:pPr>
        <w:pStyle w:val="ListParagraph"/>
        <w:numPr>
          <w:ilvl w:val="0"/>
          <w:numId w:val="15"/>
        </w:numPr>
        <w:spacing w:before="120" w:after="60"/>
        <w:jc w:val="both"/>
        <w:rPr>
          <w:rFonts w:cs="Calibri"/>
          <w:b/>
          <w:bCs/>
          <w:lang w:val="en-GB"/>
        </w:rPr>
      </w:pPr>
      <w:r>
        <w:rPr>
          <w:rFonts w:cs="Calibri"/>
          <w:lang w:val="en-GB"/>
        </w:rPr>
        <w:t xml:space="preserve">In order to enhance the dissemination and learning experience the </w:t>
      </w:r>
      <w:r w:rsidR="00FB448E" w:rsidRPr="00715CF5">
        <w:rPr>
          <w:rFonts w:cs="Calibri"/>
          <w:lang w:val="en-GB"/>
        </w:rPr>
        <w:t>development of cost-effectiv</w:t>
      </w:r>
      <w:r>
        <w:rPr>
          <w:rFonts w:cs="Calibri"/>
          <w:lang w:val="en-GB"/>
        </w:rPr>
        <w:t xml:space="preserve">e low-level e-learning modules should be explored. </w:t>
      </w:r>
      <w:r w:rsidR="00FB448E" w:rsidRPr="00715CF5">
        <w:rPr>
          <w:rFonts w:cs="Calibri"/>
          <w:lang w:val="en-GB"/>
        </w:rPr>
        <w:t xml:space="preserve">Such modules would increase the capacity of different target groups to progress their own NR agenda without relying on direct (and more costly) interventions from a NR project. </w:t>
      </w:r>
    </w:p>
    <w:p w14:paraId="38D94076" w14:textId="77777777" w:rsidR="00FB448E" w:rsidRPr="00C2755C" w:rsidRDefault="00C2755C" w:rsidP="000108C0">
      <w:pPr>
        <w:pStyle w:val="ListParagraph"/>
        <w:numPr>
          <w:ilvl w:val="0"/>
          <w:numId w:val="15"/>
        </w:numPr>
        <w:spacing w:before="120" w:after="60"/>
        <w:contextualSpacing w:val="0"/>
        <w:jc w:val="both"/>
        <w:rPr>
          <w:rFonts w:cs="Calibri"/>
          <w:lang w:val="en-GB"/>
        </w:rPr>
      </w:pPr>
      <w:r>
        <w:rPr>
          <w:rFonts w:cs="Calibri"/>
          <w:bCs/>
          <w:lang w:val="en-GB"/>
        </w:rPr>
        <w:t>Working on and with</w:t>
      </w:r>
      <w:r w:rsidR="00FB448E" w:rsidRPr="00C2755C">
        <w:rPr>
          <w:rFonts w:cs="Calibri"/>
          <w:bCs/>
          <w:lang w:val="en-GB"/>
        </w:rPr>
        <w:t xml:space="preserve"> the potential of Demonstration Pr</w:t>
      </w:r>
      <w:r w:rsidRPr="00C2755C">
        <w:rPr>
          <w:rFonts w:cs="Calibri"/>
          <w:bCs/>
          <w:lang w:val="en-GB"/>
        </w:rPr>
        <w:t xml:space="preserve">ojects in a follow-up Programme, because </w:t>
      </w:r>
      <w:r w:rsidRPr="00C2755C">
        <w:rPr>
          <w:rFonts w:cs="Calibri"/>
          <w:lang w:val="en-GB"/>
        </w:rPr>
        <w:t>the DPs</w:t>
      </w:r>
      <w:r w:rsidR="00FB448E" w:rsidRPr="00C2755C">
        <w:rPr>
          <w:rFonts w:cs="Calibri"/>
          <w:lang w:val="en-GB"/>
        </w:rPr>
        <w:t xml:space="preserve"> have been as important for learning regarding the process as much as the concrete actions. They have shown that significant improvements are possible in nutrient reduction at the local level without spending large amounts of money. </w:t>
      </w:r>
    </w:p>
    <w:p w14:paraId="018AB8D3" w14:textId="77777777" w:rsidR="00C2755C" w:rsidRPr="00CD0C6C" w:rsidRDefault="00C2755C" w:rsidP="00C2755C">
      <w:pPr>
        <w:pStyle w:val="ListParagraph"/>
        <w:numPr>
          <w:ilvl w:val="0"/>
          <w:numId w:val="15"/>
        </w:numPr>
        <w:spacing w:before="120" w:after="60"/>
        <w:jc w:val="both"/>
        <w:rPr>
          <w:i/>
        </w:rPr>
      </w:pPr>
      <w:r w:rsidRPr="00C2755C">
        <w:rPr>
          <w:rFonts w:cs="Calibri"/>
          <w:bCs/>
          <w:lang w:val="en-GB"/>
        </w:rPr>
        <w:t xml:space="preserve">Introduction of a </w:t>
      </w:r>
      <w:r>
        <w:rPr>
          <w:rFonts w:cs="Calibri"/>
          <w:bCs/>
          <w:lang w:val="en-GB"/>
        </w:rPr>
        <w:t>Small Grants Programme to</w:t>
      </w:r>
      <w:r w:rsidR="00FB448E" w:rsidRPr="00C2755C">
        <w:rPr>
          <w:rFonts w:cs="Calibri"/>
          <w:lang w:val="en-GB"/>
        </w:rPr>
        <w:t xml:space="preserve"> </w:t>
      </w:r>
      <w:r>
        <w:rPr>
          <w:rFonts w:cs="Calibri"/>
          <w:lang w:val="en-GB"/>
        </w:rPr>
        <w:t>provide a clear ‘Do It Yourself’ guide</w:t>
      </w:r>
      <w:r w:rsidR="00FB448E" w:rsidRPr="00715CF5">
        <w:rPr>
          <w:rFonts w:cs="Calibri"/>
          <w:lang w:val="en-GB"/>
        </w:rPr>
        <w:t xml:space="preserve"> on simpler NR solutions, along with ideas on how to manage and reduce costs, could allow for a small grants programme involving clear leverage criteria for funds disbursement to archive significant benefit as part of a follow-up programme.  </w:t>
      </w:r>
    </w:p>
    <w:p w14:paraId="41E134D8" w14:textId="77777777" w:rsidR="001A7856" w:rsidRPr="00CD0C6C" w:rsidRDefault="001A7856" w:rsidP="00CD0C6C">
      <w:pPr>
        <w:rPr>
          <w:i/>
        </w:rPr>
      </w:pPr>
    </w:p>
    <w:p w14:paraId="77B5132A" w14:textId="77777777" w:rsidR="00225AE1" w:rsidRDefault="00B20A23" w:rsidP="00477B6D">
      <w:pPr>
        <w:pStyle w:val="Heading1"/>
      </w:pPr>
      <w:r>
        <w:t>10</w:t>
      </w:r>
      <w:r w:rsidR="00477B6D">
        <w:t xml:space="preserve">. </w:t>
      </w:r>
      <w:r w:rsidR="00225AE1" w:rsidRPr="0040236B">
        <w:t>Quality of the Terminal Evaluation Report</w:t>
      </w:r>
    </w:p>
    <w:p w14:paraId="78AD2F9C" w14:textId="77777777"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647ABD1A"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7086F88" w14:textId="77777777" w:rsidR="00EE0545" w:rsidRPr="00B95050" w:rsidRDefault="00EE0545" w:rsidP="000108C0">
            <w:pPr>
              <w:rPr>
                <w:b w:val="0"/>
                <w:sz w:val="20"/>
                <w:szCs w:val="20"/>
              </w:rPr>
            </w:pPr>
            <w:r w:rsidRPr="00B95050">
              <w:rPr>
                <w:sz w:val="20"/>
                <w:szCs w:val="20"/>
              </w:rPr>
              <w:t>Criteria</w:t>
            </w:r>
          </w:p>
        </w:tc>
        <w:tc>
          <w:tcPr>
            <w:tcW w:w="5088" w:type="dxa"/>
            <w:tcBorders>
              <w:right w:val="single" w:sz="4" w:space="0" w:color="auto"/>
            </w:tcBorders>
          </w:tcPr>
          <w:p w14:paraId="09AB71A0" w14:textId="77777777" w:rsidR="00EE0545" w:rsidRPr="00B95050" w:rsidRDefault="00EE0545" w:rsidP="000108C0">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sz w:val="20"/>
                <w:szCs w:val="20"/>
              </w:rPr>
              <w:t>GEF EO comments</w:t>
            </w:r>
          </w:p>
        </w:tc>
        <w:tc>
          <w:tcPr>
            <w:tcW w:w="1329" w:type="dxa"/>
            <w:tcBorders>
              <w:top w:val="single" w:sz="4" w:space="0" w:color="auto"/>
              <w:left w:val="single" w:sz="4" w:space="0" w:color="auto"/>
              <w:bottom w:val="single" w:sz="4" w:space="0" w:color="auto"/>
              <w:right w:val="single" w:sz="4" w:space="0" w:color="auto"/>
            </w:tcBorders>
          </w:tcPr>
          <w:p w14:paraId="1132C9F7" w14:textId="77777777" w:rsidR="00EE0545" w:rsidRPr="00B95050" w:rsidRDefault="00EE0545" w:rsidP="000108C0">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sz w:val="20"/>
                <w:szCs w:val="20"/>
              </w:rPr>
              <w:t>Rating</w:t>
            </w:r>
          </w:p>
        </w:tc>
      </w:tr>
      <w:tr w:rsidR="00EE0545" w:rsidRPr="00B95050" w14:paraId="72EB6164"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3B58D5F" w14:textId="77777777" w:rsidR="00EE0545" w:rsidRPr="00B95050" w:rsidRDefault="00EE0545" w:rsidP="000108C0">
            <w:pPr>
              <w:rPr>
                <w:b w:val="0"/>
                <w:sz w:val="20"/>
                <w:szCs w:val="20"/>
              </w:rPr>
            </w:pPr>
            <w:r w:rsidRPr="00B95050">
              <w:rPr>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14:paraId="76FD6A2C" w14:textId="77777777" w:rsidR="00EE0545" w:rsidRPr="00685B85" w:rsidRDefault="008124B4" w:rsidP="008124B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 contains clear and structured assessments of the relevant objectives and keeps the structure also while coming to the recommendations.</w:t>
            </w:r>
          </w:p>
        </w:tc>
        <w:tc>
          <w:tcPr>
            <w:tcW w:w="1329" w:type="dxa"/>
            <w:tcBorders>
              <w:top w:val="single" w:sz="4" w:space="0" w:color="auto"/>
              <w:left w:val="single" w:sz="4" w:space="0" w:color="auto"/>
              <w:bottom w:val="single" w:sz="4" w:space="0" w:color="auto"/>
              <w:right w:val="single" w:sz="4" w:space="0" w:color="auto"/>
            </w:tcBorders>
            <w:vAlign w:val="center"/>
          </w:tcPr>
          <w:p w14:paraId="72DF1311" w14:textId="77777777" w:rsidR="00EE0545" w:rsidRPr="00685B85" w:rsidRDefault="00170C8B"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1D625993"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4B044106" w14:textId="77777777" w:rsidR="00EE0545" w:rsidRPr="00B95050" w:rsidRDefault="00847055" w:rsidP="00847055">
            <w:pPr>
              <w:rPr>
                <w:b w:val="0"/>
                <w:sz w:val="20"/>
                <w:szCs w:val="20"/>
              </w:rPr>
            </w:pPr>
            <w:r>
              <w:rPr>
                <w:sz w:val="20"/>
                <w:szCs w:val="20"/>
              </w:rPr>
              <w:t>To what extent is the</w:t>
            </w:r>
            <w:r w:rsidR="00EE0545" w:rsidRPr="00B95050">
              <w:rPr>
                <w:sz w:val="20"/>
                <w:szCs w:val="20"/>
              </w:rPr>
              <w:t xml:space="preserve"> report </w:t>
            </w:r>
            <w:r>
              <w:rPr>
                <w:sz w:val="20"/>
                <w:szCs w:val="20"/>
              </w:rPr>
              <w:t>internally consistent, the evidence presented complete and convincing, and ratings well sub</w:t>
            </w:r>
            <w:r w:rsidR="00B7659D">
              <w:rPr>
                <w:sz w:val="20"/>
                <w:szCs w:val="20"/>
              </w:rPr>
              <w:t>s</w:t>
            </w:r>
            <w:r>
              <w:rPr>
                <w:sz w:val="20"/>
                <w:szCs w:val="20"/>
              </w:rPr>
              <w:t>tantiated</w:t>
            </w:r>
            <w:r w:rsidR="00EE0545" w:rsidRPr="00B95050">
              <w:rPr>
                <w:sz w:val="20"/>
                <w:szCs w:val="20"/>
              </w:rPr>
              <w:t>?</w:t>
            </w:r>
          </w:p>
        </w:tc>
        <w:tc>
          <w:tcPr>
            <w:tcW w:w="5088" w:type="dxa"/>
            <w:tcBorders>
              <w:right w:val="single" w:sz="4" w:space="0" w:color="auto"/>
            </w:tcBorders>
            <w:vAlign w:val="center"/>
          </w:tcPr>
          <w:p w14:paraId="7D3F5B38" w14:textId="06BA2A03" w:rsidR="00EE0545" w:rsidRPr="00685B85" w:rsidRDefault="008124B4" w:rsidP="0007130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report is internally very consistent and logically structured in its evidences. However, in some points it seems like the TE is not sure about the rating</w:t>
            </w:r>
            <w:r w:rsidR="00071303">
              <w:rPr>
                <w:sz w:val="20"/>
                <w:szCs w:val="20"/>
              </w:rPr>
              <w:t xml:space="preserve"> system and how to relate it to the set objectives.</w:t>
            </w:r>
          </w:p>
        </w:tc>
        <w:tc>
          <w:tcPr>
            <w:tcW w:w="1329" w:type="dxa"/>
            <w:tcBorders>
              <w:top w:val="single" w:sz="4" w:space="0" w:color="auto"/>
              <w:left w:val="single" w:sz="4" w:space="0" w:color="auto"/>
              <w:bottom w:val="single" w:sz="4" w:space="0" w:color="auto"/>
              <w:right w:val="single" w:sz="4" w:space="0" w:color="auto"/>
            </w:tcBorders>
            <w:vAlign w:val="center"/>
          </w:tcPr>
          <w:p w14:paraId="029B5D99" w14:textId="002B0C66" w:rsidR="00EE0545" w:rsidRPr="00685B85" w:rsidRDefault="00071303"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w:t>
            </w:r>
            <w:r w:rsidR="00170C8B">
              <w:rPr>
                <w:b/>
                <w:sz w:val="20"/>
                <w:szCs w:val="20"/>
              </w:rPr>
              <w:t>S</w:t>
            </w:r>
          </w:p>
        </w:tc>
      </w:tr>
      <w:tr w:rsidR="00EE0545" w:rsidRPr="00B95050" w14:paraId="73F0D532"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1132F93" w14:textId="77777777" w:rsidR="00EE0545" w:rsidRPr="00B95050" w:rsidRDefault="00EE0545" w:rsidP="000108C0">
            <w:pPr>
              <w:rPr>
                <w:b w:val="0"/>
                <w:sz w:val="20"/>
                <w:szCs w:val="20"/>
              </w:rPr>
            </w:pPr>
            <w:r w:rsidRPr="00B95050">
              <w:rPr>
                <w:sz w:val="20"/>
                <w:szCs w:val="20"/>
              </w:rPr>
              <w:t>To what extent does the report properly assess project sustainability and/or project exit strategy?</w:t>
            </w:r>
          </w:p>
        </w:tc>
        <w:tc>
          <w:tcPr>
            <w:tcW w:w="5088" w:type="dxa"/>
            <w:tcBorders>
              <w:right w:val="single" w:sz="4" w:space="0" w:color="auto"/>
            </w:tcBorders>
            <w:vAlign w:val="center"/>
          </w:tcPr>
          <w:p w14:paraId="3814FCB6" w14:textId="2EEA627F" w:rsidR="00EE0545" w:rsidRPr="00685B85" w:rsidRDefault="008124B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Sustainability is </w:t>
            </w:r>
            <w:r w:rsidR="00157989">
              <w:rPr>
                <w:sz w:val="20"/>
                <w:szCs w:val="20"/>
              </w:rPr>
              <w:t xml:space="preserve">discussed throughout this </w:t>
            </w:r>
            <w:r>
              <w:rPr>
                <w:sz w:val="20"/>
                <w:szCs w:val="20"/>
              </w:rPr>
              <w:t>TE and the reviewers have done a good job in identifying further strategies to make the project sustainable though follow up projects.</w:t>
            </w:r>
          </w:p>
        </w:tc>
        <w:tc>
          <w:tcPr>
            <w:tcW w:w="1329" w:type="dxa"/>
            <w:tcBorders>
              <w:top w:val="single" w:sz="4" w:space="0" w:color="auto"/>
              <w:left w:val="single" w:sz="4" w:space="0" w:color="auto"/>
              <w:bottom w:val="single" w:sz="4" w:space="0" w:color="auto"/>
              <w:right w:val="single" w:sz="4" w:space="0" w:color="auto"/>
            </w:tcBorders>
            <w:vAlign w:val="center"/>
          </w:tcPr>
          <w:p w14:paraId="182F9196" w14:textId="77777777" w:rsidR="00EE0545" w:rsidRPr="00685B85" w:rsidRDefault="00170C8B"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3AF95D84"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792FD7B8" w14:textId="77777777" w:rsidR="00EE0545" w:rsidRPr="00B95050" w:rsidRDefault="00EE0545" w:rsidP="000108C0">
            <w:pPr>
              <w:rPr>
                <w:b w:val="0"/>
                <w:sz w:val="20"/>
                <w:szCs w:val="20"/>
              </w:rPr>
            </w:pPr>
            <w:r w:rsidRPr="00B95050">
              <w:rPr>
                <w:sz w:val="20"/>
                <w:szCs w:val="20"/>
              </w:rPr>
              <w:t>To what extent are the lessons learned supported by the evidence presented and are they comprehensive?</w:t>
            </w:r>
          </w:p>
        </w:tc>
        <w:tc>
          <w:tcPr>
            <w:tcW w:w="5088" w:type="dxa"/>
            <w:tcBorders>
              <w:right w:val="single" w:sz="4" w:space="0" w:color="auto"/>
            </w:tcBorders>
            <w:vAlign w:val="center"/>
          </w:tcPr>
          <w:p w14:paraId="3B73B816" w14:textId="77777777" w:rsidR="00EE0545" w:rsidRPr="00685B85" w:rsidRDefault="008124B4"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lessons learned are very comprehensive and usefully separated by topics. For example, the general lessons learned from the projects and the ones for the GEF and UNDP are separated in order to readjust the focus of the lesson. </w:t>
            </w:r>
          </w:p>
        </w:tc>
        <w:tc>
          <w:tcPr>
            <w:tcW w:w="1329" w:type="dxa"/>
            <w:tcBorders>
              <w:top w:val="single" w:sz="4" w:space="0" w:color="auto"/>
              <w:left w:val="single" w:sz="4" w:space="0" w:color="auto"/>
              <w:bottom w:val="single" w:sz="4" w:space="0" w:color="auto"/>
              <w:right w:val="single" w:sz="4" w:space="0" w:color="auto"/>
            </w:tcBorders>
            <w:vAlign w:val="center"/>
          </w:tcPr>
          <w:p w14:paraId="616A02C6" w14:textId="77777777" w:rsidR="00EE0545" w:rsidRPr="00685B85" w:rsidRDefault="00170C8B"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29079F06"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B8566E6" w14:textId="77777777" w:rsidR="00EE0545" w:rsidRPr="00B95050" w:rsidRDefault="00EE0545" w:rsidP="000108C0">
            <w:pPr>
              <w:rPr>
                <w:b w:val="0"/>
                <w:sz w:val="20"/>
                <w:szCs w:val="20"/>
              </w:rPr>
            </w:pPr>
            <w:r w:rsidRPr="00B95050">
              <w:rPr>
                <w:sz w:val="20"/>
                <w:szCs w:val="20"/>
              </w:rPr>
              <w:t>Does the report include the actual project costs (total and per activity) and actual co-financing used?</w:t>
            </w:r>
          </w:p>
        </w:tc>
        <w:tc>
          <w:tcPr>
            <w:tcW w:w="5088" w:type="dxa"/>
            <w:tcBorders>
              <w:right w:val="single" w:sz="4" w:space="0" w:color="auto"/>
            </w:tcBorders>
            <w:vAlign w:val="center"/>
          </w:tcPr>
          <w:p w14:paraId="17C94625" w14:textId="70D17ED2" w:rsidR="00EE0545" w:rsidRPr="00685B85" w:rsidRDefault="008124B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r w:rsidR="00A55C71">
              <w:rPr>
                <w:sz w:val="20"/>
                <w:szCs w:val="20"/>
              </w:rPr>
              <w:t xml:space="preserve"> The available version of the TE does not provide any </w:t>
            </w:r>
            <w:r w:rsidR="00D8450A">
              <w:rPr>
                <w:sz w:val="20"/>
                <w:szCs w:val="20"/>
              </w:rPr>
              <w:t>financial reporting</w:t>
            </w:r>
            <w:r w:rsidR="00A55C71">
              <w:rPr>
                <w:sz w:val="20"/>
                <w:szCs w:val="20"/>
              </w:rPr>
              <w:t xml:space="preserve">. </w:t>
            </w:r>
          </w:p>
        </w:tc>
        <w:tc>
          <w:tcPr>
            <w:tcW w:w="1329" w:type="dxa"/>
            <w:tcBorders>
              <w:top w:val="single" w:sz="4" w:space="0" w:color="auto"/>
              <w:left w:val="single" w:sz="4" w:space="0" w:color="auto"/>
              <w:bottom w:val="single" w:sz="4" w:space="0" w:color="auto"/>
              <w:right w:val="single" w:sz="4" w:space="0" w:color="auto"/>
            </w:tcBorders>
            <w:vAlign w:val="center"/>
          </w:tcPr>
          <w:p w14:paraId="1F94C2F3" w14:textId="0E875875" w:rsidR="00EE0545" w:rsidRPr="00685B85" w:rsidRDefault="00252A55"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HU</w:t>
            </w:r>
          </w:p>
        </w:tc>
      </w:tr>
      <w:tr w:rsidR="00EE0545" w:rsidRPr="00B95050" w14:paraId="21277522" w14:textId="77777777"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246C6C3E" w14:textId="77777777" w:rsidR="00EE0545" w:rsidRPr="00B95050" w:rsidRDefault="00EE0545" w:rsidP="000108C0">
            <w:pPr>
              <w:rPr>
                <w:b w:val="0"/>
                <w:sz w:val="20"/>
                <w:szCs w:val="20"/>
              </w:rPr>
            </w:pPr>
            <w:r w:rsidRPr="00B95050">
              <w:rPr>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14:paraId="6E814FCD" w14:textId="5DD16451" w:rsidR="00EE0545" w:rsidRPr="00685B85" w:rsidRDefault="008124B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report</w:t>
            </w:r>
            <w:r w:rsidR="00435EBC">
              <w:rPr>
                <w:sz w:val="20"/>
                <w:szCs w:val="20"/>
              </w:rPr>
              <w:t>’</w:t>
            </w:r>
            <w:r>
              <w:rPr>
                <w:sz w:val="20"/>
                <w:szCs w:val="20"/>
              </w:rPr>
              <w:t>s evaluation of the project M&amp;E System</w:t>
            </w:r>
            <w:r w:rsidR="00071303">
              <w:rPr>
                <w:sz w:val="20"/>
                <w:szCs w:val="20"/>
              </w:rPr>
              <w:t xml:space="preserve"> only gives a summary overview of the M&amp;E implementation. </w:t>
            </w:r>
            <w:r w:rsidR="00D8450A">
              <w:rPr>
                <w:sz w:val="20"/>
                <w:szCs w:val="20"/>
              </w:rPr>
              <w:t>The TE does not assess M&amp;E Design at entry and does not provide sufficient evidence backing up its rating, or in providing detail on the few shortcomings that are mentioned.</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71DF5E09" w14:textId="450267E5" w:rsidR="00EE0545" w:rsidRPr="00685B85" w:rsidRDefault="00071303"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w:t>
            </w:r>
          </w:p>
        </w:tc>
      </w:tr>
      <w:tr w:rsidR="001B4CCB" w:rsidRPr="00B95050" w14:paraId="0A155DC3"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01C5688E" w14:textId="77777777" w:rsidR="001B4CCB" w:rsidRPr="00B95050" w:rsidRDefault="001B4CCB" w:rsidP="000108C0">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14:paraId="0D48C2D7" w14:textId="77777777"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3B676EE0" w14:textId="47964F83" w:rsidR="001B4CCB" w:rsidRPr="00685B85" w:rsidRDefault="00D8450A"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w:t>
            </w:r>
            <w:r w:rsidR="005D1B62">
              <w:rPr>
                <w:b/>
                <w:sz w:val="20"/>
                <w:szCs w:val="20"/>
              </w:rPr>
              <w:t>S</w:t>
            </w:r>
          </w:p>
        </w:tc>
      </w:tr>
    </w:tbl>
    <w:p w14:paraId="70BAB696" w14:textId="1625EA32" w:rsidR="00225AE1" w:rsidRPr="00225AE1" w:rsidRDefault="00D8450A" w:rsidP="00225AE1">
      <w:pPr>
        <w:tabs>
          <w:tab w:val="left" w:pos="900"/>
        </w:tabs>
        <w:rPr>
          <w:b/>
        </w:rPr>
      </w:pPr>
      <w:r>
        <w:rPr>
          <w:b/>
        </w:rPr>
        <w:t>Overall rating = (0.3 * (5+4)) + (0.1 * (5+5+1+2)) = 2.7 + 1.3 = 4.0 = MS</w:t>
      </w:r>
    </w:p>
    <w:p w14:paraId="45FB93E6" w14:textId="77777777" w:rsidR="00902E96" w:rsidRPr="00217417" w:rsidRDefault="00EE0545" w:rsidP="00EE0545">
      <w:pPr>
        <w:pStyle w:val="Heading1"/>
      </w:pPr>
      <w:r>
        <w:t>1</w:t>
      </w:r>
      <w:r w:rsidR="00B20A23">
        <w:t>1</w:t>
      </w:r>
      <w:r>
        <w:t>. Note any additional sources of information used in the preparation of the terminal evaluation report (excluding PIRs, TEs, and PADs).</w:t>
      </w:r>
    </w:p>
    <w:p w14:paraId="5F65BEB0" w14:textId="77777777" w:rsidR="00217417" w:rsidRPr="00902E96" w:rsidRDefault="00217417" w:rsidP="00902E96">
      <w:pPr>
        <w:ind w:left="810" w:hanging="450"/>
        <w:rPr>
          <w:i/>
        </w:rPr>
      </w:pPr>
    </w:p>
    <w:sectPr w:rsidR="00217417" w:rsidRPr="00902E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57F34" w14:textId="77777777" w:rsidR="007F380F" w:rsidRDefault="007F380F" w:rsidP="00D62957">
      <w:pPr>
        <w:spacing w:after="0" w:line="240" w:lineRule="auto"/>
      </w:pPr>
      <w:r>
        <w:separator/>
      </w:r>
    </w:p>
  </w:endnote>
  <w:endnote w:type="continuationSeparator" w:id="0">
    <w:p w14:paraId="6707AA5D" w14:textId="77777777" w:rsidR="007F380F" w:rsidRDefault="007F380F"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98847"/>
      <w:docPartObj>
        <w:docPartGallery w:val="Page Numbers (Bottom of Page)"/>
        <w:docPartUnique/>
      </w:docPartObj>
    </w:sdtPr>
    <w:sdtEndPr>
      <w:rPr>
        <w:noProof/>
      </w:rPr>
    </w:sdtEndPr>
    <w:sdtContent>
      <w:p w14:paraId="0476195E" w14:textId="521F8675" w:rsidR="002D76B0" w:rsidRDefault="002D76B0">
        <w:pPr>
          <w:pStyle w:val="Footer"/>
          <w:jc w:val="right"/>
        </w:pPr>
        <w:r>
          <w:fldChar w:fldCharType="begin"/>
        </w:r>
        <w:r>
          <w:instrText xml:space="preserve"> PAGE   \* MERGEFORMAT </w:instrText>
        </w:r>
        <w:r>
          <w:fldChar w:fldCharType="separate"/>
        </w:r>
        <w:r w:rsidR="007F380F">
          <w:rPr>
            <w:noProof/>
          </w:rPr>
          <w:t>1</w:t>
        </w:r>
        <w:r>
          <w:rPr>
            <w:noProof/>
          </w:rPr>
          <w:fldChar w:fldCharType="end"/>
        </w:r>
      </w:p>
    </w:sdtContent>
  </w:sdt>
  <w:p w14:paraId="41B7EFB5" w14:textId="77777777" w:rsidR="002D76B0" w:rsidRDefault="002D7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E75A" w14:textId="77777777" w:rsidR="007F380F" w:rsidRDefault="007F380F" w:rsidP="00D62957">
      <w:pPr>
        <w:spacing w:after="0" w:line="240" w:lineRule="auto"/>
      </w:pPr>
      <w:r>
        <w:separator/>
      </w:r>
    </w:p>
  </w:footnote>
  <w:footnote w:type="continuationSeparator" w:id="0">
    <w:p w14:paraId="6D3DEB1D" w14:textId="77777777" w:rsidR="007F380F" w:rsidRDefault="007F380F" w:rsidP="00D62957">
      <w:pPr>
        <w:spacing w:after="0" w:line="240" w:lineRule="auto"/>
      </w:pPr>
      <w:r>
        <w:continuationSeparator/>
      </w:r>
    </w:p>
  </w:footnote>
  <w:footnote w:id="1">
    <w:p w14:paraId="328902F5" w14:textId="77777777" w:rsidR="002D76B0" w:rsidRDefault="002D76B0">
      <w:pPr>
        <w:pStyle w:val="FootnoteText"/>
      </w:pPr>
      <w:r>
        <w:rPr>
          <w:rStyle w:val="FootnoteReference"/>
        </w:rPr>
        <w:footnoteRef/>
      </w:r>
      <w:r>
        <w:t xml:space="preserve"> See also Artioli, Y. et al (2008) Nutrient Budgets for European seas: A Measure of the effectiveness of nutrient reduction policies, in: </w:t>
      </w:r>
      <w:r w:rsidRPr="00E7014C">
        <w:rPr>
          <w:i/>
        </w:rPr>
        <w:t>Marine Pollution Bulletin Vol. 56</w:t>
      </w:r>
      <w:r>
        <w:t>, pp. 1609-1617.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8C0"/>
    <w:multiLevelType w:val="hybridMultilevel"/>
    <w:tmpl w:val="5F6A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343FF"/>
    <w:multiLevelType w:val="hybridMultilevel"/>
    <w:tmpl w:val="A15CA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B537A"/>
    <w:multiLevelType w:val="hybridMultilevel"/>
    <w:tmpl w:val="6CB0F8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64A38A3"/>
    <w:multiLevelType w:val="hybridMultilevel"/>
    <w:tmpl w:val="036E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A45F8"/>
    <w:multiLevelType w:val="hybridMultilevel"/>
    <w:tmpl w:val="1C983FD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923272"/>
    <w:multiLevelType w:val="hybridMultilevel"/>
    <w:tmpl w:val="F57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EE4E3F"/>
    <w:multiLevelType w:val="hybridMultilevel"/>
    <w:tmpl w:val="3E386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E37525"/>
    <w:multiLevelType w:val="hybridMultilevel"/>
    <w:tmpl w:val="9A88C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5364A"/>
    <w:multiLevelType w:val="hybridMultilevel"/>
    <w:tmpl w:val="5F6A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544E0"/>
    <w:multiLevelType w:val="hybridMultilevel"/>
    <w:tmpl w:val="2650509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6A01F1"/>
    <w:multiLevelType w:val="hybridMultilevel"/>
    <w:tmpl w:val="4E98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2CFB"/>
    <w:multiLevelType w:val="hybridMultilevel"/>
    <w:tmpl w:val="C1EA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67693"/>
    <w:multiLevelType w:val="hybridMultilevel"/>
    <w:tmpl w:val="5C046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891FC2"/>
    <w:multiLevelType w:val="hybridMultilevel"/>
    <w:tmpl w:val="FB10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755193"/>
    <w:multiLevelType w:val="hybridMultilevel"/>
    <w:tmpl w:val="5D54F174"/>
    <w:lvl w:ilvl="0" w:tplc="08090019">
      <w:start w:val="1"/>
      <w:numFmt w:val="lowerLetter"/>
      <w:lvlText w:val="%1."/>
      <w:lvlJc w:val="left"/>
      <w:pPr>
        <w:ind w:left="-351" w:hanging="360"/>
      </w:pPr>
      <w:rPr>
        <w:rFonts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1"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4E4474"/>
    <w:multiLevelType w:val="hybridMultilevel"/>
    <w:tmpl w:val="8C785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1363C7"/>
    <w:multiLevelType w:val="hybridMultilevel"/>
    <w:tmpl w:val="480C5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6"/>
  </w:num>
  <w:num w:numId="4">
    <w:abstractNumId w:val="21"/>
  </w:num>
  <w:num w:numId="5">
    <w:abstractNumId w:val="18"/>
  </w:num>
  <w:num w:numId="6">
    <w:abstractNumId w:val="1"/>
  </w:num>
  <w:num w:numId="7">
    <w:abstractNumId w:val="9"/>
  </w:num>
  <w:num w:numId="8">
    <w:abstractNumId w:val="13"/>
  </w:num>
  <w:num w:numId="9">
    <w:abstractNumId w:val="22"/>
  </w:num>
  <w:num w:numId="10">
    <w:abstractNumId w:val="0"/>
  </w:num>
  <w:num w:numId="11">
    <w:abstractNumId w:val="8"/>
  </w:num>
  <w:num w:numId="12">
    <w:abstractNumId w:val="19"/>
  </w:num>
  <w:num w:numId="13">
    <w:abstractNumId w:val="2"/>
  </w:num>
  <w:num w:numId="14">
    <w:abstractNumId w:val="14"/>
  </w:num>
  <w:num w:numId="15">
    <w:abstractNumId w:val="5"/>
  </w:num>
  <w:num w:numId="16">
    <w:abstractNumId w:val="12"/>
  </w:num>
  <w:num w:numId="17">
    <w:abstractNumId w:val="17"/>
  </w:num>
  <w:num w:numId="18">
    <w:abstractNumId w:val="20"/>
  </w:num>
  <w:num w:numId="19">
    <w:abstractNumId w:val="10"/>
  </w:num>
  <w:num w:numId="20">
    <w:abstractNumId w:val="4"/>
  </w:num>
  <w:num w:numId="21">
    <w:abstractNumId w:val="3"/>
  </w:num>
  <w:num w:numId="22">
    <w:abstractNumId w:val="16"/>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19"/>
    <w:rsid w:val="000108C0"/>
    <w:rsid w:val="00020854"/>
    <w:rsid w:val="000218A0"/>
    <w:rsid w:val="00023DC8"/>
    <w:rsid w:val="00040789"/>
    <w:rsid w:val="00046B25"/>
    <w:rsid w:val="00046FCF"/>
    <w:rsid w:val="0004769F"/>
    <w:rsid w:val="00053205"/>
    <w:rsid w:val="0005502A"/>
    <w:rsid w:val="000568A6"/>
    <w:rsid w:val="0006141A"/>
    <w:rsid w:val="00062800"/>
    <w:rsid w:val="000644C8"/>
    <w:rsid w:val="0006505C"/>
    <w:rsid w:val="0007019B"/>
    <w:rsid w:val="00070272"/>
    <w:rsid w:val="000711E5"/>
    <w:rsid w:val="00071303"/>
    <w:rsid w:val="000754BD"/>
    <w:rsid w:val="00076686"/>
    <w:rsid w:val="00083ADA"/>
    <w:rsid w:val="00086808"/>
    <w:rsid w:val="000913DA"/>
    <w:rsid w:val="000954FA"/>
    <w:rsid w:val="00097547"/>
    <w:rsid w:val="000977E8"/>
    <w:rsid w:val="000A1300"/>
    <w:rsid w:val="000A2DB1"/>
    <w:rsid w:val="000B3320"/>
    <w:rsid w:val="000B3F8C"/>
    <w:rsid w:val="000C0A75"/>
    <w:rsid w:val="000C0F49"/>
    <w:rsid w:val="000C6514"/>
    <w:rsid w:val="000D2911"/>
    <w:rsid w:val="000D34AB"/>
    <w:rsid w:val="000D3731"/>
    <w:rsid w:val="000E2D31"/>
    <w:rsid w:val="000F511E"/>
    <w:rsid w:val="001014C3"/>
    <w:rsid w:val="00106D13"/>
    <w:rsid w:val="0010758F"/>
    <w:rsid w:val="001117FD"/>
    <w:rsid w:val="00115423"/>
    <w:rsid w:val="0012545D"/>
    <w:rsid w:val="00131A37"/>
    <w:rsid w:val="00136EAE"/>
    <w:rsid w:val="001472E0"/>
    <w:rsid w:val="00147D16"/>
    <w:rsid w:val="0015226E"/>
    <w:rsid w:val="0015562B"/>
    <w:rsid w:val="00156678"/>
    <w:rsid w:val="001574E3"/>
    <w:rsid w:val="00157989"/>
    <w:rsid w:val="00157AF4"/>
    <w:rsid w:val="00163CE8"/>
    <w:rsid w:val="0016445C"/>
    <w:rsid w:val="001662EE"/>
    <w:rsid w:val="00170C8B"/>
    <w:rsid w:val="001710F0"/>
    <w:rsid w:val="001719B7"/>
    <w:rsid w:val="0017295A"/>
    <w:rsid w:val="00172E16"/>
    <w:rsid w:val="00172F0C"/>
    <w:rsid w:val="00180E68"/>
    <w:rsid w:val="00181158"/>
    <w:rsid w:val="00183FB8"/>
    <w:rsid w:val="00186425"/>
    <w:rsid w:val="0018695F"/>
    <w:rsid w:val="00191CB9"/>
    <w:rsid w:val="00191D09"/>
    <w:rsid w:val="001923AE"/>
    <w:rsid w:val="00193F9A"/>
    <w:rsid w:val="00196702"/>
    <w:rsid w:val="001A533B"/>
    <w:rsid w:val="001A7264"/>
    <w:rsid w:val="001A7856"/>
    <w:rsid w:val="001A7F50"/>
    <w:rsid w:val="001B07F3"/>
    <w:rsid w:val="001B1C30"/>
    <w:rsid w:val="001B1EFE"/>
    <w:rsid w:val="001B32CC"/>
    <w:rsid w:val="001B4246"/>
    <w:rsid w:val="001B4CCB"/>
    <w:rsid w:val="001C529C"/>
    <w:rsid w:val="001D5DED"/>
    <w:rsid w:val="001D794C"/>
    <w:rsid w:val="001E0787"/>
    <w:rsid w:val="001E2235"/>
    <w:rsid w:val="001E3835"/>
    <w:rsid w:val="001E6CB5"/>
    <w:rsid w:val="001E74D4"/>
    <w:rsid w:val="001F594A"/>
    <w:rsid w:val="00204C5E"/>
    <w:rsid w:val="00207D05"/>
    <w:rsid w:val="00211EA9"/>
    <w:rsid w:val="00215C35"/>
    <w:rsid w:val="002170F1"/>
    <w:rsid w:val="00217417"/>
    <w:rsid w:val="00225AE1"/>
    <w:rsid w:val="0022787B"/>
    <w:rsid w:val="0023163C"/>
    <w:rsid w:val="00236193"/>
    <w:rsid w:val="00252A55"/>
    <w:rsid w:val="002563E8"/>
    <w:rsid w:val="0026100F"/>
    <w:rsid w:val="00264EFF"/>
    <w:rsid w:val="00275183"/>
    <w:rsid w:val="00275496"/>
    <w:rsid w:val="002767ED"/>
    <w:rsid w:val="0027782F"/>
    <w:rsid w:val="00280BF2"/>
    <w:rsid w:val="00286BF0"/>
    <w:rsid w:val="00287E73"/>
    <w:rsid w:val="00291487"/>
    <w:rsid w:val="00292642"/>
    <w:rsid w:val="00293CEA"/>
    <w:rsid w:val="00297690"/>
    <w:rsid w:val="002A044E"/>
    <w:rsid w:val="002B2062"/>
    <w:rsid w:val="002B491E"/>
    <w:rsid w:val="002B7104"/>
    <w:rsid w:val="002B73EC"/>
    <w:rsid w:val="002C0508"/>
    <w:rsid w:val="002D1813"/>
    <w:rsid w:val="002D1C4D"/>
    <w:rsid w:val="002D290C"/>
    <w:rsid w:val="002D49AF"/>
    <w:rsid w:val="002D76B0"/>
    <w:rsid w:val="002E01C2"/>
    <w:rsid w:val="002E324F"/>
    <w:rsid w:val="002F5A9A"/>
    <w:rsid w:val="002F76C3"/>
    <w:rsid w:val="0031157D"/>
    <w:rsid w:val="00314719"/>
    <w:rsid w:val="003165D6"/>
    <w:rsid w:val="00322F32"/>
    <w:rsid w:val="0032637F"/>
    <w:rsid w:val="0032760F"/>
    <w:rsid w:val="00327C3E"/>
    <w:rsid w:val="00332431"/>
    <w:rsid w:val="003376DF"/>
    <w:rsid w:val="00343C93"/>
    <w:rsid w:val="003440DA"/>
    <w:rsid w:val="00346773"/>
    <w:rsid w:val="00347E26"/>
    <w:rsid w:val="00351C6D"/>
    <w:rsid w:val="00352166"/>
    <w:rsid w:val="00353EC6"/>
    <w:rsid w:val="00357FD9"/>
    <w:rsid w:val="00360427"/>
    <w:rsid w:val="00362F7F"/>
    <w:rsid w:val="00365EC7"/>
    <w:rsid w:val="003740AD"/>
    <w:rsid w:val="00376F86"/>
    <w:rsid w:val="00377717"/>
    <w:rsid w:val="0038553A"/>
    <w:rsid w:val="003907BB"/>
    <w:rsid w:val="00395CCE"/>
    <w:rsid w:val="003A0DAA"/>
    <w:rsid w:val="003A207F"/>
    <w:rsid w:val="003A34E1"/>
    <w:rsid w:val="003A48A0"/>
    <w:rsid w:val="003A78FE"/>
    <w:rsid w:val="003B5095"/>
    <w:rsid w:val="003B7591"/>
    <w:rsid w:val="003C1152"/>
    <w:rsid w:val="003C1D57"/>
    <w:rsid w:val="003C4EE5"/>
    <w:rsid w:val="003C531E"/>
    <w:rsid w:val="003D16FD"/>
    <w:rsid w:val="003F040F"/>
    <w:rsid w:val="0040236B"/>
    <w:rsid w:val="00403512"/>
    <w:rsid w:val="0040472B"/>
    <w:rsid w:val="004062CC"/>
    <w:rsid w:val="00406725"/>
    <w:rsid w:val="004104BD"/>
    <w:rsid w:val="00415123"/>
    <w:rsid w:val="00416A1D"/>
    <w:rsid w:val="0042114B"/>
    <w:rsid w:val="00422ED6"/>
    <w:rsid w:val="0042447E"/>
    <w:rsid w:val="00425A89"/>
    <w:rsid w:val="004274A1"/>
    <w:rsid w:val="004279BD"/>
    <w:rsid w:val="00430A1F"/>
    <w:rsid w:val="00433C66"/>
    <w:rsid w:val="00435EAF"/>
    <w:rsid w:val="00435EBC"/>
    <w:rsid w:val="00437C2B"/>
    <w:rsid w:val="00442A2C"/>
    <w:rsid w:val="0044311C"/>
    <w:rsid w:val="00446BB0"/>
    <w:rsid w:val="00446E21"/>
    <w:rsid w:val="004479CE"/>
    <w:rsid w:val="004503B6"/>
    <w:rsid w:val="00450848"/>
    <w:rsid w:val="00453303"/>
    <w:rsid w:val="0046021A"/>
    <w:rsid w:val="0046082B"/>
    <w:rsid w:val="004672EC"/>
    <w:rsid w:val="00474E88"/>
    <w:rsid w:val="00475C7F"/>
    <w:rsid w:val="00477B6D"/>
    <w:rsid w:val="004808E8"/>
    <w:rsid w:val="00482A33"/>
    <w:rsid w:val="00482D00"/>
    <w:rsid w:val="004915F0"/>
    <w:rsid w:val="0049194E"/>
    <w:rsid w:val="004A08F6"/>
    <w:rsid w:val="004A134B"/>
    <w:rsid w:val="004A1BC2"/>
    <w:rsid w:val="004A1FF4"/>
    <w:rsid w:val="004A6BB9"/>
    <w:rsid w:val="004C17CA"/>
    <w:rsid w:val="004C1CBC"/>
    <w:rsid w:val="004C2B52"/>
    <w:rsid w:val="004D4D01"/>
    <w:rsid w:val="004D5C35"/>
    <w:rsid w:val="004D6185"/>
    <w:rsid w:val="004D7A01"/>
    <w:rsid w:val="004E550C"/>
    <w:rsid w:val="004E5809"/>
    <w:rsid w:val="004E671E"/>
    <w:rsid w:val="004E7224"/>
    <w:rsid w:val="004E781B"/>
    <w:rsid w:val="004F0773"/>
    <w:rsid w:val="004F2403"/>
    <w:rsid w:val="004F2D2C"/>
    <w:rsid w:val="004F4EAB"/>
    <w:rsid w:val="004F57D9"/>
    <w:rsid w:val="004F7A09"/>
    <w:rsid w:val="00510355"/>
    <w:rsid w:val="00510C89"/>
    <w:rsid w:val="005158D0"/>
    <w:rsid w:val="0052123F"/>
    <w:rsid w:val="005239D0"/>
    <w:rsid w:val="00523FCB"/>
    <w:rsid w:val="005255DB"/>
    <w:rsid w:val="005352D3"/>
    <w:rsid w:val="005363E4"/>
    <w:rsid w:val="005402D4"/>
    <w:rsid w:val="00541F3D"/>
    <w:rsid w:val="00544300"/>
    <w:rsid w:val="005528A2"/>
    <w:rsid w:val="00554D38"/>
    <w:rsid w:val="00556912"/>
    <w:rsid w:val="00556A42"/>
    <w:rsid w:val="00560430"/>
    <w:rsid w:val="00565639"/>
    <w:rsid w:val="00565E2C"/>
    <w:rsid w:val="0057385E"/>
    <w:rsid w:val="005738FB"/>
    <w:rsid w:val="00574BAF"/>
    <w:rsid w:val="00575FDD"/>
    <w:rsid w:val="00581F7C"/>
    <w:rsid w:val="00584F21"/>
    <w:rsid w:val="00587575"/>
    <w:rsid w:val="00593562"/>
    <w:rsid w:val="005943A3"/>
    <w:rsid w:val="00597BBE"/>
    <w:rsid w:val="005A12A4"/>
    <w:rsid w:val="005C159F"/>
    <w:rsid w:val="005C191D"/>
    <w:rsid w:val="005D1B62"/>
    <w:rsid w:val="005D2D6E"/>
    <w:rsid w:val="005E3D47"/>
    <w:rsid w:val="005E535C"/>
    <w:rsid w:val="005E6ABC"/>
    <w:rsid w:val="005E7BD0"/>
    <w:rsid w:val="005F4318"/>
    <w:rsid w:val="00601ECB"/>
    <w:rsid w:val="00604848"/>
    <w:rsid w:val="0060550E"/>
    <w:rsid w:val="00605E44"/>
    <w:rsid w:val="00614163"/>
    <w:rsid w:val="006152EE"/>
    <w:rsid w:val="00627072"/>
    <w:rsid w:val="00627737"/>
    <w:rsid w:val="00637C19"/>
    <w:rsid w:val="00640C4B"/>
    <w:rsid w:val="00640E9F"/>
    <w:rsid w:val="0064447C"/>
    <w:rsid w:val="006446EA"/>
    <w:rsid w:val="006502E5"/>
    <w:rsid w:val="006505E9"/>
    <w:rsid w:val="00653513"/>
    <w:rsid w:val="006547F3"/>
    <w:rsid w:val="00657EBB"/>
    <w:rsid w:val="006631E5"/>
    <w:rsid w:val="00664094"/>
    <w:rsid w:val="00670E7B"/>
    <w:rsid w:val="00670FE4"/>
    <w:rsid w:val="006778F9"/>
    <w:rsid w:val="00680427"/>
    <w:rsid w:val="00681C2F"/>
    <w:rsid w:val="00682392"/>
    <w:rsid w:val="006832FC"/>
    <w:rsid w:val="00685433"/>
    <w:rsid w:val="00685B85"/>
    <w:rsid w:val="006902FF"/>
    <w:rsid w:val="00690444"/>
    <w:rsid w:val="00692A1B"/>
    <w:rsid w:val="006A3837"/>
    <w:rsid w:val="006A3C59"/>
    <w:rsid w:val="006B21FA"/>
    <w:rsid w:val="006B3275"/>
    <w:rsid w:val="006B36FC"/>
    <w:rsid w:val="006B5323"/>
    <w:rsid w:val="006B57E5"/>
    <w:rsid w:val="006B7147"/>
    <w:rsid w:val="006B77E6"/>
    <w:rsid w:val="006B7E31"/>
    <w:rsid w:val="006D4E46"/>
    <w:rsid w:val="006D7B8F"/>
    <w:rsid w:val="006E3358"/>
    <w:rsid w:val="006E7697"/>
    <w:rsid w:val="006E7794"/>
    <w:rsid w:val="006F1CA0"/>
    <w:rsid w:val="006F2BBF"/>
    <w:rsid w:val="006F61A9"/>
    <w:rsid w:val="007024A4"/>
    <w:rsid w:val="00702B40"/>
    <w:rsid w:val="00703449"/>
    <w:rsid w:val="00705605"/>
    <w:rsid w:val="007063EA"/>
    <w:rsid w:val="007101A7"/>
    <w:rsid w:val="0071461B"/>
    <w:rsid w:val="007228FC"/>
    <w:rsid w:val="00723480"/>
    <w:rsid w:val="00727A85"/>
    <w:rsid w:val="00730707"/>
    <w:rsid w:val="0073236A"/>
    <w:rsid w:val="00733785"/>
    <w:rsid w:val="00735CBF"/>
    <w:rsid w:val="007419B2"/>
    <w:rsid w:val="00743F3A"/>
    <w:rsid w:val="0075639E"/>
    <w:rsid w:val="00763C1B"/>
    <w:rsid w:val="007727CC"/>
    <w:rsid w:val="00781473"/>
    <w:rsid w:val="0078292E"/>
    <w:rsid w:val="00786ABD"/>
    <w:rsid w:val="00786BD1"/>
    <w:rsid w:val="00786C66"/>
    <w:rsid w:val="00786FD2"/>
    <w:rsid w:val="00792372"/>
    <w:rsid w:val="00793541"/>
    <w:rsid w:val="0079410E"/>
    <w:rsid w:val="007A3280"/>
    <w:rsid w:val="007B121D"/>
    <w:rsid w:val="007B61D2"/>
    <w:rsid w:val="007C19F7"/>
    <w:rsid w:val="007C259E"/>
    <w:rsid w:val="007C3F0B"/>
    <w:rsid w:val="007C736F"/>
    <w:rsid w:val="007C7BD2"/>
    <w:rsid w:val="007D0BE2"/>
    <w:rsid w:val="007D0C70"/>
    <w:rsid w:val="007E0131"/>
    <w:rsid w:val="007E61B6"/>
    <w:rsid w:val="007F3770"/>
    <w:rsid w:val="007F380F"/>
    <w:rsid w:val="007F6AC4"/>
    <w:rsid w:val="00800025"/>
    <w:rsid w:val="00800B41"/>
    <w:rsid w:val="00801919"/>
    <w:rsid w:val="00801E07"/>
    <w:rsid w:val="00807A8A"/>
    <w:rsid w:val="008124B4"/>
    <w:rsid w:val="008173E5"/>
    <w:rsid w:val="00825E69"/>
    <w:rsid w:val="00836169"/>
    <w:rsid w:val="00843E0F"/>
    <w:rsid w:val="00845D4A"/>
    <w:rsid w:val="00847055"/>
    <w:rsid w:val="0084778C"/>
    <w:rsid w:val="008548D4"/>
    <w:rsid w:val="00856490"/>
    <w:rsid w:val="008574F2"/>
    <w:rsid w:val="008575DF"/>
    <w:rsid w:val="00861D2C"/>
    <w:rsid w:val="008660D7"/>
    <w:rsid w:val="00873DE4"/>
    <w:rsid w:val="0087457A"/>
    <w:rsid w:val="0087604E"/>
    <w:rsid w:val="00876C06"/>
    <w:rsid w:val="00876D77"/>
    <w:rsid w:val="0088083E"/>
    <w:rsid w:val="00883239"/>
    <w:rsid w:val="00896B4D"/>
    <w:rsid w:val="008A3915"/>
    <w:rsid w:val="008A3923"/>
    <w:rsid w:val="008A7110"/>
    <w:rsid w:val="008B3045"/>
    <w:rsid w:val="008B4CB6"/>
    <w:rsid w:val="008B6B42"/>
    <w:rsid w:val="008C7AB8"/>
    <w:rsid w:val="008D00E6"/>
    <w:rsid w:val="008D12A0"/>
    <w:rsid w:val="008D1751"/>
    <w:rsid w:val="008D3085"/>
    <w:rsid w:val="008D30D2"/>
    <w:rsid w:val="008E5F79"/>
    <w:rsid w:val="008F1F50"/>
    <w:rsid w:val="008F52BE"/>
    <w:rsid w:val="009025FB"/>
    <w:rsid w:val="00902E96"/>
    <w:rsid w:val="0091265B"/>
    <w:rsid w:val="009152C7"/>
    <w:rsid w:val="00915F27"/>
    <w:rsid w:val="00917AC4"/>
    <w:rsid w:val="00925474"/>
    <w:rsid w:val="00930E64"/>
    <w:rsid w:val="00932023"/>
    <w:rsid w:val="00936EF8"/>
    <w:rsid w:val="00937F44"/>
    <w:rsid w:val="00940533"/>
    <w:rsid w:val="009409BB"/>
    <w:rsid w:val="009457A6"/>
    <w:rsid w:val="00957D97"/>
    <w:rsid w:val="00973D9E"/>
    <w:rsid w:val="00975C04"/>
    <w:rsid w:val="009801BE"/>
    <w:rsid w:val="0098302E"/>
    <w:rsid w:val="0098617E"/>
    <w:rsid w:val="009870B4"/>
    <w:rsid w:val="00991014"/>
    <w:rsid w:val="00991037"/>
    <w:rsid w:val="00995FC6"/>
    <w:rsid w:val="00996EB5"/>
    <w:rsid w:val="009A2819"/>
    <w:rsid w:val="009A3DBF"/>
    <w:rsid w:val="009A425C"/>
    <w:rsid w:val="009B0BEC"/>
    <w:rsid w:val="009B4503"/>
    <w:rsid w:val="009B7E74"/>
    <w:rsid w:val="009C110F"/>
    <w:rsid w:val="009D0651"/>
    <w:rsid w:val="009D0E51"/>
    <w:rsid w:val="009D10E6"/>
    <w:rsid w:val="009D39D2"/>
    <w:rsid w:val="009D43DE"/>
    <w:rsid w:val="009D5597"/>
    <w:rsid w:val="009D6403"/>
    <w:rsid w:val="009E7C6E"/>
    <w:rsid w:val="009F4660"/>
    <w:rsid w:val="00A0187B"/>
    <w:rsid w:val="00A10225"/>
    <w:rsid w:val="00A12BA1"/>
    <w:rsid w:val="00A14365"/>
    <w:rsid w:val="00A17A04"/>
    <w:rsid w:val="00A20A83"/>
    <w:rsid w:val="00A22D46"/>
    <w:rsid w:val="00A24037"/>
    <w:rsid w:val="00A320AD"/>
    <w:rsid w:val="00A332D6"/>
    <w:rsid w:val="00A33C47"/>
    <w:rsid w:val="00A433C4"/>
    <w:rsid w:val="00A460B7"/>
    <w:rsid w:val="00A55C71"/>
    <w:rsid w:val="00A603D8"/>
    <w:rsid w:val="00A62594"/>
    <w:rsid w:val="00A6564E"/>
    <w:rsid w:val="00A717B2"/>
    <w:rsid w:val="00A804E1"/>
    <w:rsid w:val="00A8419E"/>
    <w:rsid w:val="00A8692C"/>
    <w:rsid w:val="00A87BED"/>
    <w:rsid w:val="00A907B5"/>
    <w:rsid w:val="00A90F41"/>
    <w:rsid w:val="00A96564"/>
    <w:rsid w:val="00AA0527"/>
    <w:rsid w:val="00AA2AF1"/>
    <w:rsid w:val="00AA64FF"/>
    <w:rsid w:val="00AA7CB2"/>
    <w:rsid w:val="00AB68EF"/>
    <w:rsid w:val="00AB7C3D"/>
    <w:rsid w:val="00AC1F88"/>
    <w:rsid w:val="00AC439C"/>
    <w:rsid w:val="00AD443E"/>
    <w:rsid w:val="00AE42FC"/>
    <w:rsid w:val="00AF135F"/>
    <w:rsid w:val="00B046D1"/>
    <w:rsid w:val="00B143D7"/>
    <w:rsid w:val="00B16CE2"/>
    <w:rsid w:val="00B20A23"/>
    <w:rsid w:val="00B22A00"/>
    <w:rsid w:val="00B25157"/>
    <w:rsid w:val="00B33B3A"/>
    <w:rsid w:val="00B34299"/>
    <w:rsid w:val="00B35A1B"/>
    <w:rsid w:val="00B41245"/>
    <w:rsid w:val="00B435D5"/>
    <w:rsid w:val="00B509CC"/>
    <w:rsid w:val="00B53643"/>
    <w:rsid w:val="00B543B7"/>
    <w:rsid w:val="00B56614"/>
    <w:rsid w:val="00B57DC1"/>
    <w:rsid w:val="00B60122"/>
    <w:rsid w:val="00B60B65"/>
    <w:rsid w:val="00B633EB"/>
    <w:rsid w:val="00B707EB"/>
    <w:rsid w:val="00B72855"/>
    <w:rsid w:val="00B74094"/>
    <w:rsid w:val="00B7659D"/>
    <w:rsid w:val="00B81601"/>
    <w:rsid w:val="00B8266C"/>
    <w:rsid w:val="00B90EC4"/>
    <w:rsid w:val="00B95050"/>
    <w:rsid w:val="00B9641A"/>
    <w:rsid w:val="00B976C3"/>
    <w:rsid w:val="00B97BAF"/>
    <w:rsid w:val="00BA2F44"/>
    <w:rsid w:val="00BA31FE"/>
    <w:rsid w:val="00BA5521"/>
    <w:rsid w:val="00BB7577"/>
    <w:rsid w:val="00BC0412"/>
    <w:rsid w:val="00BC2D2F"/>
    <w:rsid w:val="00BC4FF3"/>
    <w:rsid w:val="00BD35A0"/>
    <w:rsid w:val="00BF5356"/>
    <w:rsid w:val="00BF5405"/>
    <w:rsid w:val="00BF6B58"/>
    <w:rsid w:val="00C04D9D"/>
    <w:rsid w:val="00C07408"/>
    <w:rsid w:val="00C11EC4"/>
    <w:rsid w:val="00C13C04"/>
    <w:rsid w:val="00C16741"/>
    <w:rsid w:val="00C1737C"/>
    <w:rsid w:val="00C22042"/>
    <w:rsid w:val="00C22E22"/>
    <w:rsid w:val="00C2755C"/>
    <w:rsid w:val="00C27DA9"/>
    <w:rsid w:val="00C3400F"/>
    <w:rsid w:val="00C37E87"/>
    <w:rsid w:val="00C4105F"/>
    <w:rsid w:val="00C41456"/>
    <w:rsid w:val="00C416B0"/>
    <w:rsid w:val="00C454E8"/>
    <w:rsid w:val="00C46054"/>
    <w:rsid w:val="00C47C96"/>
    <w:rsid w:val="00C532D8"/>
    <w:rsid w:val="00C533B2"/>
    <w:rsid w:val="00C653AD"/>
    <w:rsid w:val="00C70C95"/>
    <w:rsid w:val="00C72969"/>
    <w:rsid w:val="00C72A1C"/>
    <w:rsid w:val="00C73B18"/>
    <w:rsid w:val="00C74395"/>
    <w:rsid w:val="00C8238D"/>
    <w:rsid w:val="00C917B9"/>
    <w:rsid w:val="00C94D4F"/>
    <w:rsid w:val="00CA4C68"/>
    <w:rsid w:val="00CA75CF"/>
    <w:rsid w:val="00CB1640"/>
    <w:rsid w:val="00CB4981"/>
    <w:rsid w:val="00CC5ECD"/>
    <w:rsid w:val="00CC63D3"/>
    <w:rsid w:val="00CC6C07"/>
    <w:rsid w:val="00CD0C6C"/>
    <w:rsid w:val="00CD4F34"/>
    <w:rsid w:val="00CD5AB8"/>
    <w:rsid w:val="00CD6D24"/>
    <w:rsid w:val="00CE5322"/>
    <w:rsid w:val="00CF085D"/>
    <w:rsid w:val="00CF470E"/>
    <w:rsid w:val="00D04302"/>
    <w:rsid w:val="00D04D7F"/>
    <w:rsid w:val="00D060DD"/>
    <w:rsid w:val="00D14260"/>
    <w:rsid w:val="00D22F3B"/>
    <w:rsid w:val="00D32809"/>
    <w:rsid w:val="00D41B62"/>
    <w:rsid w:val="00D41CB6"/>
    <w:rsid w:val="00D43502"/>
    <w:rsid w:val="00D452C2"/>
    <w:rsid w:val="00D45661"/>
    <w:rsid w:val="00D46538"/>
    <w:rsid w:val="00D532B1"/>
    <w:rsid w:val="00D53E76"/>
    <w:rsid w:val="00D62957"/>
    <w:rsid w:val="00D63EBE"/>
    <w:rsid w:val="00D65261"/>
    <w:rsid w:val="00D66E71"/>
    <w:rsid w:val="00D77A74"/>
    <w:rsid w:val="00D77CDA"/>
    <w:rsid w:val="00D8450A"/>
    <w:rsid w:val="00D91731"/>
    <w:rsid w:val="00D93617"/>
    <w:rsid w:val="00D97F19"/>
    <w:rsid w:val="00D97F7F"/>
    <w:rsid w:val="00DA16ED"/>
    <w:rsid w:val="00DA3974"/>
    <w:rsid w:val="00DA4BF4"/>
    <w:rsid w:val="00DA697F"/>
    <w:rsid w:val="00DA7A01"/>
    <w:rsid w:val="00DB1253"/>
    <w:rsid w:val="00DB2BB5"/>
    <w:rsid w:val="00DB479C"/>
    <w:rsid w:val="00DB6FC4"/>
    <w:rsid w:val="00DC0542"/>
    <w:rsid w:val="00DC165E"/>
    <w:rsid w:val="00DC1D79"/>
    <w:rsid w:val="00DD3628"/>
    <w:rsid w:val="00DE5100"/>
    <w:rsid w:val="00DF420B"/>
    <w:rsid w:val="00E00861"/>
    <w:rsid w:val="00E01A0D"/>
    <w:rsid w:val="00E027B3"/>
    <w:rsid w:val="00E10820"/>
    <w:rsid w:val="00E124B4"/>
    <w:rsid w:val="00E14D12"/>
    <w:rsid w:val="00E16882"/>
    <w:rsid w:val="00E26C4F"/>
    <w:rsid w:val="00E3067D"/>
    <w:rsid w:val="00E31053"/>
    <w:rsid w:val="00E3145B"/>
    <w:rsid w:val="00E31CC0"/>
    <w:rsid w:val="00E33EE1"/>
    <w:rsid w:val="00E34E95"/>
    <w:rsid w:val="00E34FC2"/>
    <w:rsid w:val="00E45475"/>
    <w:rsid w:val="00E46090"/>
    <w:rsid w:val="00E54C2C"/>
    <w:rsid w:val="00E54D5C"/>
    <w:rsid w:val="00E566B9"/>
    <w:rsid w:val="00E622E8"/>
    <w:rsid w:val="00E63725"/>
    <w:rsid w:val="00E67742"/>
    <w:rsid w:val="00E67A19"/>
    <w:rsid w:val="00E7014C"/>
    <w:rsid w:val="00E83F6F"/>
    <w:rsid w:val="00E84425"/>
    <w:rsid w:val="00E86C5D"/>
    <w:rsid w:val="00E90CDA"/>
    <w:rsid w:val="00E968A4"/>
    <w:rsid w:val="00EA038E"/>
    <w:rsid w:val="00EA39E7"/>
    <w:rsid w:val="00EA4716"/>
    <w:rsid w:val="00EB51E6"/>
    <w:rsid w:val="00EB65F8"/>
    <w:rsid w:val="00EB7896"/>
    <w:rsid w:val="00EC17FE"/>
    <w:rsid w:val="00EC2612"/>
    <w:rsid w:val="00EC70CC"/>
    <w:rsid w:val="00EC792F"/>
    <w:rsid w:val="00ED17C4"/>
    <w:rsid w:val="00ED465F"/>
    <w:rsid w:val="00EE0545"/>
    <w:rsid w:val="00EE4E6F"/>
    <w:rsid w:val="00EE50E6"/>
    <w:rsid w:val="00EE53E2"/>
    <w:rsid w:val="00EE5F3C"/>
    <w:rsid w:val="00EE6047"/>
    <w:rsid w:val="00EE60E6"/>
    <w:rsid w:val="00EF1592"/>
    <w:rsid w:val="00F04E0E"/>
    <w:rsid w:val="00F062AD"/>
    <w:rsid w:val="00F07B54"/>
    <w:rsid w:val="00F10DCC"/>
    <w:rsid w:val="00F27726"/>
    <w:rsid w:val="00F30485"/>
    <w:rsid w:val="00F37ED7"/>
    <w:rsid w:val="00F46E53"/>
    <w:rsid w:val="00F46F61"/>
    <w:rsid w:val="00F478C8"/>
    <w:rsid w:val="00F54E5F"/>
    <w:rsid w:val="00F56C46"/>
    <w:rsid w:val="00F61F1D"/>
    <w:rsid w:val="00F62F7E"/>
    <w:rsid w:val="00F631E5"/>
    <w:rsid w:val="00F634CF"/>
    <w:rsid w:val="00F75AB0"/>
    <w:rsid w:val="00F7719A"/>
    <w:rsid w:val="00F8078D"/>
    <w:rsid w:val="00F83518"/>
    <w:rsid w:val="00F85EBC"/>
    <w:rsid w:val="00F86C74"/>
    <w:rsid w:val="00F87619"/>
    <w:rsid w:val="00F93317"/>
    <w:rsid w:val="00FA1A7B"/>
    <w:rsid w:val="00FA6D95"/>
    <w:rsid w:val="00FB448E"/>
    <w:rsid w:val="00FB571B"/>
    <w:rsid w:val="00FC2FB1"/>
    <w:rsid w:val="00FC6C54"/>
    <w:rsid w:val="00FD0AEE"/>
    <w:rsid w:val="00FD563E"/>
    <w:rsid w:val="00FE0BC3"/>
    <w:rsid w:val="00FE1079"/>
    <w:rsid w:val="00FE1A86"/>
    <w:rsid w:val="00FF259D"/>
    <w:rsid w:val="00FF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E916"/>
  <w15:docId w15:val="{30D5CB24-9ABC-4F5E-963E-836BE50C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 w:type="paragraph" w:styleId="FootnoteText">
    <w:name w:val="footnote text"/>
    <w:basedOn w:val="Normal"/>
    <w:link w:val="FootnoteTextChar"/>
    <w:uiPriority w:val="99"/>
    <w:semiHidden/>
    <w:unhideWhenUsed/>
    <w:rsid w:val="00E701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14C"/>
    <w:rPr>
      <w:sz w:val="20"/>
      <w:szCs w:val="20"/>
    </w:rPr>
  </w:style>
  <w:style w:type="character" w:styleId="FootnoteReference">
    <w:name w:val="footnote reference"/>
    <w:basedOn w:val="DefaultParagraphFont"/>
    <w:uiPriority w:val="99"/>
    <w:semiHidden/>
    <w:unhideWhenUsed/>
    <w:rsid w:val="00E70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4645">
      <w:bodyDiv w:val="1"/>
      <w:marLeft w:val="0"/>
      <w:marRight w:val="0"/>
      <w:marTop w:val="0"/>
      <w:marBottom w:val="0"/>
      <w:divBdr>
        <w:top w:val="none" w:sz="0" w:space="0" w:color="auto"/>
        <w:left w:val="none" w:sz="0" w:space="0" w:color="auto"/>
        <w:bottom w:val="none" w:sz="0" w:space="0" w:color="auto"/>
        <w:right w:val="none" w:sz="0" w:space="0" w:color="auto"/>
      </w:divBdr>
      <w:divsChild>
        <w:div w:id="1708175">
          <w:marLeft w:val="0"/>
          <w:marRight w:val="0"/>
          <w:marTop w:val="0"/>
          <w:marBottom w:val="0"/>
          <w:divBdr>
            <w:top w:val="none" w:sz="0" w:space="0" w:color="auto"/>
            <w:left w:val="none" w:sz="0" w:space="0" w:color="auto"/>
            <w:bottom w:val="none" w:sz="0" w:space="0" w:color="auto"/>
            <w:right w:val="none" w:sz="0" w:space="0" w:color="auto"/>
          </w:divBdr>
        </w:div>
        <w:div w:id="17243025">
          <w:marLeft w:val="0"/>
          <w:marRight w:val="0"/>
          <w:marTop w:val="0"/>
          <w:marBottom w:val="0"/>
          <w:divBdr>
            <w:top w:val="none" w:sz="0" w:space="0" w:color="auto"/>
            <w:left w:val="none" w:sz="0" w:space="0" w:color="auto"/>
            <w:bottom w:val="none" w:sz="0" w:space="0" w:color="auto"/>
            <w:right w:val="none" w:sz="0" w:space="0" w:color="auto"/>
          </w:divBdr>
        </w:div>
        <w:div w:id="22753767">
          <w:marLeft w:val="0"/>
          <w:marRight w:val="0"/>
          <w:marTop w:val="0"/>
          <w:marBottom w:val="0"/>
          <w:divBdr>
            <w:top w:val="none" w:sz="0" w:space="0" w:color="auto"/>
            <w:left w:val="none" w:sz="0" w:space="0" w:color="auto"/>
            <w:bottom w:val="none" w:sz="0" w:space="0" w:color="auto"/>
            <w:right w:val="none" w:sz="0" w:space="0" w:color="auto"/>
          </w:divBdr>
        </w:div>
        <w:div w:id="60642827">
          <w:marLeft w:val="0"/>
          <w:marRight w:val="0"/>
          <w:marTop w:val="0"/>
          <w:marBottom w:val="0"/>
          <w:divBdr>
            <w:top w:val="none" w:sz="0" w:space="0" w:color="auto"/>
            <w:left w:val="none" w:sz="0" w:space="0" w:color="auto"/>
            <w:bottom w:val="none" w:sz="0" w:space="0" w:color="auto"/>
            <w:right w:val="none" w:sz="0" w:space="0" w:color="auto"/>
          </w:divBdr>
        </w:div>
        <w:div w:id="96028216">
          <w:marLeft w:val="0"/>
          <w:marRight w:val="0"/>
          <w:marTop w:val="0"/>
          <w:marBottom w:val="0"/>
          <w:divBdr>
            <w:top w:val="none" w:sz="0" w:space="0" w:color="auto"/>
            <w:left w:val="none" w:sz="0" w:space="0" w:color="auto"/>
            <w:bottom w:val="none" w:sz="0" w:space="0" w:color="auto"/>
            <w:right w:val="none" w:sz="0" w:space="0" w:color="auto"/>
          </w:divBdr>
        </w:div>
        <w:div w:id="97873691">
          <w:marLeft w:val="0"/>
          <w:marRight w:val="0"/>
          <w:marTop w:val="0"/>
          <w:marBottom w:val="0"/>
          <w:divBdr>
            <w:top w:val="none" w:sz="0" w:space="0" w:color="auto"/>
            <w:left w:val="none" w:sz="0" w:space="0" w:color="auto"/>
            <w:bottom w:val="none" w:sz="0" w:space="0" w:color="auto"/>
            <w:right w:val="none" w:sz="0" w:space="0" w:color="auto"/>
          </w:divBdr>
        </w:div>
        <w:div w:id="103112991">
          <w:marLeft w:val="0"/>
          <w:marRight w:val="0"/>
          <w:marTop w:val="0"/>
          <w:marBottom w:val="0"/>
          <w:divBdr>
            <w:top w:val="none" w:sz="0" w:space="0" w:color="auto"/>
            <w:left w:val="none" w:sz="0" w:space="0" w:color="auto"/>
            <w:bottom w:val="none" w:sz="0" w:space="0" w:color="auto"/>
            <w:right w:val="none" w:sz="0" w:space="0" w:color="auto"/>
          </w:divBdr>
        </w:div>
        <w:div w:id="110781715">
          <w:marLeft w:val="0"/>
          <w:marRight w:val="0"/>
          <w:marTop w:val="0"/>
          <w:marBottom w:val="0"/>
          <w:divBdr>
            <w:top w:val="none" w:sz="0" w:space="0" w:color="auto"/>
            <w:left w:val="none" w:sz="0" w:space="0" w:color="auto"/>
            <w:bottom w:val="none" w:sz="0" w:space="0" w:color="auto"/>
            <w:right w:val="none" w:sz="0" w:space="0" w:color="auto"/>
          </w:divBdr>
        </w:div>
        <w:div w:id="112142083">
          <w:marLeft w:val="0"/>
          <w:marRight w:val="0"/>
          <w:marTop w:val="0"/>
          <w:marBottom w:val="0"/>
          <w:divBdr>
            <w:top w:val="none" w:sz="0" w:space="0" w:color="auto"/>
            <w:left w:val="none" w:sz="0" w:space="0" w:color="auto"/>
            <w:bottom w:val="none" w:sz="0" w:space="0" w:color="auto"/>
            <w:right w:val="none" w:sz="0" w:space="0" w:color="auto"/>
          </w:divBdr>
        </w:div>
        <w:div w:id="125394552">
          <w:marLeft w:val="0"/>
          <w:marRight w:val="0"/>
          <w:marTop w:val="0"/>
          <w:marBottom w:val="0"/>
          <w:divBdr>
            <w:top w:val="none" w:sz="0" w:space="0" w:color="auto"/>
            <w:left w:val="none" w:sz="0" w:space="0" w:color="auto"/>
            <w:bottom w:val="none" w:sz="0" w:space="0" w:color="auto"/>
            <w:right w:val="none" w:sz="0" w:space="0" w:color="auto"/>
          </w:divBdr>
        </w:div>
        <w:div w:id="126704829">
          <w:marLeft w:val="0"/>
          <w:marRight w:val="0"/>
          <w:marTop w:val="0"/>
          <w:marBottom w:val="0"/>
          <w:divBdr>
            <w:top w:val="none" w:sz="0" w:space="0" w:color="auto"/>
            <w:left w:val="none" w:sz="0" w:space="0" w:color="auto"/>
            <w:bottom w:val="none" w:sz="0" w:space="0" w:color="auto"/>
            <w:right w:val="none" w:sz="0" w:space="0" w:color="auto"/>
          </w:divBdr>
        </w:div>
        <w:div w:id="136411343">
          <w:marLeft w:val="0"/>
          <w:marRight w:val="0"/>
          <w:marTop w:val="0"/>
          <w:marBottom w:val="0"/>
          <w:divBdr>
            <w:top w:val="none" w:sz="0" w:space="0" w:color="auto"/>
            <w:left w:val="none" w:sz="0" w:space="0" w:color="auto"/>
            <w:bottom w:val="none" w:sz="0" w:space="0" w:color="auto"/>
            <w:right w:val="none" w:sz="0" w:space="0" w:color="auto"/>
          </w:divBdr>
        </w:div>
        <w:div w:id="137651993">
          <w:marLeft w:val="0"/>
          <w:marRight w:val="0"/>
          <w:marTop w:val="0"/>
          <w:marBottom w:val="0"/>
          <w:divBdr>
            <w:top w:val="none" w:sz="0" w:space="0" w:color="auto"/>
            <w:left w:val="none" w:sz="0" w:space="0" w:color="auto"/>
            <w:bottom w:val="none" w:sz="0" w:space="0" w:color="auto"/>
            <w:right w:val="none" w:sz="0" w:space="0" w:color="auto"/>
          </w:divBdr>
        </w:div>
        <w:div w:id="148207183">
          <w:marLeft w:val="0"/>
          <w:marRight w:val="0"/>
          <w:marTop w:val="0"/>
          <w:marBottom w:val="0"/>
          <w:divBdr>
            <w:top w:val="none" w:sz="0" w:space="0" w:color="auto"/>
            <w:left w:val="none" w:sz="0" w:space="0" w:color="auto"/>
            <w:bottom w:val="none" w:sz="0" w:space="0" w:color="auto"/>
            <w:right w:val="none" w:sz="0" w:space="0" w:color="auto"/>
          </w:divBdr>
        </w:div>
        <w:div w:id="167328138">
          <w:marLeft w:val="0"/>
          <w:marRight w:val="0"/>
          <w:marTop w:val="0"/>
          <w:marBottom w:val="0"/>
          <w:divBdr>
            <w:top w:val="none" w:sz="0" w:space="0" w:color="auto"/>
            <w:left w:val="none" w:sz="0" w:space="0" w:color="auto"/>
            <w:bottom w:val="none" w:sz="0" w:space="0" w:color="auto"/>
            <w:right w:val="none" w:sz="0" w:space="0" w:color="auto"/>
          </w:divBdr>
        </w:div>
        <w:div w:id="188374276">
          <w:marLeft w:val="0"/>
          <w:marRight w:val="0"/>
          <w:marTop w:val="0"/>
          <w:marBottom w:val="0"/>
          <w:divBdr>
            <w:top w:val="none" w:sz="0" w:space="0" w:color="auto"/>
            <w:left w:val="none" w:sz="0" w:space="0" w:color="auto"/>
            <w:bottom w:val="none" w:sz="0" w:space="0" w:color="auto"/>
            <w:right w:val="none" w:sz="0" w:space="0" w:color="auto"/>
          </w:divBdr>
        </w:div>
        <w:div w:id="193815528">
          <w:marLeft w:val="0"/>
          <w:marRight w:val="0"/>
          <w:marTop w:val="0"/>
          <w:marBottom w:val="0"/>
          <w:divBdr>
            <w:top w:val="none" w:sz="0" w:space="0" w:color="auto"/>
            <w:left w:val="none" w:sz="0" w:space="0" w:color="auto"/>
            <w:bottom w:val="none" w:sz="0" w:space="0" w:color="auto"/>
            <w:right w:val="none" w:sz="0" w:space="0" w:color="auto"/>
          </w:divBdr>
        </w:div>
        <w:div w:id="211424463">
          <w:marLeft w:val="0"/>
          <w:marRight w:val="0"/>
          <w:marTop w:val="0"/>
          <w:marBottom w:val="0"/>
          <w:divBdr>
            <w:top w:val="none" w:sz="0" w:space="0" w:color="auto"/>
            <w:left w:val="none" w:sz="0" w:space="0" w:color="auto"/>
            <w:bottom w:val="none" w:sz="0" w:space="0" w:color="auto"/>
            <w:right w:val="none" w:sz="0" w:space="0" w:color="auto"/>
          </w:divBdr>
        </w:div>
        <w:div w:id="224218207">
          <w:marLeft w:val="0"/>
          <w:marRight w:val="0"/>
          <w:marTop w:val="0"/>
          <w:marBottom w:val="0"/>
          <w:divBdr>
            <w:top w:val="none" w:sz="0" w:space="0" w:color="auto"/>
            <w:left w:val="none" w:sz="0" w:space="0" w:color="auto"/>
            <w:bottom w:val="none" w:sz="0" w:space="0" w:color="auto"/>
            <w:right w:val="none" w:sz="0" w:space="0" w:color="auto"/>
          </w:divBdr>
        </w:div>
        <w:div w:id="224415436">
          <w:marLeft w:val="0"/>
          <w:marRight w:val="0"/>
          <w:marTop w:val="0"/>
          <w:marBottom w:val="0"/>
          <w:divBdr>
            <w:top w:val="none" w:sz="0" w:space="0" w:color="auto"/>
            <w:left w:val="none" w:sz="0" w:space="0" w:color="auto"/>
            <w:bottom w:val="none" w:sz="0" w:space="0" w:color="auto"/>
            <w:right w:val="none" w:sz="0" w:space="0" w:color="auto"/>
          </w:divBdr>
        </w:div>
        <w:div w:id="248926163">
          <w:marLeft w:val="0"/>
          <w:marRight w:val="0"/>
          <w:marTop w:val="0"/>
          <w:marBottom w:val="0"/>
          <w:divBdr>
            <w:top w:val="none" w:sz="0" w:space="0" w:color="auto"/>
            <w:left w:val="none" w:sz="0" w:space="0" w:color="auto"/>
            <w:bottom w:val="none" w:sz="0" w:space="0" w:color="auto"/>
            <w:right w:val="none" w:sz="0" w:space="0" w:color="auto"/>
          </w:divBdr>
        </w:div>
        <w:div w:id="277417914">
          <w:marLeft w:val="0"/>
          <w:marRight w:val="0"/>
          <w:marTop w:val="0"/>
          <w:marBottom w:val="0"/>
          <w:divBdr>
            <w:top w:val="none" w:sz="0" w:space="0" w:color="auto"/>
            <w:left w:val="none" w:sz="0" w:space="0" w:color="auto"/>
            <w:bottom w:val="none" w:sz="0" w:space="0" w:color="auto"/>
            <w:right w:val="none" w:sz="0" w:space="0" w:color="auto"/>
          </w:divBdr>
        </w:div>
        <w:div w:id="303242168">
          <w:marLeft w:val="0"/>
          <w:marRight w:val="0"/>
          <w:marTop w:val="0"/>
          <w:marBottom w:val="0"/>
          <w:divBdr>
            <w:top w:val="none" w:sz="0" w:space="0" w:color="auto"/>
            <w:left w:val="none" w:sz="0" w:space="0" w:color="auto"/>
            <w:bottom w:val="none" w:sz="0" w:space="0" w:color="auto"/>
            <w:right w:val="none" w:sz="0" w:space="0" w:color="auto"/>
          </w:divBdr>
        </w:div>
        <w:div w:id="305401817">
          <w:marLeft w:val="0"/>
          <w:marRight w:val="0"/>
          <w:marTop w:val="0"/>
          <w:marBottom w:val="0"/>
          <w:divBdr>
            <w:top w:val="none" w:sz="0" w:space="0" w:color="auto"/>
            <w:left w:val="none" w:sz="0" w:space="0" w:color="auto"/>
            <w:bottom w:val="none" w:sz="0" w:space="0" w:color="auto"/>
            <w:right w:val="none" w:sz="0" w:space="0" w:color="auto"/>
          </w:divBdr>
        </w:div>
        <w:div w:id="327246768">
          <w:marLeft w:val="0"/>
          <w:marRight w:val="0"/>
          <w:marTop w:val="0"/>
          <w:marBottom w:val="0"/>
          <w:divBdr>
            <w:top w:val="none" w:sz="0" w:space="0" w:color="auto"/>
            <w:left w:val="none" w:sz="0" w:space="0" w:color="auto"/>
            <w:bottom w:val="none" w:sz="0" w:space="0" w:color="auto"/>
            <w:right w:val="none" w:sz="0" w:space="0" w:color="auto"/>
          </w:divBdr>
        </w:div>
        <w:div w:id="338309544">
          <w:marLeft w:val="0"/>
          <w:marRight w:val="0"/>
          <w:marTop w:val="0"/>
          <w:marBottom w:val="0"/>
          <w:divBdr>
            <w:top w:val="none" w:sz="0" w:space="0" w:color="auto"/>
            <w:left w:val="none" w:sz="0" w:space="0" w:color="auto"/>
            <w:bottom w:val="none" w:sz="0" w:space="0" w:color="auto"/>
            <w:right w:val="none" w:sz="0" w:space="0" w:color="auto"/>
          </w:divBdr>
        </w:div>
        <w:div w:id="371226022">
          <w:marLeft w:val="0"/>
          <w:marRight w:val="0"/>
          <w:marTop w:val="0"/>
          <w:marBottom w:val="0"/>
          <w:divBdr>
            <w:top w:val="none" w:sz="0" w:space="0" w:color="auto"/>
            <w:left w:val="none" w:sz="0" w:space="0" w:color="auto"/>
            <w:bottom w:val="none" w:sz="0" w:space="0" w:color="auto"/>
            <w:right w:val="none" w:sz="0" w:space="0" w:color="auto"/>
          </w:divBdr>
        </w:div>
        <w:div w:id="384640574">
          <w:marLeft w:val="0"/>
          <w:marRight w:val="0"/>
          <w:marTop w:val="0"/>
          <w:marBottom w:val="0"/>
          <w:divBdr>
            <w:top w:val="none" w:sz="0" w:space="0" w:color="auto"/>
            <w:left w:val="none" w:sz="0" w:space="0" w:color="auto"/>
            <w:bottom w:val="none" w:sz="0" w:space="0" w:color="auto"/>
            <w:right w:val="none" w:sz="0" w:space="0" w:color="auto"/>
          </w:divBdr>
        </w:div>
        <w:div w:id="458569838">
          <w:marLeft w:val="0"/>
          <w:marRight w:val="0"/>
          <w:marTop w:val="0"/>
          <w:marBottom w:val="0"/>
          <w:divBdr>
            <w:top w:val="none" w:sz="0" w:space="0" w:color="auto"/>
            <w:left w:val="none" w:sz="0" w:space="0" w:color="auto"/>
            <w:bottom w:val="none" w:sz="0" w:space="0" w:color="auto"/>
            <w:right w:val="none" w:sz="0" w:space="0" w:color="auto"/>
          </w:divBdr>
        </w:div>
        <w:div w:id="506529037">
          <w:marLeft w:val="0"/>
          <w:marRight w:val="0"/>
          <w:marTop w:val="0"/>
          <w:marBottom w:val="0"/>
          <w:divBdr>
            <w:top w:val="none" w:sz="0" w:space="0" w:color="auto"/>
            <w:left w:val="none" w:sz="0" w:space="0" w:color="auto"/>
            <w:bottom w:val="none" w:sz="0" w:space="0" w:color="auto"/>
            <w:right w:val="none" w:sz="0" w:space="0" w:color="auto"/>
          </w:divBdr>
        </w:div>
        <w:div w:id="520515588">
          <w:marLeft w:val="0"/>
          <w:marRight w:val="0"/>
          <w:marTop w:val="0"/>
          <w:marBottom w:val="0"/>
          <w:divBdr>
            <w:top w:val="none" w:sz="0" w:space="0" w:color="auto"/>
            <w:left w:val="none" w:sz="0" w:space="0" w:color="auto"/>
            <w:bottom w:val="none" w:sz="0" w:space="0" w:color="auto"/>
            <w:right w:val="none" w:sz="0" w:space="0" w:color="auto"/>
          </w:divBdr>
        </w:div>
        <w:div w:id="548764160">
          <w:marLeft w:val="0"/>
          <w:marRight w:val="0"/>
          <w:marTop w:val="0"/>
          <w:marBottom w:val="0"/>
          <w:divBdr>
            <w:top w:val="none" w:sz="0" w:space="0" w:color="auto"/>
            <w:left w:val="none" w:sz="0" w:space="0" w:color="auto"/>
            <w:bottom w:val="none" w:sz="0" w:space="0" w:color="auto"/>
            <w:right w:val="none" w:sz="0" w:space="0" w:color="auto"/>
          </w:divBdr>
        </w:div>
        <w:div w:id="583226991">
          <w:marLeft w:val="0"/>
          <w:marRight w:val="0"/>
          <w:marTop w:val="0"/>
          <w:marBottom w:val="0"/>
          <w:divBdr>
            <w:top w:val="none" w:sz="0" w:space="0" w:color="auto"/>
            <w:left w:val="none" w:sz="0" w:space="0" w:color="auto"/>
            <w:bottom w:val="none" w:sz="0" w:space="0" w:color="auto"/>
            <w:right w:val="none" w:sz="0" w:space="0" w:color="auto"/>
          </w:divBdr>
        </w:div>
        <w:div w:id="618414698">
          <w:marLeft w:val="0"/>
          <w:marRight w:val="0"/>
          <w:marTop w:val="0"/>
          <w:marBottom w:val="0"/>
          <w:divBdr>
            <w:top w:val="none" w:sz="0" w:space="0" w:color="auto"/>
            <w:left w:val="none" w:sz="0" w:space="0" w:color="auto"/>
            <w:bottom w:val="none" w:sz="0" w:space="0" w:color="auto"/>
            <w:right w:val="none" w:sz="0" w:space="0" w:color="auto"/>
          </w:divBdr>
        </w:div>
        <w:div w:id="628363419">
          <w:marLeft w:val="0"/>
          <w:marRight w:val="0"/>
          <w:marTop w:val="0"/>
          <w:marBottom w:val="0"/>
          <w:divBdr>
            <w:top w:val="none" w:sz="0" w:space="0" w:color="auto"/>
            <w:left w:val="none" w:sz="0" w:space="0" w:color="auto"/>
            <w:bottom w:val="none" w:sz="0" w:space="0" w:color="auto"/>
            <w:right w:val="none" w:sz="0" w:space="0" w:color="auto"/>
          </w:divBdr>
        </w:div>
        <w:div w:id="635530318">
          <w:marLeft w:val="0"/>
          <w:marRight w:val="0"/>
          <w:marTop w:val="0"/>
          <w:marBottom w:val="0"/>
          <w:divBdr>
            <w:top w:val="none" w:sz="0" w:space="0" w:color="auto"/>
            <w:left w:val="none" w:sz="0" w:space="0" w:color="auto"/>
            <w:bottom w:val="none" w:sz="0" w:space="0" w:color="auto"/>
            <w:right w:val="none" w:sz="0" w:space="0" w:color="auto"/>
          </w:divBdr>
        </w:div>
        <w:div w:id="637876834">
          <w:marLeft w:val="0"/>
          <w:marRight w:val="0"/>
          <w:marTop w:val="0"/>
          <w:marBottom w:val="0"/>
          <w:divBdr>
            <w:top w:val="none" w:sz="0" w:space="0" w:color="auto"/>
            <w:left w:val="none" w:sz="0" w:space="0" w:color="auto"/>
            <w:bottom w:val="none" w:sz="0" w:space="0" w:color="auto"/>
            <w:right w:val="none" w:sz="0" w:space="0" w:color="auto"/>
          </w:divBdr>
        </w:div>
        <w:div w:id="720322396">
          <w:marLeft w:val="0"/>
          <w:marRight w:val="0"/>
          <w:marTop w:val="0"/>
          <w:marBottom w:val="0"/>
          <w:divBdr>
            <w:top w:val="none" w:sz="0" w:space="0" w:color="auto"/>
            <w:left w:val="none" w:sz="0" w:space="0" w:color="auto"/>
            <w:bottom w:val="none" w:sz="0" w:space="0" w:color="auto"/>
            <w:right w:val="none" w:sz="0" w:space="0" w:color="auto"/>
          </w:divBdr>
        </w:div>
        <w:div w:id="732584535">
          <w:marLeft w:val="0"/>
          <w:marRight w:val="0"/>
          <w:marTop w:val="0"/>
          <w:marBottom w:val="0"/>
          <w:divBdr>
            <w:top w:val="none" w:sz="0" w:space="0" w:color="auto"/>
            <w:left w:val="none" w:sz="0" w:space="0" w:color="auto"/>
            <w:bottom w:val="none" w:sz="0" w:space="0" w:color="auto"/>
            <w:right w:val="none" w:sz="0" w:space="0" w:color="auto"/>
          </w:divBdr>
        </w:div>
        <w:div w:id="733627133">
          <w:marLeft w:val="0"/>
          <w:marRight w:val="0"/>
          <w:marTop w:val="0"/>
          <w:marBottom w:val="0"/>
          <w:divBdr>
            <w:top w:val="none" w:sz="0" w:space="0" w:color="auto"/>
            <w:left w:val="none" w:sz="0" w:space="0" w:color="auto"/>
            <w:bottom w:val="none" w:sz="0" w:space="0" w:color="auto"/>
            <w:right w:val="none" w:sz="0" w:space="0" w:color="auto"/>
          </w:divBdr>
        </w:div>
        <w:div w:id="755129030">
          <w:marLeft w:val="0"/>
          <w:marRight w:val="0"/>
          <w:marTop w:val="0"/>
          <w:marBottom w:val="0"/>
          <w:divBdr>
            <w:top w:val="none" w:sz="0" w:space="0" w:color="auto"/>
            <w:left w:val="none" w:sz="0" w:space="0" w:color="auto"/>
            <w:bottom w:val="none" w:sz="0" w:space="0" w:color="auto"/>
            <w:right w:val="none" w:sz="0" w:space="0" w:color="auto"/>
          </w:divBdr>
        </w:div>
        <w:div w:id="760368506">
          <w:marLeft w:val="0"/>
          <w:marRight w:val="0"/>
          <w:marTop w:val="0"/>
          <w:marBottom w:val="0"/>
          <w:divBdr>
            <w:top w:val="none" w:sz="0" w:space="0" w:color="auto"/>
            <w:left w:val="none" w:sz="0" w:space="0" w:color="auto"/>
            <w:bottom w:val="none" w:sz="0" w:space="0" w:color="auto"/>
            <w:right w:val="none" w:sz="0" w:space="0" w:color="auto"/>
          </w:divBdr>
        </w:div>
        <w:div w:id="763770520">
          <w:marLeft w:val="0"/>
          <w:marRight w:val="0"/>
          <w:marTop w:val="0"/>
          <w:marBottom w:val="0"/>
          <w:divBdr>
            <w:top w:val="none" w:sz="0" w:space="0" w:color="auto"/>
            <w:left w:val="none" w:sz="0" w:space="0" w:color="auto"/>
            <w:bottom w:val="none" w:sz="0" w:space="0" w:color="auto"/>
            <w:right w:val="none" w:sz="0" w:space="0" w:color="auto"/>
          </w:divBdr>
        </w:div>
        <w:div w:id="818422651">
          <w:marLeft w:val="0"/>
          <w:marRight w:val="0"/>
          <w:marTop w:val="0"/>
          <w:marBottom w:val="0"/>
          <w:divBdr>
            <w:top w:val="none" w:sz="0" w:space="0" w:color="auto"/>
            <w:left w:val="none" w:sz="0" w:space="0" w:color="auto"/>
            <w:bottom w:val="none" w:sz="0" w:space="0" w:color="auto"/>
            <w:right w:val="none" w:sz="0" w:space="0" w:color="auto"/>
          </w:divBdr>
        </w:div>
        <w:div w:id="829904906">
          <w:marLeft w:val="0"/>
          <w:marRight w:val="0"/>
          <w:marTop w:val="0"/>
          <w:marBottom w:val="0"/>
          <w:divBdr>
            <w:top w:val="none" w:sz="0" w:space="0" w:color="auto"/>
            <w:left w:val="none" w:sz="0" w:space="0" w:color="auto"/>
            <w:bottom w:val="none" w:sz="0" w:space="0" w:color="auto"/>
            <w:right w:val="none" w:sz="0" w:space="0" w:color="auto"/>
          </w:divBdr>
        </w:div>
        <w:div w:id="841169108">
          <w:marLeft w:val="0"/>
          <w:marRight w:val="0"/>
          <w:marTop w:val="0"/>
          <w:marBottom w:val="0"/>
          <w:divBdr>
            <w:top w:val="none" w:sz="0" w:space="0" w:color="auto"/>
            <w:left w:val="none" w:sz="0" w:space="0" w:color="auto"/>
            <w:bottom w:val="none" w:sz="0" w:space="0" w:color="auto"/>
            <w:right w:val="none" w:sz="0" w:space="0" w:color="auto"/>
          </w:divBdr>
        </w:div>
        <w:div w:id="842933664">
          <w:marLeft w:val="0"/>
          <w:marRight w:val="0"/>
          <w:marTop w:val="0"/>
          <w:marBottom w:val="0"/>
          <w:divBdr>
            <w:top w:val="none" w:sz="0" w:space="0" w:color="auto"/>
            <w:left w:val="none" w:sz="0" w:space="0" w:color="auto"/>
            <w:bottom w:val="none" w:sz="0" w:space="0" w:color="auto"/>
            <w:right w:val="none" w:sz="0" w:space="0" w:color="auto"/>
          </w:divBdr>
        </w:div>
        <w:div w:id="874387143">
          <w:marLeft w:val="0"/>
          <w:marRight w:val="0"/>
          <w:marTop w:val="0"/>
          <w:marBottom w:val="0"/>
          <w:divBdr>
            <w:top w:val="none" w:sz="0" w:space="0" w:color="auto"/>
            <w:left w:val="none" w:sz="0" w:space="0" w:color="auto"/>
            <w:bottom w:val="none" w:sz="0" w:space="0" w:color="auto"/>
            <w:right w:val="none" w:sz="0" w:space="0" w:color="auto"/>
          </w:divBdr>
        </w:div>
        <w:div w:id="880442401">
          <w:marLeft w:val="0"/>
          <w:marRight w:val="0"/>
          <w:marTop w:val="0"/>
          <w:marBottom w:val="0"/>
          <w:divBdr>
            <w:top w:val="none" w:sz="0" w:space="0" w:color="auto"/>
            <w:left w:val="none" w:sz="0" w:space="0" w:color="auto"/>
            <w:bottom w:val="none" w:sz="0" w:space="0" w:color="auto"/>
            <w:right w:val="none" w:sz="0" w:space="0" w:color="auto"/>
          </w:divBdr>
        </w:div>
        <w:div w:id="920603315">
          <w:marLeft w:val="0"/>
          <w:marRight w:val="0"/>
          <w:marTop w:val="0"/>
          <w:marBottom w:val="0"/>
          <w:divBdr>
            <w:top w:val="none" w:sz="0" w:space="0" w:color="auto"/>
            <w:left w:val="none" w:sz="0" w:space="0" w:color="auto"/>
            <w:bottom w:val="none" w:sz="0" w:space="0" w:color="auto"/>
            <w:right w:val="none" w:sz="0" w:space="0" w:color="auto"/>
          </w:divBdr>
        </w:div>
        <w:div w:id="946622160">
          <w:marLeft w:val="0"/>
          <w:marRight w:val="0"/>
          <w:marTop w:val="0"/>
          <w:marBottom w:val="0"/>
          <w:divBdr>
            <w:top w:val="none" w:sz="0" w:space="0" w:color="auto"/>
            <w:left w:val="none" w:sz="0" w:space="0" w:color="auto"/>
            <w:bottom w:val="none" w:sz="0" w:space="0" w:color="auto"/>
            <w:right w:val="none" w:sz="0" w:space="0" w:color="auto"/>
          </w:divBdr>
        </w:div>
        <w:div w:id="947931350">
          <w:marLeft w:val="0"/>
          <w:marRight w:val="0"/>
          <w:marTop w:val="0"/>
          <w:marBottom w:val="0"/>
          <w:divBdr>
            <w:top w:val="none" w:sz="0" w:space="0" w:color="auto"/>
            <w:left w:val="none" w:sz="0" w:space="0" w:color="auto"/>
            <w:bottom w:val="none" w:sz="0" w:space="0" w:color="auto"/>
            <w:right w:val="none" w:sz="0" w:space="0" w:color="auto"/>
          </w:divBdr>
        </w:div>
        <w:div w:id="948003856">
          <w:marLeft w:val="0"/>
          <w:marRight w:val="0"/>
          <w:marTop w:val="0"/>
          <w:marBottom w:val="0"/>
          <w:divBdr>
            <w:top w:val="none" w:sz="0" w:space="0" w:color="auto"/>
            <w:left w:val="none" w:sz="0" w:space="0" w:color="auto"/>
            <w:bottom w:val="none" w:sz="0" w:space="0" w:color="auto"/>
            <w:right w:val="none" w:sz="0" w:space="0" w:color="auto"/>
          </w:divBdr>
        </w:div>
        <w:div w:id="974724516">
          <w:marLeft w:val="0"/>
          <w:marRight w:val="0"/>
          <w:marTop w:val="0"/>
          <w:marBottom w:val="0"/>
          <w:divBdr>
            <w:top w:val="none" w:sz="0" w:space="0" w:color="auto"/>
            <w:left w:val="none" w:sz="0" w:space="0" w:color="auto"/>
            <w:bottom w:val="none" w:sz="0" w:space="0" w:color="auto"/>
            <w:right w:val="none" w:sz="0" w:space="0" w:color="auto"/>
          </w:divBdr>
        </w:div>
        <w:div w:id="1005716570">
          <w:marLeft w:val="0"/>
          <w:marRight w:val="0"/>
          <w:marTop w:val="0"/>
          <w:marBottom w:val="0"/>
          <w:divBdr>
            <w:top w:val="none" w:sz="0" w:space="0" w:color="auto"/>
            <w:left w:val="none" w:sz="0" w:space="0" w:color="auto"/>
            <w:bottom w:val="none" w:sz="0" w:space="0" w:color="auto"/>
            <w:right w:val="none" w:sz="0" w:space="0" w:color="auto"/>
          </w:divBdr>
        </w:div>
        <w:div w:id="1009483187">
          <w:marLeft w:val="0"/>
          <w:marRight w:val="0"/>
          <w:marTop w:val="0"/>
          <w:marBottom w:val="0"/>
          <w:divBdr>
            <w:top w:val="none" w:sz="0" w:space="0" w:color="auto"/>
            <w:left w:val="none" w:sz="0" w:space="0" w:color="auto"/>
            <w:bottom w:val="none" w:sz="0" w:space="0" w:color="auto"/>
            <w:right w:val="none" w:sz="0" w:space="0" w:color="auto"/>
          </w:divBdr>
        </w:div>
        <w:div w:id="1018123151">
          <w:marLeft w:val="0"/>
          <w:marRight w:val="0"/>
          <w:marTop w:val="0"/>
          <w:marBottom w:val="0"/>
          <w:divBdr>
            <w:top w:val="none" w:sz="0" w:space="0" w:color="auto"/>
            <w:left w:val="none" w:sz="0" w:space="0" w:color="auto"/>
            <w:bottom w:val="none" w:sz="0" w:space="0" w:color="auto"/>
            <w:right w:val="none" w:sz="0" w:space="0" w:color="auto"/>
          </w:divBdr>
        </w:div>
        <w:div w:id="1024866200">
          <w:marLeft w:val="0"/>
          <w:marRight w:val="0"/>
          <w:marTop w:val="0"/>
          <w:marBottom w:val="0"/>
          <w:divBdr>
            <w:top w:val="none" w:sz="0" w:space="0" w:color="auto"/>
            <w:left w:val="none" w:sz="0" w:space="0" w:color="auto"/>
            <w:bottom w:val="none" w:sz="0" w:space="0" w:color="auto"/>
            <w:right w:val="none" w:sz="0" w:space="0" w:color="auto"/>
          </w:divBdr>
        </w:div>
        <w:div w:id="1030760629">
          <w:marLeft w:val="0"/>
          <w:marRight w:val="0"/>
          <w:marTop w:val="0"/>
          <w:marBottom w:val="0"/>
          <w:divBdr>
            <w:top w:val="none" w:sz="0" w:space="0" w:color="auto"/>
            <w:left w:val="none" w:sz="0" w:space="0" w:color="auto"/>
            <w:bottom w:val="none" w:sz="0" w:space="0" w:color="auto"/>
            <w:right w:val="none" w:sz="0" w:space="0" w:color="auto"/>
          </w:divBdr>
        </w:div>
        <w:div w:id="1033188498">
          <w:marLeft w:val="0"/>
          <w:marRight w:val="0"/>
          <w:marTop w:val="0"/>
          <w:marBottom w:val="0"/>
          <w:divBdr>
            <w:top w:val="none" w:sz="0" w:space="0" w:color="auto"/>
            <w:left w:val="none" w:sz="0" w:space="0" w:color="auto"/>
            <w:bottom w:val="none" w:sz="0" w:space="0" w:color="auto"/>
            <w:right w:val="none" w:sz="0" w:space="0" w:color="auto"/>
          </w:divBdr>
        </w:div>
        <w:div w:id="1056976571">
          <w:marLeft w:val="0"/>
          <w:marRight w:val="0"/>
          <w:marTop w:val="0"/>
          <w:marBottom w:val="0"/>
          <w:divBdr>
            <w:top w:val="none" w:sz="0" w:space="0" w:color="auto"/>
            <w:left w:val="none" w:sz="0" w:space="0" w:color="auto"/>
            <w:bottom w:val="none" w:sz="0" w:space="0" w:color="auto"/>
            <w:right w:val="none" w:sz="0" w:space="0" w:color="auto"/>
          </w:divBdr>
        </w:div>
        <w:div w:id="1089883984">
          <w:marLeft w:val="0"/>
          <w:marRight w:val="0"/>
          <w:marTop w:val="0"/>
          <w:marBottom w:val="0"/>
          <w:divBdr>
            <w:top w:val="none" w:sz="0" w:space="0" w:color="auto"/>
            <w:left w:val="none" w:sz="0" w:space="0" w:color="auto"/>
            <w:bottom w:val="none" w:sz="0" w:space="0" w:color="auto"/>
            <w:right w:val="none" w:sz="0" w:space="0" w:color="auto"/>
          </w:divBdr>
        </w:div>
        <w:div w:id="1114592058">
          <w:marLeft w:val="0"/>
          <w:marRight w:val="0"/>
          <w:marTop w:val="0"/>
          <w:marBottom w:val="0"/>
          <w:divBdr>
            <w:top w:val="none" w:sz="0" w:space="0" w:color="auto"/>
            <w:left w:val="none" w:sz="0" w:space="0" w:color="auto"/>
            <w:bottom w:val="none" w:sz="0" w:space="0" w:color="auto"/>
            <w:right w:val="none" w:sz="0" w:space="0" w:color="auto"/>
          </w:divBdr>
        </w:div>
        <w:div w:id="1141918554">
          <w:marLeft w:val="0"/>
          <w:marRight w:val="0"/>
          <w:marTop w:val="0"/>
          <w:marBottom w:val="0"/>
          <w:divBdr>
            <w:top w:val="none" w:sz="0" w:space="0" w:color="auto"/>
            <w:left w:val="none" w:sz="0" w:space="0" w:color="auto"/>
            <w:bottom w:val="none" w:sz="0" w:space="0" w:color="auto"/>
            <w:right w:val="none" w:sz="0" w:space="0" w:color="auto"/>
          </w:divBdr>
        </w:div>
        <w:div w:id="1161115533">
          <w:marLeft w:val="0"/>
          <w:marRight w:val="0"/>
          <w:marTop w:val="0"/>
          <w:marBottom w:val="0"/>
          <w:divBdr>
            <w:top w:val="none" w:sz="0" w:space="0" w:color="auto"/>
            <w:left w:val="none" w:sz="0" w:space="0" w:color="auto"/>
            <w:bottom w:val="none" w:sz="0" w:space="0" w:color="auto"/>
            <w:right w:val="none" w:sz="0" w:space="0" w:color="auto"/>
          </w:divBdr>
        </w:div>
        <w:div w:id="1169251639">
          <w:marLeft w:val="0"/>
          <w:marRight w:val="0"/>
          <w:marTop w:val="0"/>
          <w:marBottom w:val="0"/>
          <w:divBdr>
            <w:top w:val="none" w:sz="0" w:space="0" w:color="auto"/>
            <w:left w:val="none" w:sz="0" w:space="0" w:color="auto"/>
            <w:bottom w:val="none" w:sz="0" w:space="0" w:color="auto"/>
            <w:right w:val="none" w:sz="0" w:space="0" w:color="auto"/>
          </w:divBdr>
        </w:div>
        <w:div w:id="1182164448">
          <w:marLeft w:val="0"/>
          <w:marRight w:val="0"/>
          <w:marTop w:val="0"/>
          <w:marBottom w:val="0"/>
          <w:divBdr>
            <w:top w:val="none" w:sz="0" w:space="0" w:color="auto"/>
            <w:left w:val="none" w:sz="0" w:space="0" w:color="auto"/>
            <w:bottom w:val="none" w:sz="0" w:space="0" w:color="auto"/>
            <w:right w:val="none" w:sz="0" w:space="0" w:color="auto"/>
          </w:divBdr>
        </w:div>
        <w:div w:id="1187060230">
          <w:marLeft w:val="0"/>
          <w:marRight w:val="0"/>
          <w:marTop w:val="0"/>
          <w:marBottom w:val="0"/>
          <w:divBdr>
            <w:top w:val="none" w:sz="0" w:space="0" w:color="auto"/>
            <w:left w:val="none" w:sz="0" w:space="0" w:color="auto"/>
            <w:bottom w:val="none" w:sz="0" w:space="0" w:color="auto"/>
            <w:right w:val="none" w:sz="0" w:space="0" w:color="auto"/>
          </w:divBdr>
        </w:div>
        <w:div w:id="1195537034">
          <w:marLeft w:val="0"/>
          <w:marRight w:val="0"/>
          <w:marTop w:val="0"/>
          <w:marBottom w:val="0"/>
          <w:divBdr>
            <w:top w:val="none" w:sz="0" w:space="0" w:color="auto"/>
            <w:left w:val="none" w:sz="0" w:space="0" w:color="auto"/>
            <w:bottom w:val="none" w:sz="0" w:space="0" w:color="auto"/>
            <w:right w:val="none" w:sz="0" w:space="0" w:color="auto"/>
          </w:divBdr>
        </w:div>
        <w:div w:id="1209106131">
          <w:marLeft w:val="0"/>
          <w:marRight w:val="0"/>
          <w:marTop w:val="0"/>
          <w:marBottom w:val="0"/>
          <w:divBdr>
            <w:top w:val="none" w:sz="0" w:space="0" w:color="auto"/>
            <w:left w:val="none" w:sz="0" w:space="0" w:color="auto"/>
            <w:bottom w:val="none" w:sz="0" w:space="0" w:color="auto"/>
            <w:right w:val="none" w:sz="0" w:space="0" w:color="auto"/>
          </w:divBdr>
        </w:div>
        <w:div w:id="1209218088">
          <w:marLeft w:val="0"/>
          <w:marRight w:val="0"/>
          <w:marTop w:val="0"/>
          <w:marBottom w:val="0"/>
          <w:divBdr>
            <w:top w:val="none" w:sz="0" w:space="0" w:color="auto"/>
            <w:left w:val="none" w:sz="0" w:space="0" w:color="auto"/>
            <w:bottom w:val="none" w:sz="0" w:space="0" w:color="auto"/>
            <w:right w:val="none" w:sz="0" w:space="0" w:color="auto"/>
          </w:divBdr>
        </w:div>
        <w:div w:id="1216501610">
          <w:marLeft w:val="0"/>
          <w:marRight w:val="0"/>
          <w:marTop w:val="0"/>
          <w:marBottom w:val="0"/>
          <w:divBdr>
            <w:top w:val="none" w:sz="0" w:space="0" w:color="auto"/>
            <w:left w:val="none" w:sz="0" w:space="0" w:color="auto"/>
            <w:bottom w:val="none" w:sz="0" w:space="0" w:color="auto"/>
            <w:right w:val="none" w:sz="0" w:space="0" w:color="auto"/>
          </w:divBdr>
        </w:div>
        <w:div w:id="1219054773">
          <w:marLeft w:val="0"/>
          <w:marRight w:val="0"/>
          <w:marTop w:val="0"/>
          <w:marBottom w:val="0"/>
          <w:divBdr>
            <w:top w:val="none" w:sz="0" w:space="0" w:color="auto"/>
            <w:left w:val="none" w:sz="0" w:space="0" w:color="auto"/>
            <w:bottom w:val="none" w:sz="0" w:space="0" w:color="auto"/>
            <w:right w:val="none" w:sz="0" w:space="0" w:color="auto"/>
          </w:divBdr>
        </w:div>
        <w:div w:id="1226456927">
          <w:marLeft w:val="0"/>
          <w:marRight w:val="0"/>
          <w:marTop w:val="0"/>
          <w:marBottom w:val="0"/>
          <w:divBdr>
            <w:top w:val="none" w:sz="0" w:space="0" w:color="auto"/>
            <w:left w:val="none" w:sz="0" w:space="0" w:color="auto"/>
            <w:bottom w:val="none" w:sz="0" w:space="0" w:color="auto"/>
            <w:right w:val="none" w:sz="0" w:space="0" w:color="auto"/>
          </w:divBdr>
        </w:div>
        <w:div w:id="1234660195">
          <w:marLeft w:val="0"/>
          <w:marRight w:val="0"/>
          <w:marTop w:val="0"/>
          <w:marBottom w:val="0"/>
          <w:divBdr>
            <w:top w:val="none" w:sz="0" w:space="0" w:color="auto"/>
            <w:left w:val="none" w:sz="0" w:space="0" w:color="auto"/>
            <w:bottom w:val="none" w:sz="0" w:space="0" w:color="auto"/>
            <w:right w:val="none" w:sz="0" w:space="0" w:color="auto"/>
          </w:divBdr>
        </w:div>
        <w:div w:id="1255436570">
          <w:marLeft w:val="0"/>
          <w:marRight w:val="0"/>
          <w:marTop w:val="0"/>
          <w:marBottom w:val="0"/>
          <w:divBdr>
            <w:top w:val="none" w:sz="0" w:space="0" w:color="auto"/>
            <w:left w:val="none" w:sz="0" w:space="0" w:color="auto"/>
            <w:bottom w:val="none" w:sz="0" w:space="0" w:color="auto"/>
            <w:right w:val="none" w:sz="0" w:space="0" w:color="auto"/>
          </w:divBdr>
        </w:div>
        <w:div w:id="1272394184">
          <w:marLeft w:val="0"/>
          <w:marRight w:val="0"/>
          <w:marTop w:val="0"/>
          <w:marBottom w:val="0"/>
          <w:divBdr>
            <w:top w:val="none" w:sz="0" w:space="0" w:color="auto"/>
            <w:left w:val="none" w:sz="0" w:space="0" w:color="auto"/>
            <w:bottom w:val="none" w:sz="0" w:space="0" w:color="auto"/>
            <w:right w:val="none" w:sz="0" w:space="0" w:color="auto"/>
          </w:divBdr>
        </w:div>
        <w:div w:id="1275016973">
          <w:marLeft w:val="0"/>
          <w:marRight w:val="0"/>
          <w:marTop w:val="0"/>
          <w:marBottom w:val="0"/>
          <w:divBdr>
            <w:top w:val="none" w:sz="0" w:space="0" w:color="auto"/>
            <w:left w:val="none" w:sz="0" w:space="0" w:color="auto"/>
            <w:bottom w:val="none" w:sz="0" w:space="0" w:color="auto"/>
            <w:right w:val="none" w:sz="0" w:space="0" w:color="auto"/>
          </w:divBdr>
        </w:div>
        <w:div w:id="1368067862">
          <w:marLeft w:val="0"/>
          <w:marRight w:val="0"/>
          <w:marTop w:val="0"/>
          <w:marBottom w:val="0"/>
          <w:divBdr>
            <w:top w:val="none" w:sz="0" w:space="0" w:color="auto"/>
            <w:left w:val="none" w:sz="0" w:space="0" w:color="auto"/>
            <w:bottom w:val="none" w:sz="0" w:space="0" w:color="auto"/>
            <w:right w:val="none" w:sz="0" w:space="0" w:color="auto"/>
          </w:divBdr>
        </w:div>
        <w:div w:id="1368873164">
          <w:marLeft w:val="0"/>
          <w:marRight w:val="0"/>
          <w:marTop w:val="0"/>
          <w:marBottom w:val="0"/>
          <w:divBdr>
            <w:top w:val="none" w:sz="0" w:space="0" w:color="auto"/>
            <w:left w:val="none" w:sz="0" w:space="0" w:color="auto"/>
            <w:bottom w:val="none" w:sz="0" w:space="0" w:color="auto"/>
            <w:right w:val="none" w:sz="0" w:space="0" w:color="auto"/>
          </w:divBdr>
        </w:div>
        <w:div w:id="1369601552">
          <w:marLeft w:val="0"/>
          <w:marRight w:val="0"/>
          <w:marTop w:val="0"/>
          <w:marBottom w:val="0"/>
          <w:divBdr>
            <w:top w:val="none" w:sz="0" w:space="0" w:color="auto"/>
            <w:left w:val="none" w:sz="0" w:space="0" w:color="auto"/>
            <w:bottom w:val="none" w:sz="0" w:space="0" w:color="auto"/>
            <w:right w:val="none" w:sz="0" w:space="0" w:color="auto"/>
          </w:divBdr>
        </w:div>
        <w:div w:id="1387726300">
          <w:marLeft w:val="0"/>
          <w:marRight w:val="0"/>
          <w:marTop w:val="0"/>
          <w:marBottom w:val="0"/>
          <w:divBdr>
            <w:top w:val="none" w:sz="0" w:space="0" w:color="auto"/>
            <w:left w:val="none" w:sz="0" w:space="0" w:color="auto"/>
            <w:bottom w:val="none" w:sz="0" w:space="0" w:color="auto"/>
            <w:right w:val="none" w:sz="0" w:space="0" w:color="auto"/>
          </w:divBdr>
        </w:div>
        <w:div w:id="1391079671">
          <w:marLeft w:val="0"/>
          <w:marRight w:val="0"/>
          <w:marTop w:val="0"/>
          <w:marBottom w:val="0"/>
          <w:divBdr>
            <w:top w:val="none" w:sz="0" w:space="0" w:color="auto"/>
            <w:left w:val="none" w:sz="0" w:space="0" w:color="auto"/>
            <w:bottom w:val="none" w:sz="0" w:space="0" w:color="auto"/>
            <w:right w:val="none" w:sz="0" w:space="0" w:color="auto"/>
          </w:divBdr>
        </w:div>
        <w:div w:id="1426265834">
          <w:marLeft w:val="0"/>
          <w:marRight w:val="0"/>
          <w:marTop w:val="0"/>
          <w:marBottom w:val="0"/>
          <w:divBdr>
            <w:top w:val="none" w:sz="0" w:space="0" w:color="auto"/>
            <w:left w:val="none" w:sz="0" w:space="0" w:color="auto"/>
            <w:bottom w:val="none" w:sz="0" w:space="0" w:color="auto"/>
            <w:right w:val="none" w:sz="0" w:space="0" w:color="auto"/>
          </w:divBdr>
        </w:div>
        <w:div w:id="1428427730">
          <w:marLeft w:val="0"/>
          <w:marRight w:val="0"/>
          <w:marTop w:val="0"/>
          <w:marBottom w:val="0"/>
          <w:divBdr>
            <w:top w:val="none" w:sz="0" w:space="0" w:color="auto"/>
            <w:left w:val="none" w:sz="0" w:space="0" w:color="auto"/>
            <w:bottom w:val="none" w:sz="0" w:space="0" w:color="auto"/>
            <w:right w:val="none" w:sz="0" w:space="0" w:color="auto"/>
          </w:divBdr>
        </w:div>
        <w:div w:id="1436289044">
          <w:marLeft w:val="0"/>
          <w:marRight w:val="0"/>
          <w:marTop w:val="0"/>
          <w:marBottom w:val="0"/>
          <w:divBdr>
            <w:top w:val="none" w:sz="0" w:space="0" w:color="auto"/>
            <w:left w:val="none" w:sz="0" w:space="0" w:color="auto"/>
            <w:bottom w:val="none" w:sz="0" w:space="0" w:color="auto"/>
            <w:right w:val="none" w:sz="0" w:space="0" w:color="auto"/>
          </w:divBdr>
        </w:div>
        <w:div w:id="1460681816">
          <w:marLeft w:val="0"/>
          <w:marRight w:val="0"/>
          <w:marTop w:val="0"/>
          <w:marBottom w:val="0"/>
          <w:divBdr>
            <w:top w:val="none" w:sz="0" w:space="0" w:color="auto"/>
            <w:left w:val="none" w:sz="0" w:space="0" w:color="auto"/>
            <w:bottom w:val="none" w:sz="0" w:space="0" w:color="auto"/>
            <w:right w:val="none" w:sz="0" w:space="0" w:color="auto"/>
          </w:divBdr>
        </w:div>
        <w:div w:id="1494447694">
          <w:marLeft w:val="0"/>
          <w:marRight w:val="0"/>
          <w:marTop w:val="0"/>
          <w:marBottom w:val="0"/>
          <w:divBdr>
            <w:top w:val="none" w:sz="0" w:space="0" w:color="auto"/>
            <w:left w:val="none" w:sz="0" w:space="0" w:color="auto"/>
            <w:bottom w:val="none" w:sz="0" w:space="0" w:color="auto"/>
            <w:right w:val="none" w:sz="0" w:space="0" w:color="auto"/>
          </w:divBdr>
        </w:div>
        <w:div w:id="1507136866">
          <w:marLeft w:val="0"/>
          <w:marRight w:val="0"/>
          <w:marTop w:val="0"/>
          <w:marBottom w:val="0"/>
          <w:divBdr>
            <w:top w:val="none" w:sz="0" w:space="0" w:color="auto"/>
            <w:left w:val="none" w:sz="0" w:space="0" w:color="auto"/>
            <w:bottom w:val="none" w:sz="0" w:space="0" w:color="auto"/>
            <w:right w:val="none" w:sz="0" w:space="0" w:color="auto"/>
          </w:divBdr>
        </w:div>
        <w:div w:id="1556428692">
          <w:marLeft w:val="0"/>
          <w:marRight w:val="0"/>
          <w:marTop w:val="0"/>
          <w:marBottom w:val="0"/>
          <w:divBdr>
            <w:top w:val="none" w:sz="0" w:space="0" w:color="auto"/>
            <w:left w:val="none" w:sz="0" w:space="0" w:color="auto"/>
            <w:bottom w:val="none" w:sz="0" w:space="0" w:color="auto"/>
            <w:right w:val="none" w:sz="0" w:space="0" w:color="auto"/>
          </w:divBdr>
        </w:div>
        <w:div w:id="1574970287">
          <w:marLeft w:val="0"/>
          <w:marRight w:val="0"/>
          <w:marTop w:val="0"/>
          <w:marBottom w:val="0"/>
          <w:divBdr>
            <w:top w:val="none" w:sz="0" w:space="0" w:color="auto"/>
            <w:left w:val="none" w:sz="0" w:space="0" w:color="auto"/>
            <w:bottom w:val="none" w:sz="0" w:space="0" w:color="auto"/>
            <w:right w:val="none" w:sz="0" w:space="0" w:color="auto"/>
          </w:divBdr>
        </w:div>
        <w:div w:id="1587493541">
          <w:marLeft w:val="0"/>
          <w:marRight w:val="0"/>
          <w:marTop w:val="0"/>
          <w:marBottom w:val="0"/>
          <w:divBdr>
            <w:top w:val="none" w:sz="0" w:space="0" w:color="auto"/>
            <w:left w:val="none" w:sz="0" w:space="0" w:color="auto"/>
            <w:bottom w:val="none" w:sz="0" w:space="0" w:color="auto"/>
            <w:right w:val="none" w:sz="0" w:space="0" w:color="auto"/>
          </w:divBdr>
        </w:div>
        <w:div w:id="1589267101">
          <w:marLeft w:val="0"/>
          <w:marRight w:val="0"/>
          <w:marTop w:val="0"/>
          <w:marBottom w:val="0"/>
          <w:divBdr>
            <w:top w:val="none" w:sz="0" w:space="0" w:color="auto"/>
            <w:left w:val="none" w:sz="0" w:space="0" w:color="auto"/>
            <w:bottom w:val="none" w:sz="0" w:space="0" w:color="auto"/>
            <w:right w:val="none" w:sz="0" w:space="0" w:color="auto"/>
          </w:divBdr>
        </w:div>
        <w:div w:id="1600679468">
          <w:marLeft w:val="0"/>
          <w:marRight w:val="0"/>
          <w:marTop w:val="0"/>
          <w:marBottom w:val="0"/>
          <w:divBdr>
            <w:top w:val="none" w:sz="0" w:space="0" w:color="auto"/>
            <w:left w:val="none" w:sz="0" w:space="0" w:color="auto"/>
            <w:bottom w:val="none" w:sz="0" w:space="0" w:color="auto"/>
            <w:right w:val="none" w:sz="0" w:space="0" w:color="auto"/>
          </w:divBdr>
        </w:div>
        <w:div w:id="1603293121">
          <w:marLeft w:val="0"/>
          <w:marRight w:val="0"/>
          <w:marTop w:val="0"/>
          <w:marBottom w:val="0"/>
          <w:divBdr>
            <w:top w:val="none" w:sz="0" w:space="0" w:color="auto"/>
            <w:left w:val="none" w:sz="0" w:space="0" w:color="auto"/>
            <w:bottom w:val="none" w:sz="0" w:space="0" w:color="auto"/>
            <w:right w:val="none" w:sz="0" w:space="0" w:color="auto"/>
          </w:divBdr>
        </w:div>
        <w:div w:id="1606184232">
          <w:marLeft w:val="0"/>
          <w:marRight w:val="0"/>
          <w:marTop w:val="0"/>
          <w:marBottom w:val="0"/>
          <w:divBdr>
            <w:top w:val="none" w:sz="0" w:space="0" w:color="auto"/>
            <w:left w:val="none" w:sz="0" w:space="0" w:color="auto"/>
            <w:bottom w:val="none" w:sz="0" w:space="0" w:color="auto"/>
            <w:right w:val="none" w:sz="0" w:space="0" w:color="auto"/>
          </w:divBdr>
        </w:div>
        <w:div w:id="1644309951">
          <w:marLeft w:val="0"/>
          <w:marRight w:val="0"/>
          <w:marTop w:val="0"/>
          <w:marBottom w:val="0"/>
          <w:divBdr>
            <w:top w:val="none" w:sz="0" w:space="0" w:color="auto"/>
            <w:left w:val="none" w:sz="0" w:space="0" w:color="auto"/>
            <w:bottom w:val="none" w:sz="0" w:space="0" w:color="auto"/>
            <w:right w:val="none" w:sz="0" w:space="0" w:color="auto"/>
          </w:divBdr>
        </w:div>
        <w:div w:id="1644387419">
          <w:marLeft w:val="0"/>
          <w:marRight w:val="0"/>
          <w:marTop w:val="0"/>
          <w:marBottom w:val="0"/>
          <w:divBdr>
            <w:top w:val="none" w:sz="0" w:space="0" w:color="auto"/>
            <w:left w:val="none" w:sz="0" w:space="0" w:color="auto"/>
            <w:bottom w:val="none" w:sz="0" w:space="0" w:color="auto"/>
            <w:right w:val="none" w:sz="0" w:space="0" w:color="auto"/>
          </w:divBdr>
        </w:div>
        <w:div w:id="1646012510">
          <w:marLeft w:val="0"/>
          <w:marRight w:val="0"/>
          <w:marTop w:val="0"/>
          <w:marBottom w:val="0"/>
          <w:divBdr>
            <w:top w:val="none" w:sz="0" w:space="0" w:color="auto"/>
            <w:left w:val="none" w:sz="0" w:space="0" w:color="auto"/>
            <w:bottom w:val="none" w:sz="0" w:space="0" w:color="auto"/>
            <w:right w:val="none" w:sz="0" w:space="0" w:color="auto"/>
          </w:divBdr>
        </w:div>
        <w:div w:id="1657302420">
          <w:marLeft w:val="0"/>
          <w:marRight w:val="0"/>
          <w:marTop w:val="0"/>
          <w:marBottom w:val="0"/>
          <w:divBdr>
            <w:top w:val="none" w:sz="0" w:space="0" w:color="auto"/>
            <w:left w:val="none" w:sz="0" w:space="0" w:color="auto"/>
            <w:bottom w:val="none" w:sz="0" w:space="0" w:color="auto"/>
            <w:right w:val="none" w:sz="0" w:space="0" w:color="auto"/>
          </w:divBdr>
        </w:div>
        <w:div w:id="1661882647">
          <w:marLeft w:val="0"/>
          <w:marRight w:val="0"/>
          <w:marTop w:val="0"/>
          <w:marBottom w:val="0"/>
          <w:divBdr>
            <w:top w:val="none" w:sz="0" w:space="0" w:color="auto"/>
            <w:left w:val="none" w:sz="0" w:space="0" w:color="auto"/>
            <w:bottom w:val="none" w:sz="0" w:space="0" w:color="auto"/>
            <w:right w:val="none" w:sz="0" w:space="0" w:color="auto"/>
          </w:divBdr>
        </w:div>
        <w:div w:id="1689797203">
          <w:marLeft w:val="0"/>
          <w:marRight w:val="0"/>
          <w:marTop w:val="0"/>
          <w:marBottom w:val="0"/>
          <w:divBdr>
            <w:top w:val="none" w:sz="0" w:space="0" w:color="auto"/>
            <w:left w:val="none" w:sz="0" w:space="0" w:color="auto"/>
            <w:bottom w:val="none" w:sz="0" w:space="0" w:color="auto"/>
            <w:right w:val="none" w:sz="0" w:space="0" w:color="auto"/>
          </w:divBdr>
        </w:div>
        <w:div w:id="1693064900">
          <w:marLeft w:val="0"/>
          <w:marRight w:val="0"/>
          <w:marTop w:val="0"/>
          <w:marBottom w:val="0"/>
          <w:divBdr>
            <w:top w:val="none" w:sz="0" w:space="0" w:color="auto"/>
            <w:left w:val="none" w:sz="0" w:space="0" w:color="auto"/>
            <w:bottom w:val="none" w:sz="0" w:space="0" w:color="auto"/>
            <w:right w:val="none" w:sz="0" w:space="0" w:color="auto"/>
          </w:divBdr>
        </w:div>
        <w:div w:id="1710688065">
          <w:marLeft w:val="0"/>
          <w:marRight w:val="0"/>
          <w:marTop w:val="0"/>
          <w:marBottom w:val="0"/>
          <w:divBdr>
            <w:top w:val="none" w:sz="0" w:space="0" w:color="auto"/>
            <w:left w:val="none" w:sz="0" w:space="0" w:color="auto"/>
            <w:bottom w:val="none" w:sz="0" w:space="0" w:color="auto"/>
            <w:right w:val="none" w:sz="0" w:space="0" w:color="auto"/>
          </w:divBdr>
        </w:div>
        <w:div w:id="1724402732">
          <w:marLeft w:val="0"/>
          <w:marRight w:val="0"/>
          <w:marTop w:val="0"/>
          <w:marBottom w:val="0"/>
          <w:divBdr>
            <w:top w:val="none" w:sz="0" w:space="0" w:color="auto"/>
            <w:left w:val="none" w:sz="0" w:space="0" w:color="auto"/>
            <w:bottom w:val="none" w:sz="0" w:space="0" w:color="auto"/>
            <w:right w:val="none" w:sz="0" w:space="0" w:color="auto"/>
          </w:divBdr>
        </w:div>
        <w:div w:id="1733962460">
          <w:marLeft w:val="0"/>
          <w:marRight w:val="0"/>
          <w:marTop w:val="0"/>
          <w:marBottom w:val="0"/>
          <w:divBdr>
            <w:top w:val="none" w:sz="0" w:space="0" w:color="auto"/>
            <w:left w:val="none" w:sz="0" w:space="0" w:color="auto"/>
            <w:bottom w:val="none" w:sz="0" w:space="0" w:color="auto"/>
            <w:right w:val="none" w:sz="0" w:space="0" w:color="auto"/>
          </w:divBdr>
        </w:div>
        <w:div w:id="1759790937">
          <w:marLeft w:val="0"/>
          <w:marRight w:val="0"/>
          <w:marTop w:val="0"/>
          <w:marBottom w:val="0"/>
          <w:divBdr>
            <w:top w:val="none" w:sz="0" w:space="0" w:color="auto"/>
            <w:left w:val="none" w:sz="0" w:space="0" w:color="auto"/>
            <w:bottom w:val="none" w:sz="0" w:space="0" w:color="auto"/>
            <w:right w:val="none" w:sz="0" w:space="0" w:color="auto"/>
          </w:divBdr>
        </w:div>
        <w:div w:id="1787386746">
          <w:marLeft w:val="0"/>
          <w:marRight w:val="0"/>
          <w:marTop w:val="0"/>
          <w:marBottom w:val="0"/>
          <w:divBdr>
            <w:top w:val="none" w:sz="0" w:space="0" w:color="auto"/>
            <w:left w:val="none" w:sz="0" w:space="0" w:color="auto"/>
            <w:bottom w:val="none" w:sz="0" w:space="0" w:color="auto"/>
            <w:right w:val="none" w:sz="0" w:space="0" w:color="auto"/>
          </w:divBdr>
        </w:div>
        <w:div w:id="1791170222">
          <w:marLeft w:val="0"/>
          <w:marRight w:val="0"/>
          <w:marTop w:val="0"/>
          <w:marBottom w:val="0"/>
          <w:divBdr>
            <w:top w:val="none" w:sz="0" w:space="0" w:color="auto"/>
            <w:left w:val="none" w:sz="0" w:space="0" w:color="auto"/>
            <w:bottom w:val="none" w:sz="0" w:space="0" w:color="auto"/>
            <w:right w:val="none" w:sz="0" w:space="0" w:color="auto"/>
          </w:divBdr>
        </w:div>
        <w:div w:id="1799688120">
          <w:marLeft w:val="0"/>
          <w:marRight w:val="0"/>
          <w:marTop w:val="0"/>
          <w:marBottom w:val="0"/>
          <w:divBdr>
            <w:top w:val="none" w:sz="0" w:space="0" w:color="auto"/>
            <w:left w:val="none" w:sz="0" w:space="0" w:color="auto"/>
            <w:bottom w:val="none" w:sz="0" w:space="0" w:color="auto"/>
            <w:right w:val="none" w:sz="0" w:space="0" w:color="auto"/>
          </w:divBdr>
        </w:div>
        <w:div w:id="1817333287">
          <w:marLeft w:val="0"/>
          <w:marRight w:val="0"/>
          <w:marTop w:val="0"/>
          <w:marBottom w:val="0"/>
          <w:divBdr>
            <w:top w:val="none" w:sz="0" w:space="0" w:color="auto"/>
            <w:left w:val="none" w:sz="0" w:space="0" w:color="auto"/>
            <w:bottom w:val="none" w:sz="0" w:space="0" w:color="auto"/>
            <w:right w:val="none" w:sz="0" w:space="0" w:color="auto"/>
          </w:divBdr>
        </w:div>
        <w:div w:id="1841462700">
          <w:marLeft w:val="0"/>
          <w:marRight w:val="0"/>
          <w:marTop w:val="0"/>
          <w:marBottom w:val="0"/>
          <w:divBdr>
            <w:top w:val="none" w:sz="0" w:space="0" w:color="auto"/>
            <w:left w:val="none" w:sz="0" w:space="0" w:color="auto"/>
            <w:bottom w:val="none" w:sz="0" w:space="0" w:color="auto"/>
            <w:right w:val="none" w:sz="0" w:space="0" w:color="auto"/>
          </w:divBdr>
        </w:div>
        <w:div w:id="1861580418">
          <w:marLeft w:val="0"/>
          <w:marRight w:val="0"/>
          <w:marTop w:val="0"/>
          <w:marBottom w:val="0"/>
          <w:divBdr>
            <w:top w:val="none" w:sz="0" w:space="0" w:color="auto"/>
            <w:left w:val="none" w:sz="0" w:space="0" w:color="auto"/>
            <w:bottom w:val="none" w:sz="0" w:space="0" w:color="auto"/>
            <w:right w:val="none" w:sz="0" w:space="0" w:color="auto"/>
          </w:divBdr>
        </w:div>
        <w:div w:id="1861779155">
          <w:marLeft w:val="0"/>
          <w:marRight w:val="0"/>
          <w:marTop w:val="0"/>
          <w:marBottom w:val="0"/>
          <w:divBdr>
            <w:top w:val="none" w:sz="0" w:space="0" w:color="auto"/>
            <w:left w:val="none" w:sz="0" w:space="0" w:color="auto"/>
            <w:bottom w:val="none" w:sz="0" w:space="0" w:color="auto"/>
            <w:right w:val="none" w:sz="0" w:space="0" w:color="auto"/>
          </w:divBdr>
        </w:div>
        <w:div w:id="1895237882">
          <w:marLeft w:val="0"/>
          <w:marRight w:val="0"/>
          <w:marTop w:val="0"/>
          <w:marBottom w:val="0"/>
          <w:divBdr>
            <w:top w:val="none" w:sz="0" w:space="0" w:color="auto"/>
            <w:left w:val="none" w:sz="0" w:space="0" w:color="auto"/>
            <w:bottom w:val="none" w:sz="0" w:space="0" w:color="auto"/>
            <w:right w:val="none" w:sz="0" w:space="0" w:color="auto"/>
          </w:divBdr>
        </w:div>
        <w:div w:id="1902713878">
          <w:marLeft w:val="0"/>
          <w:marRight w:val="0"/>
          <w:marTop w:val="0"/>
          <w:marBottom w:val="0"/>
          <w:divBdr>
            <w:top w:val="none" w:sz="0" w:space="0" w:color="auto"/>
            <w:left w:val="none" w:sz="0" w:space="0" w:color="auto"/>
            <w:bottom w:val="none" w:sz="0" w:space="0" w:color="auto"/>
            <w:right w:val="none" w:sz="0" w:space="0" w:color="auto"/>
          </w:divBdr>
        </w:div>
        <w:div w:id="1911961133">
          <w:marLeft w:val="0"/>
          <w:marRight w:val="0"/>
          <w:marTop w:val="0"/>
          <w:marBottom w:val="0"/>
          <w:divBdr>
            <w:top w:val="none" w:sz="0" w:space="0" w:color="auto"/>
            <w:left w:val="none" w:sz="0" w:space="0" w:color="auto"/>
            <w:bottom w:val="none" w:sz="0" w:space="0" w:color="auto"/>
            <w:right w:val="none" w:sz="0" w:space="0" w:color="auto"/>
          </w:divBdr>
        </w:div>
        <w:div w:id="1964773841">
          <w:marLeft w:val="0"/>
          <w:marRight w:val="0"/>
          <w:marTop w:val="0"/>
          <w:marBottom w:val="0"/>
          <w:divBdr>
            <w:top w:val="none" w:sz="0" w:space="0" w:color="auto"/>
            <w:left w:val="none" w:sz="0" w:space="0" w:color="auto"/>
            <w:bottom w:val="none" w:sz="0" w:space="0" w:color="auto"/>
            <w:right w:val="none" w:sz="0" w:space="0" w:color="auto"/>
          </w:divBdr>
        </w:div>
        <w:div w:id="1966616570">
          <w:marLeft w:val="0"/>
          <w:marRight w:val="0"/>
          <w:marTop w:val="0"/>
          <w:marBottom w:val="0"/>
          <w:divBdr>
            <w:top w:val="none" w:sz="0" w:space="0" w:color="auto"/>
            <w:left w:val="none" w:sz="0" w:space="0" w:color="auto"/>
            <w:bottom w:val="none" w:sz="0" w:space="0" w:color="auto"/>
            <w:right w:val="none" w:sz="0" w:space="0" w:color="auto"/>
          </w:divBdr>
        </w:div>
        <w:div w:id="2011524061">
          <w:marLeft w:val="0"/>
          <w:marRight w:val="0"/>
          <w:marTop w:val="0"/>
          <w:marBottom w:val="0"/>
          <w:divBdr>
            <w:top w:val="none" w:sz="0" w:space="0" w:color="auto"/>
            <w:left w:val="none" w:sz="0" w:space="0" w:color="auto"/>
            <w:bottom w:val="none" w:sz="0" w:space="0" w:color="auto"/>
            <w:right w:val="none" w:sz="0" w:space="0" w:color="auto"/>
          </w:divBdr>
        </w:div>
        <w:div w:id="2014844092">
          <w:marLeft w:val="0"/>
          <w:marRight w:val="0"/>
          <w:marTop w:val="0"/>
          <w:marBottom w:val="0"/>
          <w:divBdr>
            <w:top w:val="none" w:sz="0" w:space="0" w:color="auto"/>
            <w:left w:val="none" w:sz="0" w:space="0" w:color="auto"/>
            <w:bottom w:val="none" w:sz="0" w:space="0" w:color="auto"/>
            <w:right w:val="none" w:sz="0" w:space="0" w:color="auto"/>
          </w:divBdr>
        </w:div>
        <w:div w:id="2023120740">
          <w:marLeft w:val="0"/>
          <w:marRight w:val="0"/>
          <w:marTop w:val="0"/>
          <w:marBottom w:val="0"/>
          <w:divBdr>
            <w:top w:val="none" w:sz="0" w:space="0" w:color="auto"/>
            <w:left w:val="none" w:sz="0" w:space="0" w:color="auto"/>
            <w:bottom w:val="none" w:sz="0" w:space="0" w:color="auto"/>
            <w:right w:val="none" w:sz="0" w:space="0" w:color="auto"/>
          </w:divBdr>
        </w:div>
        <w:div w:id="2024893395">
          <w:marLeft w:val="0"/>
          <w:marRight w:val="0"/>
          <w:marTop w:val="0"/>
          <w:marBottom w:val="0"/>
          <w:divBdr>
            <w:top w:val="none" w:sz="0" w:space="0" w:color="auto"/>
            <w:left w:val="none" w:sz="0" w:space="0" w:color="auto"/>
            <w:bottom w:val="none" w:sz="0" w:space="0" w:color="auto"/>
            <w:right w:val="none" w:sz="0" w:space="0" w:color="auto"/>
          </w:divBdr>
        </w:div>
        <w:div w:id="2026904222">
          <w:marLeft w:val="0"/>
          <w:marRight w:val="0"/>
          <w:marTop w:val="0"/>
          <w:marBottom w:val="0"/>
          <w:divBdr>
            <w:top w:val="none" w:sz="0" w:space="0" w:color="auto"/>
            <w:left w:val="none" w:sz="0" w:space="0" w:color="auto"/>
            <w:bottom w:val="none" w:sz="0" w:space="0" w:color="auto"/>
            <w:right w:val="none" w:sz="0" w:space="0" w:color="auto"/>
          </w:divBdr>
        </w:div>
        <w:div w:id="2037268379">
          <w:marLeft w:val="0"/>
          <w:marRight w:val="0"/>
          <w:marTop w:val="0"/>
          <w:marBottom w:val="0"/>
          <w:divBdr>
            <w:top w:val="none" w:sz="0" w:space="0" w:color="auto"/>
            <w:left w:val="none" w:sz="0" w:space="0" w:color="auto"/>
            <w:bottom w:val="none" w:sz="0" w:space="0" w:color="auto"/>
            <w:right w:val="none" w:sz="0" w:space="0" w:color="auto"/>
          </w:divBdr>
        </w:div>
        <w:div w:id="2048406059">
          <w:marLeft w:val="0"/>
          <w:marRight w:val="0"/>
          <w:marTop w:val="0"/>
          <w:marBottom w:val="0"/>
          <w:divBdr>
            <w:top w:val="none" w:sz="0" w:space="0" w:color="auto"/>
            <w:left w:val="none" w:sz="0" w:space="0" w:color="auto"/>
            <w:bottom w:val="none" w:sz="0" w:space="0" w:color="auto"/>
            <w:right w:val="none" w:sz="0" w:space="0" w:color="auto"/>
          </w:divBdr>
        </w:div>
        <w:div w:id="2049179758">
          <w:marLeft w:val="0"/>
          <w:marRight w:val="0"/>
          <w:marTop w:val="0"/>
          <w:marBottom w:val="0"/>
          <w:divBdr>
            <w:top w:val="none" w:sz="0" w:space="0" w:color="auto"/>
            <w:left w:val="none" w:sz="0" w:space="0" w:color="auto"/>
            <w:bottom w:val="none" w:sz="0" w:space="0" w:color="auto"/>
            <w:right w:val="none" w:sz="0" w:space="0" w:color="auto"/>
          </w:divBdr>
        </w:div>
        <w:div w:id="2064324229">
          <w:marLeft w:val="0"/>
          <w:marRight w:val="0"/>
          <w:marTop w:val="0"/>
          <w:marBottom w:val="0"/>
          <w:divBdr>
            <w:top w:val="none" w:sz="0" w:space="0" w:color="auto"/>
            <w:left w:val="none" w:sz="0" w:space="0" w:color="auto"/>
            <w:bottom w:val="none" w:sz="0" w:space="0" w:color="auto"/>
            <w:right w:val="none" w:sz="0" w:space="0" w:color="auto"/>
          </w:divBdr>
        </w:div>
        <w:div w:id="2065373474">
          <w:marLeft w:val="0"/>
          <w:marRight w:val="0"/>
          <w:marTop w:val="0"/>
          <w:marBottom w:val="0"/>
          <w:divBdr>
            <w:top w:val="none" w:sz="0" w:space="0" w:color="auto"/>
            <w:left w:val="none" w:sz="0" w:space="0" w:color="auto"/>
            <w:bottom w:val="none" w:sz="0" w:space="0" w:color="auto"/>
            <w:right w:val="none" w:sz="0" w:space="0" w:color="auto"/>
          </w:divBdr>
        </w:div>
        <w:div w:id="2076926247">
          <w:marLeft w:val="0"/>
          <w:marRight w:val="0"/>
          <w:marTop w:val="0"/>
          <w:marBottom w:val="0"/>
          <w:divBdr>
            <w:top w:val="none" w:sz="0" w:space="0" w:color="auto"/>
            <w:left w:val="none" w:sz="0" w:space="0" w:color="auto"/>
            <w:bottom w:val="none" w:sz="0" w:space="0" w:color="auto"/>
            <w:right w:val="none" w:sz="0" w:space="0" w:color="auto"/>
          </w:divBdr>
        </w:div>
        <w:div w:id="2088767299">
          <w:marLeft w:val="0"/>
          <w:marRight w:val="0"/>
          <w:marTop w:val="0"/>
          <w:marBottom w:val="0"/>
          <w:divBdr>
            <w:top w:val="none" w:sz="0" w:space="0" w:color="auto"/>
            <w:left w:val="none" w:sz="0" w:space="0" w:color="auto"/>
            <w:bottom w:val="none" w:sz="0" w:space="0" w:color="auto"/>
            <w:right w:val="none" w:sz="0" w:space="0" w:color="auto"/>
          </w:divBdr>
        </w:div>
        <w:div w:id="2093819041">
          <w:marLeft w:val="0"/>
          <w:marRight w:val="0"/>
          <w:marTop w:val="0"/>
          <w:marBottom w:val="0"/>
          <w:divBdr>
            <w:top w:val="none" w:sz="0" w:space="0" w:color="auto"/>
            <w:left w:val="none" w:sz="0" w:space="0" w:color="auto"/>
            <w:bottom w:val="none" w:sz="0" w:space="0" w:color="auto"/>
            <w:right w:val="none" w:sz="0" w:space="0" w:color="auto"/>
          </w:divBdr>
        </w:div>
        <w:div w:id="2111045811">
          <w:marLeft w:val="0"/>
          <w:marRight w:val="0"/>
          <w:marTop w:val="0"/>
          <w:marBottom w:val="0"/>
          <w:divBdr>
            <w:top w:val="none" w:sz="0" w:space="0" w:color="auto"/>
            <w:left w:val="none" w:sz="0" w:space="0" w:color="auto"/>
            <w:bottom w:val="none" w:sz="0" w:space="0" w:color="auto"/>
            <w:right w:val="none" w:sz="0" w:space="0" w:color="auto"/>
          </w:divBdr>
        </w:div>
        <w:div w:id="2121104645">
          <w:marLeft w:val="0"/>
          <w:marRight w:val="0"/>
          <w:marTop w:val="0"/>
          <w:marBottom w:val="0"/>
          <w:divBdr>
            <w:top w:val="none" w:sz="0" w:space="0" w:color="auto"/>
            <w:left w:val="none" w:sz="0" w:space="0" w:color="auto"/>
            <w:bottom w:val="none" w:sz="0" w:space="0" w:color="auto"/>
            <w:right w:val="none" w:sz="0" w:space="0" w:color="auto"/>
          </w:divBdr>
        </w:div>
        <w:div w:id="2137410559">
          <w:marLeft w:val="0"/>
          <w:marRight w:val="0"/>
          <w:marTop w:val="0"/>
          <w:marBottom w:val="0"/>
          <w:divBdr>
            <w:top w:val="none" w:sz="0" w:space="0" w:color="auto"/>
            <w:left w:val="none" w:sz="0" w:space="0" w:color="auto"/>
            <w:bottom w:val="none" w:sz="0" w:space="0" w:color="auto"/>
            <w:right w:val="none" w:sz="0" w:space="0" w:color="auto"/>
          </w:divBdr>
        </w:div>
        <w:div w:id="2139030508">
          <w:marLeft w:val="0"/>
          <w:marRight w:val="0"/>
          <w:marTop w:val="0"/>
          <w:marBottom w:val="0"/>
          <w:divBdr>
            <w:top w:val="none" w:sz="0" w:space="0" w:color="auto"/>
            <w:left w:val="none" w:sz="0" w:space="0" w:color="auto"/>
            <w:bottom w:val="none" w:sz="0" w:space="0" w:color="auto"/>
            <w:right w:val="none" w:sz="0" w:space="0" w:color="auto"/>
          </w:divBdr>
        </w:div>
      </w:divsChild>
    </w:div>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41A2-EDBE-4091-916B-5DB44DF4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5386</Words>
  <Characters>30703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Schneck</dc:creator>
  <cp:keywords/>
  <dc:description/>
  <cp:lastModifiedBy>Molly Fahey Watts</cp:lastModifiedBy>
  <cp:revision>4</cp:revision>
  <dcterms:created xsi:type="dcterms:W3CDTF">2015-02-10T18:17:00Z</dcterms:created>
  <dcterms:modified xsi:type="dcterms:W3CDTF">2018-01-12T21:53:00Z</dcterms:modified>
</cp:coreProperties>
</file>