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EEEEC" w14:textId="459622E5" w:rsidR="00674527" w:rsidRDefault="00674527" w:rsidP="00674527">
      <w:pPr>
        <w:ind w:left="720" w:firstLine="720"/>
        <w:rPr>
          <w:sz w:val="15"/>
          <w:szCs w:val="15"/>
        </w:rPr>
      </w:pPr>
      <w:r>
        <w:rPr>
          <w:noProof/>
        </w:rPr>
        <w:drawing>
          <wp:anchor distT="0" distB="0" distL="114300" distR="114300" simplePos="0" relativeHeight="251656192" behindDoc="0" locked="0" layoutInCell="1" allowOverlap="1" wp14:anchorId="2AA7AB48" wp14:editId="18EFE0F7">
            <wp:simplePos x="0" y="0"/>
            <wp:positionH relativeFrom="column">
              <wp:posOffset>2656205</wp:posOffset>
            </wp:positionH>
            <wp:positionV relativeFrom="paragraph">
              <wp:posOffset>43815</wp:posOffset>
            </wp:positionV>
            <wp:extent cx="647065" cy="138049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r>
        <w:rPr>
          <w:sz w:val="15"/>
          <w:szCs w:val="15"/>
        </w:rPr>
        <w:tab/>
      </w:r>
      <w:r>
        <w:rPr>
          <w:sz w:val="15"/>
          <w:szCs w:val="15"/>
        </w:rPr>
        <w:tab/>
      </w:r>
      <w:r>
        <w:rPr>
          <w:sz w:val="15"/>
          <w:szCs w:val="15"/>
        </w:rPr>
        <w:tab/>
      </w:r>
      <w:r>
        <w:rPr>
          <w:sz w:val="15"/>
          <w:szCs w:val="15"/>
        </w:rPr>
        <w:tab/>
      </w:r>
      <w:r>
        <w:rPr>
          <w:sz w:val="15"/>
          <w:szCs w:val="15"/>
        </w:rPr>
        <w:tab/>
      </w:r>
      <w:r>
        <w:rPr>
          <w:sz w:val="15"/>
          <w:szCs w:val="15"/>
        </w:rPr>
        <w:tab/>
      </w:r>
    </w:p>
    <w:p w14:paraId="1F10AACE" w14:textId="5003E766" w:rsidR="00674527" w:rsidRDefault="00674527" w:rsidP="00674527">
      <w:pPr>
        <w:ind w:left="720" w:firstLine="720"/>
        <w:rPr>
          <w:sz w:val="15"/>
          <w:szCs w:val="15"/>
        </w:rPr>
      </w:pPr>
      <w:r>
        <w:rPr>
          <w:noProof/>
        </w:rPr>
        <w:drawing>
          <wp:anchor distT="0" distB="0" distL="114300" distR="114300" simplePos="0" relativeHeight="251657216" behindDoc="1" locked="0" layoutInCell="1" allowOverlap="1" wp14:anchorId="7D62BA4D" wp14:editId="39215D45">
            <wp:simplePos x="0" y="0"/>
            <wp:positionH relativeFrom="margin">
              <wp:posOffset>34925</wp:posOffset>
            </wp:positionH>
            <wp:positionV relativeFrom="paragraph">
              <wp:posOffset>53975</wp:posOffset>
            </wp:positionV>
            <wp:extent cx="709930" cy="818515"/>
            <wp:effectExtent l="0" t="0" r="0" b="635"/>
            <wp:wrapTight wrapText="bothSides">
              <wp:wrapPolygon edited="0">
                <wp:start x="0" y="0"/>
                <wp:lineTo x="0" y="21114"/>
                <wp:lineTo x="20866" y="21114"/>
                <wp:lineTo x="20866" y="0"/>
                <wp:lineTo x="0" y="0"/>
              </wp:wrapPolygon>
            </wp:wrapTight>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EF-notag-lowres_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p w14:paraId="5D7556DC" w14:textId="1772951E" w:rsidR="00674527" w:rsidRDefault="00674527" w:rsidP="00674527">
      <w:pPr>
        <w:ind w:left="3119" w:firstLine="4819"/>
        <w:rPr>
          <w:sz w:val="15"/>
          <w:szCs w:val="15"/>
        </w:rPr>
      </w:pPr>
      <w:r>
        <w:rPr>
          <w:rFonts w:asciiTheme="minorHAnsi" w:hAnsiTheme="minorHAnsi" w:cstheme="minorHAnsi"/>
          <w:noProof/>
          <w:lang w:eastAsia="en-US"/>
        </w:rPr>
        <w:drawing>
          <wp:inline distT="0" distB="0" distL="0" distR="0" wp14:anchorId="4F92114F" wp14:editId="561FA7BB">
            <wp:extent cx="895350" cy="933450"/>
            <wp:effectExtent l="0" t="0" r="0" b="0"/>
            <wp:docPr id="1" name="Picture 1" descr="page1imag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page1image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inline>
        </w:drawing>
      </w:r>
    </w:p>
    <w:p w14:paraId="79920E56" w14:textId="77777777" w:rsidR="00674527" w:rsidRDefault="00674527" w:rsidP="00674527">
      <w:pPr>
        <w:ind w:left="720" w:firstLine="720"/>
        <w:rPr>
          <w:sz w:val="15"/>
          <w:szCs w:val="15"/>
        </w:rPr>
      </w:pPr>
    </w:p>
    <w:p w14:paraId="733CDFF7" w14:textId="77777777" w:rsidR="00674527" w:rsidRDefault="00674527" w:rsidP="00674527">
      <w:pPr>
        <w:ind w:left="720" w:firstLine="720"/>
        <w:rPr>
          <w:sz w:val="15"/>
          <w:szCs w:val="15"/>
        </w:rPr>
      </w:pPr>
    </w:p>
    <w:p w14:paraId="01690823" w14:textId="77777777" w:rsidR="00674527" w:rsidRDefault="00674527" w:rsidP="00674527">
      <w:pPr>
        <w:jc w:val="center"/>
        <w:rPr>
          <w:rFonts w:asciiTheme="minorHAnsi" w:hAnsiTheme="minorHAnsi" w:cstheme="minorHAnsi"/>
          <w:b/>
          <w:sz w:val="22"/>
          <w:szCs w:val="22"/>
        </w:rPr>
      </w:pPr>
    </w:p>
    <w:p w14:paraId="3569CE81" w14:textId="77777777" w:rsidR="00674527" w:rsidRDefault="00674527" w:rsidP="00674527">
      <w:pPr>
        <w:jc w:val="center"/>
        <w:rPr>
          <w:rFonts w:asciiTheme="minorHAnsi" w:hAnsiTheme="minorHAnsi" w:cstheme="minorHAnsi"/>
          <w:b/>
          <w:sz w:val="22"/>
          <w:szCs w:val="22"/>
        </w:rPr>
      </w:pPr>
      <w:r>
        <w:rPr>
          <w:rFonts w:asciiTheme="minorHAnsi" w:hAnsiTheme="minorHAnsi" w:cstheme="minorHAnsi"/>
          <w:b/>
          <w:sz w:val="22"/>
          <w:szCs w:val="22"/>
        </w:rPr>
        <w:t>United Nations Development Program</w:t>
      </w:r>
    </w:p>
    <w:p w14:paraId="3723EFA6" w14:textId="77777777" w:rsidR="00674527" w:rsidRDefault="00674527" w:rsidP="00674527">
      <w:pPr>
        <w:jc w:val="center"/>
        <w:rPr>
          <w:rFonts w:asciiTheme="minorHAnsi" w:hAnsiTheme="minorHAnsi" w:cstheme="minorHAnsi"/>
          <w:b/>
          <w:sz w:val="22"/>
          <w:szCs w:val="22"/>
        </w:rPr>
      </w:pPr>
    </w:p>
    <w:p w14:paraId="78AD8EDD" w14:textId="77777777" w:rsidR="00674527" w:rsidRDefault="00674527" w:rsidP="00674527">
      <w:pPr>
        <w:jc w:val="center"/>
        <w:rPr>
          <w:rFonts w:asciiTheme="minorHAnsi" w:hAnsiTheme="minorHAnsi" w:cstheme="minorHAnsi"/>
          <w:b/>
          <w:sz w:val="22"/>
          <w:szCs w:val="22"/>
        </w:rPr>
      </w:pPr>
      <w:r>
        <w:rPr>
          <w:rFonts w:asciiTheme="minorHAnsi" w:hAnsiTheme="minorHAnsi" w:cstheme="minorHAnsi"/>
          <w:b/>
          <w:sz w:val="22"/>
          <w:szCs w:val="22"/>
        </w:rPr>
        <w:t>PROJECT DOCUMENT</w:t>
      </w:r>
    </w:p>
    <w:p w14:paraId="354EB324" w14:textId="77777777" w:rsidR="00674527" w:rsidRDefault="00674527" w:rsidP="00674527">
      <w:pPr>
        <w:rPr>
          <w:rFonts w:asciiTheme="minorHAnsi" w:hAnsiTheme="minorHAnsi" w:cstheme="minorHAnsi"/>
          <w:sz w:val="22"/>
          <w:szCs w:val="22"/>
        </w:rPr>
      </w:pPr>
    </w:p>
    <w:p w14:paraId="273B337D" w14:textId="77777777" w:rsidR="00674527" w:rsidRDefault="00674527" w:rsidP="00674527">
      <w:pPr>
        <w:ind w:left="720" w:firstLine="720"/>
        <w:rPr>
          <w:sz w:val="15"/>
          <w:szCs w:val="15"/>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1627"/>
        <w:gridCol w:w="450"/>
        <w:gridCol w:w="1171"/>
        <w:gridCol w:w="177"/>
        <w:gridCol w:w="3425"/>
      </w:tblGrid>
      <w:tr w:rsidR="00674527" w:rsidRPr="00674527" w14:paraId="2FA83049" w14:textId="77777777" w:rsidTr="00674527">
        <w:trPr>
          <w:trHeight w:val="548"/>
        </w:trPr>
        <w:tc>
          <w:tcPr>
            <w:tcW w:w="9355" w:type="dxa"/>
            <w:gridSpan w:val="6"/>
            <w:tcBorders>
              <w:top w:val="single" w:sz="4" w:space="0" w:color="000000"/>
              <w:left w:val="single" w:sz="4" w:space="0" w:color="000000"/>
              <w:bottom w:val="single" w:sz="4" w:space="0" w:color="000000"/>
              <w:right w:val="single" w:sz="4" w:space="0" w:color="000000"/>
            </w:tcBorders>
            <w:hideMark/>
          </w:tcPr>
          <w:p w14:paraId="2532F9DC"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Project title:  </w:t>
            </w:r>
            <w:r>
              <w:rPr>
                <w:rFonts w:asciiTheme="minorHAnsi" w:hAnsiTheme="minorHAnsi" w:cstheme="minorHAnsi"/>
                <w:color w:val="000000"/>
                <w:sz w:val="22"/>
                <w:szCs w:val="22"/>
              </w:rPr>
              <w:t>GEF IW:LEARN 5: Supporting Portfolio Coordination Within and Beyond the International Waters Focal Area, particularly in Small Island Developing States, Through Knowledge Sharing, Information Management, Partnership Building and Programmatic Guidance Services</w:t>
            </w:r>
          </w:p>
        </w:tc>
      </w:tr>
      <w:tr w:rsidR="00674527" w:rsidRPr="00674527" w14:paraId="56BB4336" w14:textId="77777777" w:rsidTr="00674527">
        <w:trPr>
          <w:trHeight w:val="1007"/>
        </w:trPr>
        <w:tc>
          <w:tcPr>
            <w:tcW w:w="2509" w:type="dxa"/>
            <w:tcBorders>
              <w:top w:val="single" w:sz="4" w:space="0" w:color="000000"/>
              <w:left w:val="single" w:sz="4" w:space="0" w:color="000000"/>
              <w:bottom w:val="single" w:sz="4" w:space="0" w:color="000000"/>
              <w:right w:val="single" w:sz="4" w:space="0" w:color="000000"/>
            </w:tcBorders>
            <w:hideMark/>
          </w:tcPr>
          <w:p w14:paraId="62511F4F"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Country(</w:t>
            </w:r>
            <w:proofErr w:type="spellStart"/>
            <w:r>
              <w:rPr>
                <w:rFonts w:asciiTheme="minorHAnsi" w:hAnsiTheme="minorHAnsi" w:cstheme="minorHAnsi"/>
                <w:b/>
                <w:sz w:val="22"/>
                <w:szCs w:val="22"/>
              </w:rPr>
              <w:t>ies</w:t>
            </w:r>
            <w:proofErr w:type="spellEnd"/>
            <w:r>
              <w:rPr>
                <w:rFonts w:asciiTheme="minorHAnsi" w:hAnsiTheme="minorHAnsi" w:cstheme="minorHAnsi"/>
                <w:b/>
                <w:sz w:val="22"/>
                <w:szCs w:val="22"/>
              </w:rPr>
              <w:t xml:space="preserve">):  </w:t>
            </w:r>
          </w:p>
          <w:p w14:paraId="5D2AFBC7"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Global</w:t>
            </w:r>
          </w:p>
        </w:tc>
        <w:tc>
          <w:tcPr>
            <w:tcW w:w="3423" w:type="dxa"/>
            <w:gridSpan w:val="4"/>
            <w:tcBorders>
              <w:top w:val="single" w:sz="4" w:space="0" w:color="000000"/>
              <w:left w:val="single" w:sz="4" w:space="0" w:color="000000"/>
              <w:bottom w:val="single" w:sz="4" w:space="0" w:color="000000"/>
              <w:right w:val="single" w:sz="4" w:space="0" w:color="000000"/>
            </w:tcBorders>
            <w:hideMark/>
          </w:tcPr>
          <w:p w14:paraId="5509F894" w14:textId="77777777" w:rsidR="00674527" w:rsidRDefault="00674527">
            <w:pPr>
              <w:rPr>
                <w:rFonts w:asciiTheme="minorHAnsi" w:hAnsiTheme="minorHAnsi" w:cstheme="minorHAnsi"/>
                <w:i/>
                <w:sz w:val="22"/>
                <w:szCs w:val="22"/>
              </w:rPr>
            </w:pPr>
            <w:r>
              <w:rPr>
                <w:rFonts w:asciiTheme="minorHAnsi" w:hAnsiTheme="minorHAnsi" w:cstheme="minorHAnsi"/>
                <w:b/>
                <w:sz w:val="22"/>
                <w:szCs w:val="22"/>
              </w:rPr>
              <w:t xml:space="preserve">Implementing Partner (GEF Executing Entity):  </w:t>
            </w:r>
          </w:p>
          <w:p w14:paraId="7A922632" w14:textId="77777777" w:rsidR="00674527" w:rsidRDefault="00674527">
            <w:pPr>
              <w:rPr>
                <w:rFonts w:asciiTheme="minorHAnsi" w:hAnsiTheme="minorHAnsi" w:cstheme="minorHAnsi"/>
                <w:color w:val="0000FF"/>
                <w:sz w:val="22"/>
                <w:szCs w:val="22"/>
              </w:rPr>
            </w:pPr>
            <w:r>
              <w:rPr>
                <w:rFonts w:asciiTheme="minorHAnsi" w:hAnsiTheme="minorHAnsi" w:cstheme="minorHAnsi"/>
                <w:color w:val="000000"/>
                <w:sz w:val="22"/>
                <w:szCs w:val="22"/>
              </w:rPr>
              <w:t>Executing Entity: IOC of UNESCO</w:t>
            </w:r>
          </w:p>
        </w:tc>
        <w:tc>
          <w:tcPr>
            <w:tcW w:w="3423" w:type="dxa"/>
            <w:tcBorders>
              <w:top w:val="single" w:sz="4" w:space="0" w:color="000000"/>
              <w:left w:val="single" w:sz="4" w:space="0" w:color="000000"/>
              <w:bottom w:val="single" w:sz="4" w:space="0" w:color="000000"/>
              <w:right w:val="single" w:sz="4" w:space="0" w:color="000000"/>
            </w:tcBorders>
            <w:hideMark/>
          </w:tcPr>
          <w:p w14:paraId="53D04399" w14:textId="77777777" w:rsidR="00674527" w:rsidRDefault="00674527">
            <w:pPr>
              <w:spacing w:after="240"/>
              <w:rPr>
                <w:rFonts w:asciiTheme="minorHAnsi" w:hAnsiTheme="minorHAnsi" w:cstheme="minorHAnsi"/>
                <w:i/>
                <w:sz w:val="22"/>
                <w:szCs w:val="22"/>
              </w:rPr>
            </w:pPr>
            <w:r>
              <w:rPr>
                <w:rFonts w:asciiTheme="minorHAnsi" w:hAnsiTheme="minorHAnsi" w:cstheme="minorHAnsi"/>
                <w:b/>
                <w:sz w:val="22"/>
                <w:szCs w:val="22"/>
              </w:rPr>
              <w:t>Execution Modality</w:t>
            </w:r>
            <w:r>
              <w:rPr>
                <w:rFonts w:asciiTheme="minorHAnsi" w:hAnsiTheme="minorHAnsi" w:cstheme="minorHAnsi"/>
                <w:i/>
                <w:sz w:val="22"/>
                <w:szCs w:val="22"/>
              </w:rPr>
              <w:t>:</w:t>
            </w:r>
          </w:p>
          <w:p w14:paraId="77BE3319" w14:textId="77777777" w:rsidR="00674527" w:rsidRDefault="00674527">
            <w:pPr>
              <w:spacing w:after="240"/>
              <w:rPr>
                <w:rFonts w:asciiTheme="minorHAnsi" w:hAnsiTheme="minorHAnsi" w:cstheme="minorHAnsi"/>
                <w:i/>
                <w:sz w:val="22"/>
                <w:szCs w:val="22"/>
              </w:rPr>
            </w:pPr>
            <w:r>
              <w:rPr>
                <w:rFonts w:asciiTheme="minorHAnsi" w:hAnsiTheme="minorHAnsi" w:cstheme="minorHAnsi"/>
                <w:sz w:val="22"/>
                <w:szCs w:val="22"/>
              </w:rPr>
              <w:t>UN Agency Execution</w:t>
            </w:r>
            <w:r>
              <w:rPr>
                <w:rFonts w:asciiTheme="minorHAnsi" w:hAnsiTheme="minorHAnsi" w:cstheme="minorHAnsi"/>
                <w:i/>
                <w:sz w:val="22"/>
                <w:szCs w:val="22"/>
              </w:rPr>
              <w:t xml:space="preserve"> </w:t>
            </w:r>
          </w:p>
        </w:tc>
      </w:tr>
      <w:tr w:rsidR="00674527" w:rsidRPr="00674527" w14:paraId="65F86B6A" w14:textId="77777777" w:rsidTr="00674527">
        <w:tc>
          <w:tcPr>
            <w:tcW w:w="9355" w:type="dxa"/>
            <w:gridSpan w:val="6"/>
            <w:tcBorders>
              <w:top w:val="single" w:sz="4" w:space="0" w:color="000000"/>
              <w:left w:val="single" w:sz="4" w:space="0" w:color="000000"/>
              <w:bottom w:val="single" w:sz="4" w:space="0" w:color="000000"/>
              <w:right w:val="single" w:sz="4" w:space="0" w:color="000000"/>
            </w:tcBorders>
            <w:hideMark/>
          </w:tcPr>
          <w:p w14:paraId="690E55A4"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Contributing Outcome (UNDAF/CPD, RPD, GPD): N/A</w:t>
            </w:r>
          </w:p>
        </w:tc>
      </w:tr>
      <w:tr w:rsidR="00674527" w14:paraId="72C4DC35" w14:textId="77777777" w:rsidTr="00674527">
        <w:trPr>
          <w:trHeight w:val="860"/>
        </w:trPr>
        <w:tc>
          <w:tcPr>
            <w:tcW w:w="4585" w:type="dxa"/>
            <w:gridSpan w:val="3"/>
            <w:tcBorders>
              <w:top w:val="single" w:sz="4" w:space="0" w:color="000000"/>
              <w:left w:val="single" w:sz="4" w:space="0" w:color="000000"/>
              <w:bottom w:val="single" w:sz="4" w:space="0" w:color="000000"/>
              <w:right w:val="single" w:sz="4" w:space="0" w:color="000000"/>
            </w:tcBorders>
            <w:hideMark/>
          </w:tcPr>
          <w:p w14:paraId="063D9E7F" w14:textId="77777777" w:rsidR="00674527" w:rsidRDefault="00674527">
            <w:pPr>
              <w:spacing w:after="240"/>
              <w:rPr>
                <w:rFonts w:asciiTheme="minorHAnsi" w:hAnsiTheme="minorHAnsi" w:cstheme="minorHAnsi"/>
                <w:i/>
                <w:sz w:val="22"/>
                <w:szCs w:val="22"/>
              </w:rPr>
            </w:pPr>
            <w:r>
              <w:rPr>
                <w:rFonts w:asciiTheme="minorHAnsi" w:hAnsiTheme="minorHAnsi" w:cstheme="minorHAnsi"/>
                <w:b/>
                <w:sz w:val="22"/>
                <w:szCs w:val="22"/>
              </w:rPr>
              <w:t xml:space="preserve">UNDP Social and Environmental Screening Category:  </w:t>
            </w:r>
          </w:p>
          <w:p w14:paraId="04F63193" w14:textId="77777777" w:rsidR="00674527" w:rsidRDefault="00674527">
            <w:pPr>
              <w:spacing w:after="240"/>
              <w:rPr>
                <w:rFonts w:asciiTheme="minorHAnsi" w:hAnsiTheme="minorHAnsi" w:cstheme="minorHAnsi"/>
                <w:i/>
                <w:sz w:val="22"/>
                <w:szCs w:val="22"/>
              </w:rPr>
            </w:pPr>
            <w:r>
              <w:rPr>
                <w:rFonts w:asciiTheme="minorHAnsi" w:hAnsiTheme="minorHAnsi" w:cstheme="minorHAnsi"/>
                <w:sz w:val="22"/>
                <w:szCs w:val="22"/>
              </w:rPr>
              <w:t>Exempt</w:t>
            </w:r>
          </w:p>
        </w:tc>
        <w:tc>
          <w:tcPr>
            <w:tcW w:w="4770" w:type="dxa"/>
            <w:gridSpan w:val="3"/>
            <w:tcBorders>
              <w:top w:val="single" w:sz="4" w:space="0" w:color="000000"/>
              <w:left w:val="single" w:sz="4" w:space="0" w:color="000000"/>
              <w:bottom w:val="single" w:sz="4" w:space="0" w:color="000000"/>
              <w:right w:val="single" w:sz="4" w:space="0" w:color="000000"/>
            </w:tcBorders>
          </w:tcPr>
          <w:p w14:paraId="73D89A28" w14:textId="77777777" w:rsidR="00674527" w:rsidRDefault="00674527">
            <w:pPr>
              <w:spacing w:after="240"/>
              <w:rPr>
                <w:rFonts w:asciiTheme="minorHAnsi" w:hAnsiTheme="minorHAnsi" w:cstheme="minorHAnsi"/>
                <w:sz w:val="22"/>
                <w:szCs w:val="22"/>
              </w:rPr>
            </w:pPr>
            <w:r>
              <w:rPr>
                <w:rFonts w:asciiTheme="minorHAnsi" w:hAnsiTheme="minorHAnsi" w:cstheme="minorHAnsi"/>
                <w:b/>
                <w:sz w:val="22"/>
                <w:szCs w:val="22"/>
              </w:rPr>
              <w:t xml:space="preserve">UNDP Gender Marker: </w:t>
            </w:r>
            <w:r>
              <w:rPr>
                <w:rFonts w:asciiTheme="minorHAnsi" w:hAnsiTheme="minorHAnsi" w:cstheme="minorHAnsi"/>
                <w:sz w:val="22"/>
                <w:szCs w:val="22"/>
              </w:rPr>
              <w:t>2</w:t>
            </w:r>
          </w:p>
          <w:p w14:paraId="579EF4DA" w14:textId="77777777" w:rsidR="00674527" w:rsidRDefault="00674527">
            <w:pPr>
              <w:spacing w:after="240"/>
              <w:rPr>
                <w:rFonts w:asciiTheme="minorHAnsi" w:hAnsiTheme="minorHAnsi" w:cstheme="minorHAnsi"/>
                <w:sz w:val="22"/>
                <w:szCs w:val="22"/>
              </w:rPr>
            </w:pPr>
          </w:p>
          <w:p w14:paraId="08244702"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 xml:space="preserve"> </w:t>
            </w:r>
          </w:p>
        </w:tc>
      </w:tr>
      <w:tr w:rsidR="00674527" w14:paraId="2B4FD184"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0540DE36" w14:textId="77777777" w:rsidR="00674527" w:rsidRDefault="00674527">
            <w:pPr>
              <w:spacing w:after="240"/>
              <w:rPr>
                <w:rFonts w:asciiTheme="minorHAnsi" w:hAnsiTheme="minorHAnsi" w:cstheme="minorHAnsi"/>
                <w:sz w:val="22"/>
                <w:szCs w:val="22"/>
                <w:lang w:val="hr-HR"/>
              </w:rPr>
            </w:pPr>
            <w:r>
              <w:rPr>
                <w:rFonts w:asciiTheme="minorHAnsi" w:hAnsiTheme="minorHAnsi" w:cstheme="minorHAnsi"/>
                <w:b/>
                <w:sz w:val="22"/>
                <w:szCs w:val="22"/>
              </w:rPr>
              <w:t xml:space="preserve">Atlas Award ID:  </w:t>
            </w:r>
            <w:r>
              <w:rPr>
                <w:rFonts w:asciiTheme="minorHAnsi" w:hAnsiTheme="minorHAnsi" w:cstheme="minorHAnsi"/>
                <w:bCs/>
                <w:sz w:val="22"/>
                <w:szCs w:val="22"/>
                <w:lang w:val="hr-HR"/>
              </w:rPr>
              <w:t>00139753</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249961F6" w14:textId="77777777" w:rsidR="00674527" w:rsidRDefault="00674527">
            <w:pPr>
              <w:rPr>
                <w:rFonts w:asciiTheme="minorHAnsi" w:hAnsiTheme="minorHAnsi" w:cstheme="minorHAnsi"/>
                <w:b/>
                <w:sz w:val="22"/>
                <w:szCs w:val="22"/>
                <w:lang w:val="hr-HR"/>
              </w:rPr>
            </w:pPr>
            <w:r>
              <w:rPr>
                <w:rFonts w:asciiTheme="minorHAnsi" w:hAnsiTheme="minorHAnsi" w:cstheme="minorHAnsi"/>
                <w:b/>
                <w:sz w:val="22"/>
                <w:szCs w:val="22"/>
              </w:rPr>
              <w:t xml:space="preserve">Atlas Project/Output ID:  </w:t>
            </w:r>
            <w:r>
              <w:rPr>
                <w:rFonts w:asciiTheme="minorHAnsi" w:hAnsiTheme="minorHAnsi" w:cstheme="minorHAnsi"/>
                <w:sz w:val="22"/>
                <w:szCs w:val="22"/>
                <w:lang w:val="hr-HR"/>
              </w:rPr>
              <w:t>00129237</w:t>
            </w:r>
          </w:p>
        </w:tc>
      </w:tr>
      <w:tr w:rsidR="00674527" w14:paraId="72305AC0"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302582CE"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UNDP-GEF PIMS ID number:  </w:t>
            </w:r>
            <w:r>
              <w:rPr>
                <w:rFonts w:asciiTheme="minorHAnsi" w:hAnsiTheme="minorHAnsi" w:cstheme="minorHAnsi"/>
                <w:sz w:val="22"/>
                <w:szCs w:val="22"/>
              </w:rPr>
              <w:t>6438</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2A17E81D" w14:textId="77777777" w:rsidR="00674527" w:rsidRDefault="00674527">
            <w:pPr>
              <w:spacing w:after="240"/>
              <w:rPr>
                <w:rFonts w:asciiTheme="minorHAnsi" w:hAnsiTheme="minorHAnsi" w:cstheme="minorHAnsi"/>
                <w:sz w:val="22"/>
                <w:szCs w:val="22"/>
              </w:rPr>
            </w:pPr>
            <w:r>
              <w:rPr>
                <w:rFonts w:asciiTheme="minorHAnsi" w:hAnsiTheme="minorHAnsi" w:cstheme="minorHAnsi"/>
                <w:b/>
                <w:sz w:val="22"/>
                <w:szCs w:val="22"/>
              </w:rPr>
              <w:t xml:space="preserve">GEF Project ID number: </w:t>
            </w:r>
            <w:r>
              <w:rPr>
                <w:rFonts w:asciiTheme="minorHAnsi" w:hAnsiTheme="minorHAnsi" w:cstheme="minorHAnsi"/>
                <w:sz w:val="22"/>
                <w:szCs w:val="22"/>
              </w:rPr>
              <w:t>10374</w:t>
            </w:r>
          </w:p>
        </w:tc>
      </w:tr>
      <w:tr w:rsidR="00674527" w14:paraId="2DCAF464" w14:textId="77777777" w:rsidTr="00674527">
        <w:trPr>
          <w:trHeight w:val="350"/>
        </w:trPr>
        <w:tc>
          <w:tcPr>
            <w:tcW w:w="9355" w:type="dxa"/>
            <w:gridSpan w:val="6"/>
            <w:tcBorders>
              <w:top w:val="single" w:sz="4" w:space="0" w:color="000000"/>
              <w:left w:val="single" w:sz="4" w:space="0" w:color="000000"/>
              <w:bottom w:val="single" w:sz="4" w:space="0" w:color="000000"/>
              <w:right w:val="single" w:sz="4" w:space="0" w:color="000000"/>
            </w:tcBorders>
            <w:hideMark/>
          </w:tcPr>
          <w:p w14:paraId="44167D1F" w14:textId="77777777" w:rsidR="00674527" w:rsidRDefault="00674527">
            <w:pPr>
              <w:spacing w:after="240"/>
              <w:rPr>
                <w:rFonts w:asciiTheme="minorHAnsi" w:hAnsiTheme="minorHAnsi" w:cstheme="minorHAnsi"/>
                <w:b/>
                <w:sz w:val="22"/>
                <w:szCs w:val="22"/>
                <w:lang w:val="hr-HR"/>
              </w:rPr>
            </w:pPr>
            <w:r>
              <w:rPr>
                <w:rFonts w:asciiTheme="minorHAnsi" w:hAnsiTheme="minorHAnsi" w:cstheme="minorHAnsi"/>
                <w:b/>
                <w:sz w:val="22"/>
                <w:szCs w:val="22"/>
              </w:rPr>
              <w:t xml:space="preserve">LPAC meeting date: </w:t>
            </w:r>
            <w:r>
              <w:rPr>
                <w:rFonts w:asciiTheme="minorHAnsi" w:hAnsiTheme="minorHAnsi" w:cstheme="minorHAnsi"/>
                <w:sz w:val="22"/>
                <w:szCs w:val="22"/>
                <w:lang w:val="hr-HR"/>
              </w:rPr>
              <w:t>TBC</w:t>
            </w:r>
          </w:p>
        </w:tc>
      </w:tr>
      <w:tr w:rsidR="00674527" w:rsidRPr="00674527" w14:paraId="6A01D15B" w14:textId="77777777" w:rsidTr="00674527">
        <w:trPr>
          <w:trHeight w:val="350"/>
        </w:trPr>
        <w:tc>
          <w:tcPr>
            <w:tcW w:w="9355" w:type="dxa"/>
            <w:gridSpan w:val="6"/>
            <w:tcBorders>
              <w:top w:val="single" w:sz="4" w:space="0" w:color="000000"/>
              <w:left w:val="single" w:sz="4" w:space="0" w:color="000000"/>
              <w:bottom w:val="single" w:sz="4" w:space="0" w:color="000000"/>
              <w:right w:val="single" w:sz="4" w:space="0" w:color="000000"/>
            </w:tcBorders>
            <w:hideMark/>
          </w:tcPr>
          <w:p w14:paraId="5E0E69E8" w14:textId="77777777" w:rsidR="00674527" w:rsidRDefault="00674527">
            <w:pPr>
              <w:spacing w:after="240"/>
              <w:rPr>
                <w:rFonts w:asciiTheme="minorHAnsi" w:hAnsiTheme="minorHAnsi" w:cstheme="minorHAnsi"/>
                <w:sz w:val="22"/>
                <w:szCs w:val="22"/>
                <w:lang w:val="en-GB"/>
              </w:rPr>
            </w:pPr>
            <w:r>
              <w:rPr>
                <w:rFonts w:asciiTheme="minorHAnsi" w:hAnsiTheme="minorHAnsi" w:cstheme="minorHAnsi"/>
                <w:b/>
                <w:sz w:val="22"/>
                <w:szCs w:val="22"/>
                <w:lang w:val="en-GB"/>
              </w:rPr>
              <w:t xml:space="preserve">Latest possible date to submit to GEF: </w:t>
            </w:r>
            <w:r>
              <w:rPr>
                <w:rFonts w:asciiTheme="minorHAnsi" w:hAnsiTheme="minorHAnsi" w:cstheme="minorHAnsi"/>
                <w:sz w:val="22"/>
                <w:szCs w:val="22"/>
                <w:lang w:val="en-GB"/>
              </w:rPr>
              <w:t>19 June 2021</w:t>
            </w:r>
          </w:p>
        </w:tc>
      </w:tr>
      <w:tr w:rsidR="00674527" w14:paraId="65A83A70" w14:textId="77777777" w:rsidTr="00674527">
        <w:trPr>
          <w:trHeight w:val="350"/>
        </w:trPr>
        <w:tc>
          <w:tcPr>
            <w:tcW w:w="9355" w:type="dxa"/>
            <w:gridSpan w:val="6"/>
            <w:tcBorders>
              <w:top w:val="single" w:sz="4" w:space="0" w:color="000000"/>
              <w:left w:val="single" w:sz="4" w:space="0" w:color="000000"/>
              <w:bottom w:val="single" w:sz="4" w:space="0" w:color="000000"/>
              <w:right w:val="single" w:sz="4" w:space="0" w:color="000000"/>
            </w:tcBorders>
            <w:hideMark/>
          </w:tcPr>
          <w:p w14:paraId="62C9755C" w14:textId="77777777" w:rsidR="00674527" w:rsidRDefault="00674527">
            <w:pPr>
              <w:spacing w:after="240"/>
              <w:rPr>
                <w:rFonts w:asciiTheme="minorHAnsi" w:hAnsiTheme="minorHAnsi" w:cstheme="minorHAnsi"/>
                <w:b/>
                <w:sz w:val="22"/>
                <w:szCs w:val="22"/>
                <w:lang w:val="en-GB"/>
              </w:rPr>
            </w:pPr>
            <w:r>
              <w:rPr>
                <w:rFonts w:asciiTheme="minorHAnsi" w:hAnsiTheme="minorHAnsi" w:cstheme="minorHAnsi"/>
                <w:b/>
                <w:sz w:val="22"/>
                <w:szCs w:val="22"/>
                <w:lang w:val="en-GB"/>
              </w:rPr>
              <w:t xml:space="preserve">Latest possible CEO endorsement date: </w:t>
            </w:r>
            <w:r>
              <w:rPr>
                <w:rFonts w:asciiTheme="minorHAnsi" w:hAnsiTheme="minorHAnsi" w:cstheme="minorHAnsi"/>
                <w:sz w:val="22"/>
                <w:szCs w:val="22"/>
                <w:lang w:val="en-GB"/>
              </w:rPr>
              <w:t>19 December 2021</w:t>
            </w:r>
          </w:p>
        </w:tc>
      </w:tr>
      <w:tr w:rsidR="00674527" w:rsidRPr="00674527" w14:paraId="2805EC1E" w14:textId="77777777" w:rsidTr="00674527">
        <w:trPr>
          <w:trHeight w:val="350"/>
        </w:trPr>
        <w:tc>
          <w:tcPr>
            <w:tcW w:w="9355" w:type="dxa"/>
            <w:gridSpan w:val="6"/>
            <w:tcBorders>
              <w:top w:val="single" w:sz="4" w:space="0" w:color="000000"/>
              <w:left w:val="single" w:sz="4" w:space="0" w:color="000000"/>
              <w:bottom w:val="single" w:sz="4" w:space="0" w:color="000000"/>
              <w:right w:val="single" w:sz="4" w:space="0" w:color="000000"/>
            </w:tcBorders>
            <w:hideMark/>
          </w:tcPr>
          <w:p w14:paraId="01D6C9BC" w14:textId="77777777" w:rsidR="00674527" w:rsidRDefault="00674527">
            <w:pPr>
              <w:spacing w:after="240"/>
              <w:rPr>
                <w:rFonts w:asciiTheme="minorHAnsi" w:hAnsiTheme="minorHAnsi" w:cstheme="minorHAnsi"/>
                <w:sz w:val="22"/>
                <w:szCs w:val="22"/>
              </w:rPr>
            </w:pPr>
            <w:r>
              <w:rPr>
                <w:rFonts w:asciiTheme="minorHAnsi" w:hAnsiTheme="minorHAnsi" w:cstheme="minorHAnsi"/>
                <w:b/>
                <w:sz w:val="22"/>
                <w:szCs w:val="22"/>
              </w:rPr>
              <w:t xml:space="preserve">Project duration date in months: </w:t>
            </w:r>
            <w:r>
              <w:rPr>
                <w:rFonts w:asciiTheme="minorHAnsi" w:hAnsiTheme="minorHAnsi" w:cstheme="minorHAnsi"/>
                <w:sz w:val="22"/>
                <w:szCs w:val="22"/>
              </w:rPr>
              <w:t>48</w:t>
            </w:r>
          </w:p>
        </w:tc>
      </w:tr>
      <w:tr w:rsidR="00674527" w14:paraId="56E08FA2" w14:textId="77777777" w:rsidTr="00674527">
        <w:trPr>
          <w:trHeight w:val="710"/>
        </w:trPr>
        <w:tc>
          <w:tcPr>
            <w:tcW w:w="4585" w:type="dxa"/>
            <w:gridSpan w:val="3"/>
            <w:tcBorders>
              <w:top w:val="single" w:sz="4" w:space="0" w:color="000000"/>
              <w:left w:val="single" w:sz="4" w:space="0" w:color="000000"/>
              <w:bottom w:val="single" w:sz="4" w:space="0" w:color="000000"/>
              <w:right w:val="single" w:sz="4" w:space="0" w:color="000000"/>
            </w:tcBorders>
            <w:hideMark/>
          </w:tcPr>
          <w:p w14:paraId="064004EF"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Planned start date: </w:t>
            </w:r>
            <w:r>
              <w:rPr>
                <w:rFonts w:asciiTheme="minorHAnsi" w:hAnsiTheme="minorHAnsi" w:cstheme="minorHAnsi"/>
                <w:sz w:val="22"/>
                <w:szCs w:val="22"/>
              </w:rPr>
              <w:t>15 December 2021</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6109FA9F" w14:textId="77777777" w:rsidR="00674527" w:rsidRDefault="00674527">
            <w:pPr>
              <w:spacing w:after="240"/>
              <w:rPr>
                <w:rFonts w:asciiTheme="minorHAnsi" w:hAnsiTheme="minorHAnsi" w:cstheme="minorHAnsi"/>
                <w:sz w:val="22"/>
                <w:szCs w:val="22"/>
              </w:rPr>
            </w:pPr>
            <w:r>
              <w:rPr>
                <w:rFonts w:asciiTheme="minorHAnsi" w:hAnsiTheme="minorHAnsi" w:cstheme="minorHAnsi"/>
                <w:b/>
                <w:sz w:val="22"/>
                <w:szCs w:val="22"/>
              </w:rPr>
              <w:t xml:space="preserve">Planned end date:  </w:t>
            </w:r>
            <w:r>
              <w:rPr>
                <w:rFonts w:asciiTheme="minorHAnsi" w:hAnsiTheme="minorHAnsi" w:cstheme="minorHAnsi"/>
                <w:sz w:val="22"/>
                <w:szCs w:val="22"/>
              </w:rPr>
              <w:t>15 December 2025</w:t>
            </w:r>
          </w:p>
        </w:tc>
      </w:tr>
      <w:tr w:rsidR="00674527" w:rsidRPr="00674527" w14:paraId="11F91514"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7FF32CF0" w14:textId="77777777" w:rsidR="00674527" w:rsidRDefault="00674527">
            <w:pPr>
              <w:spacing w:after="240"/>
              <w:rPr>
                <w:rFonts w:asciiTheme="minorHAnsi" w:hAnsiTheme="minorHAnsi" w:cstheme="minorHAnsi"/>
                <w:sz w:val="22"/>
                <w:szCs w:val="22"/>
              </w:rPr>
            </w:pPr>
            <w:r>
              <w:rPr>
                <w:rFonts w:asciiTheme="minorHAnsi" w:hAnsiTheme="minorHAnsi" w:cstheme="minorHAnsi"/>
                <w:b/>
                <w:sz w:val="22"/>
                <w:szCs w:val="22"/>
              </w:rPr>
              <w:lastRenderedPageBreak/>
              <w:t xml:space="preserve">Expected date of Mid-Term Review: </w:t>
            </w:r>
            <w:r>
              <w:rPr>
                <w:rFonts w:asciiTheme="minorHAnsi" w:hAnsiTheme="minorHAnsi" w:cstheme="minorHAnsi"/>
                <w:sz w:val="22"/>
                <w:szCs w:val="22"/>
              </w:rPr>
              <w:t xml:space="preserve">15 October </w:t>
            </w:r>
            <w:sdt>
              <w:sdtPr>
                <w:rPr>
                  <w:rFonts w:asciiTheme="minorHAnsi" w:hAnsiTheme="minorHAnsi" w:cstheme="minorHAnsi"/>
                  <w:sz w:val="22"/>
                  <w:szCs w:val="22"/>
                </w:rPr>
                <w:tag w:val="goog_rdk_12"/>
                <w:id w:val="-1063484176"/>
              </w:sdtPr>
              <w:sdtEndPr/>
              <w:sdtContent>
                <w:r>
                  <w:rPr>
                    <w:rFonts w:asciiTheme="minorHAnsi" w:hAnsiTheme="minorHAnsi" w:cstheme="minorHAnsi"/>
                    <w:sz w:val="22"/>
                    <w:szCs w:val="22"/>
                  </w:rPr>
                  <w:t>2</w:t>
                </w:r>
              </w:sdtContent>
            </w:sdt>
            <w:r>
              <w:rPr>
                <w:rFonts w:asciiTheme="minorHAnsi" w:hAnsiTheme="minorHAnsi" w:cstheme="minorHAnsi"/>
                <w:sz w:val="22"/>
                <w:szCs w:val="22"/>
              </w:rPr>
              <w:t>02</w:t>
            </w:r>
            <w:sdt>
              <w:sdtPr>
                <w:rPr>
                  <w:rFonts w:asciiTheme="minorHAnsi" w:hAnsiTheme="minorHAnsi" w:cstheme="minorHAnsi"/>
                  <w:sz w:val="22"/>
                  <w:szCs w:val="22"/>
                </w:rPr>
                <w:tag w:val="goog_rdk_13"/>
                <w:id w:val="1388921608"/>
              </w:sdtPr>
              <w:sdtEndPr/>
              <w:sdtContent>
                <w:r>
                  <w:rPr>
                    <w:rFonts w:asciiTheme="minorHAnsi" w:hAnsiTheme="minorHAnsi" w:cstheme="minorHAnsi"/>
                    <w:sz w:val="22"/>
                    <w:szCs w:val="22"/>
                  </w:rPr>
                  <w:t>3</w:t>
                </w:r>
              </w:sdtContent>
            </w:sdt>
          </w:p>
        </w:tc>
        <w:tc>
          <w:tcPr>
            <w:tcW w:w="4770" w:type="dxa"/>
            <w:gridSpan w:val="3"/>
            <w:tcBorders>
              <w:top w:val="single" w:sz="4" w:space="0" w:color="000000"/>
              <w:left w:val="single" w:sz="4" w:space="0" w:color="000000"/>
              <w:bottom w:val="single" w:sz="4" w:space="0" w:color="000000"/>
              <w:right w:val="single" w:sz="4" w:space="0" w:color="000000"/>
            </w:tcBorders>
            <w:hideMark/>
          </w:tcPr>
          <w:p w14:paraId="2F0FF364"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Expected date of Terminal </w:t>
            </w:r>
            <w:sdt>
              <w:sdtPr>
                <w:rPr>
                  <w:rFonts w:asciiTheme="minorHAnsi" w:hAnsiTheme="minorHAnsi" w:cstheme="minorHAnsi"/>
                  <w:sz w:val="22"/>
                  <w:szCs w:val="22"/>
                </w:rPr>
                <w:tag w:val="goog_rdk_15"/>
                <w:id w:val="-1827270256"/>
              </w:sdtPr>
              <w:sdtEndPr/>
              <w:sdtContent>
                <w:r>
                  <w:rPr>
                    <w:rFonts w:asciiTheme="minorHAnsi" w:hAnsiTheme="minorHAnsi" w:cstheme="minorHAnsi"/>
                    <w:b/>
                    <w:sz w:val="22"/>
                    <w:szCs w:val="22"/>
                  </w:rPr>
                  <w:t>E</w:t>
                </w:r>
              </w:sdtContent>
            </w:sdt>
            <w:r>
              <w:rPr>
                <w:rFonts w:asciiTheme="minorHAnsi" w:hAnsiTheme="minorHAnsi" w:cstheme="minorHAnsi"/>
                <w:b/>
                <w:sz w:val="22"/>
                <w:szCs w:val="22"/>
              </w:rPr>
              <w:t xml:space="preserve">valuation: </w:t>
            </w:r>
            <w:r>
              <w:rPr>
                <w:rFonts w:asciiTheme="minorHAnsi" w:hAnsiTheme="minorHAnsi" w:cstheme="minorHAnsi"/>
                <w:sz w:val="22"/>
                <w:szCs w:val="22"/>
              </w:rPr>
              <w:t>15 July 2025</w:t>
            </w:r>
          </w:p>
        </w:tc>
      </w:tr>
      <w:tr w:rsidR="00674527" w:rsidRPr="00674527" w14:paraId="71558671" w14:textId="77777777" w:rsidTr="00674527">
        <w:tc>
          <w:tcPr>
            <w:tcW w:w="9355" w:type="dxa"/>
            <w:gridSpan w:val="6"/>
            <w:tcBorders>
              <w:top w:val="single" w:sz="4" w:space="0" w:color="000000"/>
              <w:left w:val="single" w:sz="4" w:space="0" w:color="000000"/>
              <w:bottom w:val="single" w:sz="4" w:space="0" w:color="000000"/>
              <w:right w:val="single" w:sz="4" w:space="0" w:color="000000"/>
            </w:tcBorders>
            <w:hideMark/>
          </w:tcPr>
          <w:p w14:paraId="1BAA5A43"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Brief project description: </w:t>
            </w:r>
            <w:r>
              <w:rPr>
                <w:rFonts w:asciiTheme="minorHAnsi" w:hAnsiTheme="minorHAnsi" w:cstheme="minorHAnsi"/>
                <w:color w:val="000000"/>
                <w:sz w:val="22"/>
                <w:szCs w:val="22"/>
              </w:rPr>
              <w:t>Over the last twenty years, IW:LEARN has grown from an informal network of a few projects and agency staff focused on IW projects to a community of individuals from a few hundred public and private sector organizations, including local, national, and international government and non-government organizations. The new IW:LEARN phase will focus on proven approaches but also on a suite of new and innovative activities to facilitate the GEF IW Focal Area to implement the GEF7 and GEF8 International Waters Strategy (and prepare for the 9</w:t>
            </w:r>
            <w:r>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GEF Replenishment). It will be additionally extended to cater for the need of SIDS, in particular the priorities adopted by GEF: The Blue Economy, Integrated Resource Management from Ridge-to-Reef, Protected Areas, and Climate Resilience. The new IW:LEARN project will continue supporting the core mandate of the GEF International Waters Focal Area to  support transboundary cooperation in shared marine and freshwater ecosystems and assist the project portfolio in in achieving long term benefits. The project’s proposed activities will help the portfolio to implement regionally endorsed SAP priorities, mainstream gender considerations, and stimulate private sector investment. </w:t>
            </w:r>
          </w:p>
        </w:tc>
      </w:tr>
      <w:tr w:rsidR="00674527" w14:paraId="7E768FF3" w14:textId="77777777" w:rsidTr="00674527">
        <w:trPr>
          <w:trHeight w:val="37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14:paraId="79138F8A" w14:textId="77777777" w:rsidR="00674527" w:rsidRDefault="00674527" w:rsidP="00CF4E25">
            <w:pPr>
              <w:numPr>
                <w:ilvl w:val="0"/>
                <w:numId w:val="2"/>
              </w:numPr>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 xml:space="preserve">Financing Plan </w:t>
            </w:r>
          </w:p>
        </w:tc>
      </w:tr>
      <w:tr w:rsidR="00674527" w14:paraId="6F8C2CFF"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257D4FFF"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 xml:space="preserve">GEF Trust Fund </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5372A0B5"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5</w:t>
            </w:r>
            <w:r>
              <w:rPr>
                <w:rFonts w:asciiTheme="minorHAnsi" w:hAnsiTheme="minorHAnsi" w:cstheme="minorHAnsi"/>
                <w:color w:val="000000"/>
                <w:sz w:val="22"/>
                <w:szCs w:val="22"/>
              </w:rPr>
              <w:t>,978,700</w:t>
            </w:r>
          </w:p>
        </w:tc>
      </w:tr>
      <w:tr w:rsidR="00674527" w14:paraId="06688009"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6FA72C65" w14:textId="77777777" w:rsidR="00674527" w:rsidRDefault="00674527" w:rsidP="00CF4E25">
            <w:pPr>
              <w:numPr>
                <w:ilvl w:val="0"/>
                <w:numId w:val="3"/>
              </w:numPr>
              <w:spacing w:after="240"/>
              <w:rPr>
                <w:rFonts w:asciiTheme="minorHAnsi" w:hAnsiTheme="minorHAnsi" w:cstheme="minorHAnsi"/>
                <w:b/>
                <w:color w:val="000000"/>
                <w:sz w:val="22"/>
                <w:szCs w:val="22"/>
              </w:rPr>
            </w:pPr>
            <w:r>
              <w:rPr>
                <w:rFonts w:asciiTheme="minorHAnsi" w:hAnsiTheme="minorHAnsi" w:cstheme="minorHAnsi"/>
                <w:b/>
                <w:color w:val="000000"/>
                <w:sz w:val="22"/>
                <w:szCs w:val="22"/>
              </w:rPr>
              <w:t>Total Budget administered by UNDP (for sub components 1.1, 1.2, 1.3, 1.4, 2.1, 2.2, 2.3, 3.2, 3.3, 4.1, 4.2, 4.3.1, 4.3.2, 4.4, 5.1, 5.2, 5.3, 6.1, PMC)</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7B5EFEF9"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USD 4</w:t>
            </w:r>
            <w:r>
              <w:rPr>
                <w:rFonts w:asciiTheme="minorHAnsi" w:hAnsiTheme="minorHAnsi" w:cstheme="minorHAnsi"/>
                <w:b/>
                <w:color w:val="000000"/>
                <w:sz w:val="22"/>
                <w:szCs w:val="22"/>
              </w:rPr>
              <w:t>,878,700</w:t>
            </w:r>
          </w:p>
        </w:tc>
      </w:tr>
      <w:tr w:rsidR="00674527" w14:paraId="4F77018E"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72048A32" w14:textId="77777777" w:rsidR="00674527" w:rsidRDefault="00674527" w:rsidP="00CF4E25">
            <w:pPr>
              <w:numPr>
                <w:ilvl w:val="0"/>
                <w:numId w:val="3"/>
              </w:numPr>
              <w:spacing w:after="24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Total Budget </w:t>
            </w:r>
            <w:proofErr w:type="spellStart"/>
            <w:r>
              <w:rPr>
                <w:rFonts w:asciiTheme="minorHAnsi" w:hAnsiTheme="minorHAnsi" w:cstheme="minorHAnsi"/>
                <w:b/>
                <w:color w:val="000000"/>
                <w:sz w:val="22"/>
                <w:szCs w:val="22"/>
              </w:rPr>
              <w:t>administerd</w:t>
            </w:r>
            <w:proofErr w:type="spellEnd"/>
            <w:r>
              <w:rPr>
                <w:rFonts w:asciiTheme="minorHAnsi" w:hAnsiTheme="minorHAnsi" w:cstheme="minorHAnsi"/>
                <w:b/>
                <w:color w:val="000000"/>
                <w:sz w:val="22"/>
                <w:szCs w:val="22"/>
              </w:rPr>
              <w:t xml:space="preserve"> by UNEP (for sub-components 3.1, 3.4, 4.3.3)</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33369175" w14:textId="77777777" w:rsidR="00674527" w:rsidRDefault="00674527">
            <w:pPr>
              <w:spacing w:after="240"/>
              <w:rPr>
                <w:rFonts w:asciiTheme="minorHAnsi" w:hAnsiTheme="minorHAnsi" w:cstheme="minorHAnsi"/>
                <w:b/>
                <w:sz w:val="22"/>
                <w:szCs w:val="22"/>
              </w:rPr>
            </w:pPr>
            <w:r>
              <w:rPr>
                <w:rFonts w:asciiTheme="minorHAnsi" w:hAnsiTheme="minorHAnsi" w:cstheme="minorHAnsi"/>
                <w:bCs/>
                <w:sz w:val="22"/>
                <w:szCs w:val="22"/>
              </w:rPr>
              <w:t>USD 1,100,000</w:t>
            </w:r>
          </w:p>
        </w:tc>
      </w:tr>
      <w:tr w:rsidR="00674527" w14:paraId="08AF7517" w14:textId="77777777" w:rsidTr="00674527">
        <w:tc>
          <w:tcPr>
            <w:tcW w:w="9355"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14:paraId="23838C70" w14:textId="77777777" w:rsidR="00674527" w:rsidRDefault="00674527" w:rsidP="00CF4E25">
            <w:pPr>
              <w:numPr>
                <w:ilvl w:val="0"/>
                <w:numId w:val="3"/>
              </w:numPr>
              <w:rPr>
                <w:rFonts w:asciiTheme="minorHAnsi" w:hAnsiTheme="minorHAnsi" w:cstheme="minorHAnsi"/>
                <w:b/>
                <w:color w:val="000000"/>
                <w:sz w:val="22"/>
                <w:szCs w:val="22"/>
              </w:rPr>
            </w:pPr>
            <w:r>
              <w:rPr>
                <w:rFonts w:asciiTheme="minorHAnsi" w:hAnsiTheme="minorHAnsi" w:cstheme="minorHAnsi"/>
                <w:b/>
                <w:smallCaps/>
                <w:color w:val="000000"/>
                <w:sz w:val="22"/>
                <w:szCs w:val="22"/>
              </w:rPr>
              <w:t xml:space="preserve">confirmed co-financing </w:t>
            </w:r>
          </w:p>
        </w:tc>
      </w:tr>
      <w:tr w:rsidR="00674527" w14:paraId="1A29B2B1" w14:textId="77777777" w:rsidTr="00674527">
        <w:trPr>
          <w:trHeight w:val="323"/>
        </w:trPr>
        <w:tc>
          <w:tcPr>
            <w:tcW w:w="4585" w:type="dxa"/>
            <w:gridSpan w:val="3"/>
            <w:tcBorders>
              <w:top w:val="single" w:sz="4" w:space="0" w:color="000000"/>
              <w:left w:val="single" w:sz="4" w:space="0" w:color="000000"/>
              <w:bottom w:val="single" w:sz="4" w:space="0" w:color="000000"/>
              <w:right w:val="single" w:sz="4" w:space="0" w:color="000000"/>
            </w:tcBorders>
          </w:tcPr>
          <w:p w14:paraId="4E2BA302" w14:textId="77777777" w:rsidR="00674527" w:rsidRDefault="00674527">
            <w:pPr>
              <w:spacing w:after="240"/>
              <w:rPr>
                <w:rFonts w:asciiTheme="minorHAnsi" w:hAnsiTheme="minorHAnsi" w:cstheme="minorHAnsi"/>
                <w:sz w:val="22"/>
                <w:szCs w:val="22"/>
              </w:rPr>
            </w:pPr>
          </w:p>
        </w:tc>
        <w:tc>
          <w:tcPr>
            <w:tcW w:w="4770" w:type="dxa"/>
            <w:gridSpan w:val="3"/>
            <w:tcBorders>
              <w:top w:val="single" w:sz="4" w:space="0" w:color="000000"/>
              <w:left w:val="single" w:sz="4" w:space="0" w:color="000000"/>
              <w:bottom w:val="single" w:sz="4" w:space="0" w:color="000000"/>
              <w:right w:val="single" w:sz="4" w:space="0" w:color="000000"/>
            </w:tcBorders>
          </w:tcPr>
          <w:p w14:paraId="7B1971A5" w14:textId="77777777" w:rsidR="00674527" w:rsidRDefault="00674527">
            <w:pPr>
              <w:spacing w:after="240"/>
              <w:rPr>
                <w:rFonts w:asciiTheme="minorHAnsi" w:hAnsiTheme="minorHAnsi" w:cstheme="minorHAnsi"/>
                <w:bCs/>
                <w:sz w:val="22"/>
                <w:szCs w:val="22"/>
              </w:rPr>
            </w:pPr>
          </w:p>
        </w:tc>
      </w:tr>
      <w:tr w:rsidR="00674527" w14:paraId="343D53C0" w14:textId="77777777" w:rsidTr="00674527">
        <w:trPr>
          <w:trHeight w:val="323"/>
        </w:trPr>
        <w:tc>
          <w:tcPr>
            <w:tcW w:w="4585" w:type="dxa"/>
            <w:gridSpan w:val="3"/>
            <w:tcBorders>
              <w:top w:val="single" w:sz="4" w:space="0" w:color="000000"/>
              <w:left w:val="single" w:sz="4" w:space="0" w:color="000000"/>
              <w:bottom w:val="single" w:sz="4" w:space="0" w:color="000000"/>
              <w:right w:val="single" w:sz="4" w:space="0" w:color="000000"/>
            </w:tcBorders>
            <w:hideMark/>
          </w:tcPr>
          <w:p w14:paraId="4CB8EB92"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 xml:space="preserve">United Nations Development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(UNDP)</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6D320D83"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4,755,000</w:t>
            </w:r>
          </w:p>
        </w:tc>
      </w:tr>
      <w:tr w:rsidR="00674527" w14:paraId="5BE09065"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2FC2BBA7"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21"/>
                <w:id w:val="1820155578"/>
              </w:sdtPr>
              <w:sdtEndPr/>
              <w:sdtContent>
                <w:r w:rsidR="00674527">
                  <w:rPr>
                    <w:rFonts w:asciiTheme="minorHAnsi" w:hAnsiTheme="minorHAnsi" w:cstheme="minorHAnsi"/>
                    <w:sz w:val="22"/>
                    <w:szCs w:val="22"/>
                  </w:rPr>
                  <w:t xml:space="preserve">United Nations Environment </w:t>
                </w:r>
                <w:proofErr w:type="spellStart"/>
                <w:r w:rsidR="00674527">
                  <w:rPr>
                    <w:rFonts w:asciiTheme="minorHAnsi" w:hAnsiTheme="minorHAnsi" w:cstheme="minorHAnsi"/>
                    <w:sz w:val="22"/>
                    <w:szCs w:val="22"/>
                  </w:rPr>
                  <w:t>Programme</w:t>
                </w:r>
                <w:proofErr w:type="spellEnd"/>
                <w:r w:rsidR="00674527">
                  <w:rPr>
                    <w:rFonts w:asciiTheme="minorHAnsi" w:hAnsiTheme="minorHAnsi" w:cstheme="minorHAnsi"/>
                    <w:sz w:val="22"/>
                    <w:szCs w:val="22"/>
                  </w:rPr>
                  <w:t xml:space="preserve"> (UNEP)</w:t>
                </w:r>
              </w:sdtContent>
            </w:sdt>
          </w:p>
        </w:tc>
        <w:tc>
          <w:tcPr>
            <w:tcW w:w="4770" w:type="dxa"/>
            <w:gridSpan w:val="3"/>
            <w:tcBorders>
              <w:top w:val="single" w:sz="4" w:space="0" w:color="000000"/>
              <w:left w:val="single" w:sz="4" w:space="0" w:color="000000"/>
              <w:bottom w:val="single" w:sz="4" w:space="0" w:color="000000"/>
              <w:right w:val="single" w:sz="4" w:space="0" w:color="000000"/>
            </w:tcBorders>
            <w:hideMark/>
          </w:tcPr>
          <w:p w14:paraId="5CA5B368"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1,3</w:t>
            </w:r>
            <w:r>
              <w:rPr>
                <w:rFonts w:asciiTheme="minorHAnsi" w:hAnsiTheme="minorHAnsi" w:cstheme="minorHAnsi"/>
                <w:sz w:val="22"/>
                <w:szCs w:val="22"/>
                <w:lang w:val="hr-HR"/>
              </w:rPr>
              <w:t>78</w:t>
            </w:r>
            <w:r>
              <w:rPr>
                <w:rFonts w:asciiTheme="minorHAnsi" w:hAnsiTheme="minorHAnsi" w:cstheme="minorHAnsi"/>
                <w:sz w:val="22"/>
                <w:szCs w:val="22"/>
              </w:rPr>
              <w:t>,000</w:t>
            </w:r>
          </w:p>
        </w:tc>
      </w:tr>
      <w:tr w:rsidR="00674527" w14:paraId="25D48A76"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511056F2" w14:textId="77777777" w:rsidR="00674527" w:rsidRDefault="00674527">
            <w:pPr>
              <w:spacing w:after="240"/>
              <w:rPr>
                <w:rFonts w:asciiTheme="minorHAnsi" w:hAnsiTheme="minorHAnsi" w:cstheme="minorHAnsi"/>
                <w:sz w:val="22"/>
                <w:szCs w:val="22"/>
              </w:rPr>
            </w:pPr>
            <w:r>
              <w:rPr>
                <w:rFonts w:asciiTheme="minorHAnsi" w:hAnsiTheme="minorHAnsi" w:cstheme="minorHAnsi"/>
                <w:color w:val="000000"/>
                <w:sz w:val="22"/>
                <w:szCs w:val="22"/>
              </w:rPr>
              <w:t>Intergovernmental Oceanographic Commission (IOC) of UNESCO</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7AE45D19"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2,258,946</w:t>
            </w:r>
          </w:p>
        </w:tc>
      </w:tr>
      <w:tr w:rsidR="00674527" w14:paraId="3D9D02E8"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25"/>
              <w:id w:val="616954519"/>
            </w:sdtPr>
            <w:sdtEndPr/>
            <w:sdtContent>
              <w:p w14:paraId="65D08670" w14:textId="77777777" w:rsidR="00674527" w:rsidRDefault="00674527">
                <w:pPr>
                  <w:spacing w:after="240"/>
                  <w:rPr>
                    <w:rFonts w:asciiTheme="minorHAnsi" w:hAnsiTheme="minorHAnsi" w:cstheme="minorHAnsi"/>
                    <w:color w:val="000000"/>
                    <w:sz w:val="22"/>
                    <w:szCs w:val="22"/>
                  </w:rPr>
                </w:pPr>
                <w:r>
                  <w:rPr>
                    <w:rFonts w:asciiTheme="minorHAnsi" w:hAnsiTheme="minorHAnsi" w:cstheme="minorHAnsi"/>
                    <w:color w:val="000000"/>
                    <w:sz w:val="22"/>
                    <w:szCs w:val="22"/>
                  </w:rPr>
                  <w:t>CAP-NET</w:t>
                </w:r>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31"/>
              <w:id w:val="84730271"/>
            </w:sdtPr>
            <w:sdtEndPr/>
            <w:sdtContent>
              <w:p w14:paraId="0BC27206"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30"/>
                    <w:id w:val="-340160290"/>
                  </w:sdtPr>
                  <w:sdtEndPr/>
                  <w:sdtContent>
                    <w:r w:rsidR="00674527">
                      <w:rPr>
                        <w:rFonts w:asciiTheme="minorHAnsi" w:hAnsiTheme="minorHAnsi" w:cstheme="minorHAnsi"/>
                        <w:sz w:val="22"/>
                        <w:szCs w:val="22"/>
                      </w:rPr>
                      <w:t>USD 200,000</w:t>
                    </w:r>
                  </w:sdtContent>
                </w:sdt>
              </w:p>
            </w:sdtContent>
          </w:sdt>
        </w:tc>
      </w:tr>
      <w:sdt>
        <w:sdtPr>
          <w:rPr>
            <w:rFonts w:asciiTheme="minorHAnsi" w:hAnsiTheme="minorHAnsi" w:cstheme="minorHAnsi"/>
            <w:sz w:val="22"/>
            <w:szCs w:val="22"/>
          </w:rPr>
          <w:tag w:val="goog_rdk_36"/>
          <w:id w:val="-1978443967"/>
        </w:sdtPr>
        <w:sdtEndPr/>
        <w:sdtContent>
          <w:tr w:rsidR="00674527" w14:paraId="77966BDA"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38"/>
                  <w:id w:val="388614844"/>
                </w:sdtPr>
                <w:sdtEndPr/>
                <w:sdtContent>
                  <w:p w14:paraId="4B8556FF"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37"/>
                        <w:id w:val="-1789277594"/>
                      </w:sdtPr>
                      <w:sdtEndPr/>
                      <w:sdtContent>
                        <w:r w:rsidR="00674527">
                          <w:rPr>
                            <w:rFonts w:asciiTheme="minorHAnsi" w:hAnsiTheme="minorHAnsi" w:cstheme="minorHAnsi"/>
                            <w:color w:val="000000"/>
                            <w:sz w:val="22"/>
                            <w:szCs w:val="22"/>
                          </w:rPr>
                          <w:t>United Nations Economic Commission for Europe (UNECE)</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44"/>
                  <w:id w:val="1754940893"/>
                </w:sdtPr>
                <w:sdtEndPr/>
                <w:sdtContent>
                  <w:p w14:paraId="556750DF"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43"/>
                        <w:id w:val="66695909"/>
                      </w:sdtPr>
                      <w:sdtEndPr/>
                      <w:sdtContent>
                        <w:r w:rsidR="00674527">
                          <w:rPr>
                            <w:rFonts w:asciiTheme="minorHAnsi" w:hAnsiTheme="minorHAnsi" w:cstheme="minorHAnsi"/>
                            <w:sz w:val="22"/>
                            <w:szCs w:val="22"/>
                          </w:rPr>
                          <w:t>USD 360,000</w:t>
                        </w:r>
                      </w:sdtContent>
                    </w:sdt>
                  </w:p>
                </w:sdtContent>
              </w:sdt>
            </w:tc>
          </w:tr>
        </w:sdtContent>
      </w:sdt>
      <w:sdt>
        <w:sdtPr>
          <w:rPr>
            <w:rFonts w:asciiTheme="minorHAnsi" w:hAnsiTheme="minorHAnsi" w:cstheme="minorHAnsi"/>
            <w:sz w:val="22"/>
            <w:szCs w:val="22"/>
          </w:rPr>
          <w:tag w:val="goog_rdk_49"/>
          <w:id w:val="-639340619"/>
        </w:sdtPr>
        <w:sdtEndPr/>
        <w:sdtContent>
          <w:tr w:rsidR="00674527" w14:paraId="3A9C41FB"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51"/>
                  <w:id w:val="-1778482578"/>
                </w:sdtPr>
                <w:sdtEndPr/>
                <w:sdtContent>
                  <w:p w14:paraId="60B4792A"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50"/>
                        <w:id w:val="-1284882098"/>
                      </w:sdtPr>
                      <w:sdtEndPr/>
                      <w:sdtContent>
                        <w:r w:rsidR="00674527">
                          <w:rPr>
                            <w:rFonts w:asciiTheme="minorHAnsi" w:hAnsiTheme="minorHAnsi" w:cstheme="minorHAnsi"/>
                            <w:color w:val="000000"/>
                            <w:sz w:val="22"/>
                            <w:szCs w:val="22"/>
                          </w:rPr>
                          <w:t>Inter-American Development Bank (IDB)</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57"/>
                  <w:id w:val="596449312"/>
                </w:sdtPr>
                <w:sdtEndPr/>
                <w:sdtContent>
                  <w:p w14:paraId="06991A8D"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56"/>
                        <w:id w:val="7106934"/>
                      </w:sdtPr>
                      <w:sdtEndPr/>
                      <w:sdtContent>
                        <w:r w:rsidR="00674527">
                          <w:rPr>
                            <w:rFonts w:asciiTheme="minorHAnsi" w:hAnsiTheme="minorHAnsi" w:cstheme="minorHAnsi"/>
                            <w:sz w:val="22"/>
                            <w:szCs w:val="22"/>
                          </w:rPr>
                          <w:t>USD 485,000</w:t>
                        </w:r>
                      </w:sdtContent>
                    </w:sdt>
                  </w:p>
                </w:sdtContent>
              </w:sdt>
            </w:tc>
          </w:tr>
        </w:sdtContent>
      </w:sdt>
      <w:sdt>
        <w:sdtPr>
          <w:rPr>
            <w:rFonts w:asciiTheme="minorHAnsi" w:hAnsiTheme="minorHAnsi" w:cstheme="minorHAnsi"/>
            <w:sz w:val="22"/>
            <w:szCs w:val="22"/>
          </w:rPr>
          <w:tag w:val="goog_rdk_62"/>
          <w:id w:val="-1724213109"/>
        </w:sdtPr>
        <w:sdtEndPr/>
        <w:sdtContent>
          <w:tr w:rsidR="00674527" w14:paraId="6C37B852"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64"/>
                  <w:id w:val="-933443782"/>
                </w:sdtPr>
                <w:sdtEndPr/>
                <w:sdtContent>
                  <w:p w14:paraId="179BFAD9"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63"/>
                        <w:id w:val="-637803403"/>
                      </w:sdtPr>
                      <w:sdtEndPr/>
                      <w:sdtContent>
                        <w:r w:rsidR="00674527">
                          <w:rPr>
                            <w:rFonts w:asciiTheme="minorHAnsi" w:hAnsiTheme="minorHAnsi" w:cstheme="minorHAnsi"/>
                            <w:color w:val="000000"/>
                            <w:sz w:val="22"/>
                            <w:szCs w:val="22"/>
                          </w:rPr>
                          <w:t>UNEP Danish Hydraulics Institute (THI)</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70"/>
                  <w:id w:val="1307980309"/>
                </w:sdtPr>
                <w:sdtEndPr/>
                <w:sdtContent>
                  <w:p w14:paraId="55F3274E"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69"/>
                        <w:id w:val="1728798914"/>
                      </w:sdtPr>
                      <w:sdtEndPr/>
                      <w:sdtContent>
                        <w:r w:rsidR="00674527">
                          <w:rPr>
                            <w:rFonts w:asciiTheme="minorHAnsi" w:hAnsiTheme="minorHAnsi" w:cstheme="minorHAnsi"/>
                            <w:sz w:val="22"/>
                            <w:szCs w:val="22"/>
                          </w:rPr>
                          <w:t>USD 50,000</w:t>
                        </w:r>
                      </w:sdtContent>
                    </w:sdt>
                  </w:p>
                </w:sdtContent>
              </w:sdt>
            </w:tc>
          </w:tr>
        </w:sdtContent>
      </w:sdt>
      <w:sdt>
        <w:sdtPr>
          <w:rPr>
            <w:rFonts w:asciiTheme="minorHAnsi" w:hAnsiTheme="minorHAnsi" w:cstheme="minorHAnsi"/>
            <w:sz w:val="22"/>
            <w:szCs w:val="22"/>
          </w:rPr>
          <w:tag w:val="goog_rdk_75"/>
          <w:id w:val="1566988182"/>
        </w:sdtPr>
        <w:sdtEndPr/>
        <w:sdtContent>
          <w:tr w:rsidR="00674527" w14:paraId="736B15FE"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77"/>
                  <w:id w:val="-2133476160"/>
                </w:sdtPr>
                <w:sdtEndPr/>
                <w:sdtContent>
                  <w:p w14:paraId="30A70B97"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76"/>
                        <w:id w:val="1604296871"/>
                      </w:sdtPr>
                      <w:sdtEndPr/>
                      <w:sdtContent>
                        <w:r w:rsidR="00674527">
                          <w:rPr>
                            <w:rFonts w:asciiTheme="minorHAnsi" w:hAnsiTheme="minorHAnsi" w:cstheme="minorHAnsi"/>
                            <w:color w:val="000000"/>
                            <w:sz w:val="22"/>
                            <w:szCs w:val="22"/>
                          </w:rPr>
                          <w:t xml:space="preserve">International Union for the Conservation of Nature Global Marine and Polar </w:t>
                        </w:r>
                        <w:proofErr w:type="spellStart"/>
                        <w:r w:rsidR="00674527">
                          <w:rPr>
                            <w:rFonts w:asciiTheme="minorHAnsi" w:hAnsiTheme="minorHAnsi" w:cstheme="minorHAnsi"/>
                            <w:color w:val="000000"/>
                            <w:sz w:val="22"/>
                            <w:szCs w:val="22"/>
                          </w:rPr>
                          <w:t>Programme</w:t>
                        </w:r>
                        <w:proofErr w:type="spellEnd"/>
                        <w:r w:rsidR="00674527">
                          <w:rPr>
                            <w:rFonts w:asciiTheme="minorHAnsi" w:hAnsiTheme="minorHAnsi" w:cstheme="minorHAnsi"/>
                            <w:color w:val="000000"/>
                            <w:sz w:val="22"/>
                            <w:szCs w:val="22"/>
                          </w:rPr>
                          <w:t xml:space="preserve">  (IUCN GMPP)</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83"/>
                  <w:id w:val="-938218715"/>
                </w:sdtPr>
                <w:sdtEndPr/>
                <w:sdtContent>
                  <w:p w14:paraId="1374659E"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82"/>
                        <w:id w:val="1758945070"/>
                      </w:sdtPr>
                      <w:sdtEndPr/>
                      <w:sdtContent>
                        <w:r w:rsidR="00674527">
                          <w:rPr>
                            <w:rFonts w:asciiTheme="minorHAnsi" w:hAnsiTheme="minorHAnsi" w:cstheme="minorHAnsi"/>
                            <w:sz w:val="22"/>
                            <w:szCs w:val="22"/>
                          </w:rPr>
                          <w:t>USD 300,000</w:t>
                        </w:r>
                      </w:sdtContent>
                    </w:sdt>
                  </w:p>
                </w:sdtContent>
              </w:sdt>
            </w:tc>
          </w:tr>
        </w:sdtContent>
      </w:sdt>
      <w:tr w:rsidR="00674527" w14:paraId="2E43B013"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6E37A8EE"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International Commission for the Protection of the Danube River (ICPDR)</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6858B5CF"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60,000</w:t>
            </w:r>
          </w:p>
        </w:tc>
      </w:tr>
      <w:tr w:rsidR="00674527" w14:paraId="34903743"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75C695A0"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The World Bank</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5E671B53"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340,000</w:t>
            </w:r>
          </w:p>
        </w:tc>
      </w:tr>
      <w:sdt>
        <w:sdtPr>
          <w:rPr>
            <w:rFonts w:asciiTheme="minorHAnsi" w:hAnsiTheme="minorHAnsi" w:cstheme="minorHAnsi"/>
            <w:sz w:val="22"/>
            <w:szCs w:val="22"/>
          </w:rPr>
          <w:tag w:val="goog_rdk_88"/>
          <w:id w:val="-957794341"/>
        </w:sdtPr>
        <w:sdtEndPr/>
        <w:sdtContent>
          <w:tr w:rsidR="00674527" w14:paraId="264CBA7B"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90"/>
                  <w:id w:val="-1576043320"/>
                </w:sdtPr>
                <w:sdtEndPr/>
                <w:sdtContent>
                  <w:p w14:paraId="1BA4E5B3"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89"/>
                        <w:id w:val="1912114319"/>
                      </w:sdtPr>
                      <w:sdtEndPr/>
                      <w:sdtContent>
                        <w:proofErr w:type="spellStart"/>
                        <w:r w:rsidR="00674527">
                          <w:rPr>
                            <w:rFonts w:asciiTheme="minorHAnsi" w:hAnsiTheme="minorHAnsi" w:cstheme="minorHAnsi"/>
                            <w:sz w:val="22"/>
                            <w:szCs w:val="22"/>
                          </w:rPr>
                          <w:t>Organisation</w:t>
                        </w:r>
                        <w:proofErr w:type="spellEnd"/>
                        <w:r w:rsidR="00674527">
                          <w:rPr>
                            <w:rFonts w:asciiTheme="minorHAnsi" w:hAnsiTheme="minorHAnsi" w:cstheme="minorHAnsi"/>
                            <w:sz w:val="22"/>
                            <w:szCs w:val="22"/>
                          </w:rPr>
                          <w:t xml:space="preserve"> of the American States (</w:t>
                        </w:r>
                        <w:r w:rsidR="00674527">
                          <w:rPr>
                            <w:rFonts w:asciiTheme="minorHAnsi" w:hAnsiTheme="minorHAnsi" w:cstheme="minorHAnsi"/>
                            <w:color w:val="000000"/>
                            <w:sz w:val="22"/>
                            <w:szCs w:val="22"/>
                          </w:rPr>
                          <w:t>OAS)</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96"/>
                  <w:id w:val="432102514"/>
                </w:sdtPr>
                <w:sdtEndPr/>
                <w:sdtContent>
                  <w:p w14:paraId="200CCE22"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95"/>
                        <w:id w:val="1903173033"/>
                      </w:sdtPr>
                      <w:sdtEndPr/>
                      <w:sdtContent>
                        <w:r w:rsidR="00674527">
                          <w:rPr>
                            <w:rFonts w:asciiTheme="minorHAnsi" w:hAnsiTheme="minorHAnsi" w:cstheme="minorHAnsi"/>
                            <w:sz w:val="22"/>
                            <w:szCs w:val="22"/>
                          </w:rPr>
                          <w:t>USD 150,000</w:t>
                        </w:r>
                      </w:sdtContent>
                    </w:sdt>
                  </w:p>
                </w:sdtContent>
              </w:sdt>
            </w:tc>
          </w:tr>
        </w:sdtContent>
      </w:sdt>
      <w:sdt>
        <w:sdtPr>
          <w:rPr>
            <w:rFonts w:asciiTheme="minorHAnsi" w:hAnsiTheme="minorHAnsi" w:cstheme="minorHAnsi"/>
            <w:sz w:val="22"/>
            <w:szCs w:val="22"/>
          </w:rPr>
          <w:tag w:val="goog_rdk_101"/>
          <w:id w:val="-933817362"/>
        </w:sdtPr>
        <w:sdtEndPr/>
        <w:sdtContent>
          <w:tr w:rsidR="00674527" w14:paraId="02E91774"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03"/>
                  <w:id w:val="-1872449606"/>
                </w:sdtPr>
                <w:sdtEndPr/>
                <w:sdtContent>
                  <w:p w14:paraId="689AC923"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102"/>
                        <w:id w:val="352693006"/>
                      </w:sdtPr>
                      <w:sdtEndPr/>
                      <w:sdtContent>
                        <w:r w:rsidR="00674527">
                          <w:rPr>
                            <w:rFonts w:asciiTheme="minorHAnsi" w:hAnsiTheme="minorHAnsi" w:cstheme="minorHAnsi"/>
                            <w:sz w:val="22"/>
                            <w:szCs w:val="22"/>
                          </w:rPr>
                          <w:t>The Nature Conservancy (</w:t>
                        </w:r>
                        <w:r w:rsidR="00674527">
                          <w:rPr>
                            <w:rFonts w:asciiTheme="minorHAnsi" w:hAnsiTheme="minorHAnsi" w:cstheme="minorHAnsi"/>
                            <w:color w:val="000000"/>
                            <w:sz w:val="22"/>
                            <w:szCs w:val="22"/>
                          </w:rPr>
                          <w:t>TNC)</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09"/>
                  <w:id w:val="-683820866"/>
                </w:sdtPr>
                <w:sdtEndPr/>
                <w:sdtContent>
                  <w:p w14:paraId="1523365C"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108"/>
                        <w:id w:val="-420870567"/>
                      </w:sdtPr>
                      <w:sdtEndPr/>
                      <w:sdtContent>
                        <w:r w:rsidR="00674527">
                          <w:rPr>
                            <w:rFonts w:asciiTheme="minorHAnsi" w:hAnsiTheme="minorHAnsi" w:cstheme="minorHAnsi"/>
                            <w:sz w:val="22"/>
                            <w:szCs w:val="22"/>
                          </w:rPr>
                          <w:t>USD 53,150</w:t>
                        </w:r>
                      </w:sdtContent>
                    </w:sdt>
                  </w:p>
                </w:sdtContent>
              </w:sdt>
            </w:tc>
          </w:tr>
        </w:sdtContent>
      </w:sdt>
      <w:sdt>
        <w:sdtPr>
          <w:rPr>
            <w:rFonts w:asciiTheme="minorHAnsi" w:hAnsiTheme="minorHAnsi" w:cstheme="minorHAnsi"/>
            <w:sz w:val="22"/>
            <w:szCs w:val="22"/>
          </w:rPr>
          <w:tag w:val="goog_rdk_114"/>
          <w:id w:val="769741546"/>
        </w:sdtPr>
        <w:sdtEndPr/>
        <w:sdtContent>
          <w:tr w:rsidR="00674527" w14:paraId="5D9A1FC4"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16"/>
                  <w:id w:val="78647885"/>
                </w:sdtPr>
                <w:sdtEndPr/>
                <w:sdtContent>
                  <w:p w14:paraId="4335812D"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115"/>
                        <w:id w:val="-789664654"/>
                      </w:sdtPr>
                      <w:sdtEndPr/>
                      <w:sdtContent>
                        <w:r w:rsidR="00674527">
                          <w:rPr>
                            <w:rFonts w:asciiTheme="minorHAnsi" w:hAnsiTheme="minorHAnsi" w:cstheme="minorHAnsi"/>
                            <w:sz w:val="22"/>
                            <w:szCs w:val="22"/>
                          </w:rPr>
                          <w:t>United Nations Conference on Trade and Development (</w:t>
                        </w:r>
                        <w:r w:rsidR="00674527">
                          <w:rPr>
                            <w:rFonts w:asciiTheme="minorHAnsi" w:hAnsiTheme="minorHAnsi" w:cstheme="minorHAnsi"/>
                            <w:color w:val="000000"/>
                            <w:sz w:val="22"/>
                            <w:szCs w:val="22"/>
                          </w:rPr>
                          <w:t>UNCTAD)</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22"/>
                  <w:id w:val="114946939"/>
                </w:sdtPr>
                <w:sdtEndPr/>
                <w:sdtContent>
                  <w:p w14:paraId="76A9727D"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121"/>
                        <w:id w:val="1414821962"/>
                      </w:sdtPr>
                      <w:sdtEndPr/>
                      <w:sdtContent>
                        <w:r w:rsidR="00674527">
                          <w:rPr>
                            <w:rFonts w:asciiTheme="minorHAnsi" w:hAnsiTheme="minorHAnsi" w:cstheme="minorHAnsi"/>
                            <w:sz w:val="22"/>
                            <w:szCs w:val="22"/>
                          </w:rPr>
                          <w:t>USD 300,000</w:t>
                        </w:r>
                      </w:sdtContent>
                    </w:sdt>
                  </w:p>
                </w:sdtContent>
              </w:sdt>
            </w:tc>
          </w:tr>
        </w:sdtContent>
      </w:sdt>
      <w:sdt>
        <w:sdtPr>
          <w:rPr>
            <w:rFonts w:asciiTheme="minorHAnsi" w:hAnsiTheme="minorHAnsi" w:cstheme="minorHAnsi"/>
            <w:sz w:val="22"/>
            <w:szCs w:val="22"/>
          </w:rPr>
          <w:tag w:val="goog_rdk_127"/>
          <w:id w:val="-1171251010"/>
        </w:sdtPr>
        <w:sdtEndPr/>
        <w:sdtContent>
          <w:tr w:rsidR="00674527" w14:paraId="60FF99BD"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29"/>
                  <w:id w:val="-81921530"/>
                </w:sdtPr>
                <w:sdtEndPr/>
                <w:sdtContent>
                  <w:p w14:paraId="7CC193DE"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128"/>
                        <w:id w:val="507341266"/>
                      </w:sdtPr>
                      <w:sdtEndPr/>
                      <w:sdtContent>
                        <w:r w:rsidR="00674527">
                          <w:rPr>
                            <w:rFonts w:asciiTheme="minorHAnsi" w:hAnsiTheme="minorHAnsi" w:cstheme="minorHAnsi"/>
                            <w:color w:val="000000"/>
                            <w:sz w:val="22"/>
                            <w:szCs w:val="22"/>
                          </w:rPr>
                          <w:t xml:space="preserve">GRID </w:t>
                        </w:r>
                        <w:proofErr w:type="spellStart"/>
                        <w:r w:rsidR="00674527">
                          <w:rPr>
                            <w:rFonts w:asciiTheme="minorHAnsi" w:hAnsiTheme="minorHAnsi" w:cstheme="minorHAnsi"/>
                            <w:color w:val="000000"/>
                            <w:sz w:val="22"/>
                            <w:szCs w:val="22"/>
                          </w:rPr>
                          <w:t>Arendal</w:t>
                        </w:r>
                        <w:proofErr w:type="spellEnd"/>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35"/>
                  <w:id w:val="2041238957"/>
                </w:sdtPr>
                <w:sdtEndPr/>
                <w:sdtContent>
                  <w:p w14:paraId="29529A8B"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134"/>
                        <w:id w:val="418682746"/>
                      </w:sdtPr>
                      <w:sdtEndPr/>
                      <w:sdtContent>
                        <w:r w:rsidR="00674527">
                          <w:rPr>
                            <w:rFonts w:asciiTheme="minorHAnsi" w:hAnsiTheme="minorHAnsi" w:cstheme="minorHAnsi"/>
                            <w:sz w:val="22"/>
                            <w:szCs w:val="22"/>
                          </w:rPr>
                          <w:t>USD 488,000</w:t>
                        </w:r>
                      </w:sdtContent>
                    </w:sdt>
                  </w:p>
                </w:sdtContent>
              </w:sdt>
            </w:tc>
          </w:tr>
        </w:sdtContent>
      </w:sdt>
      <w:sdt>
        <w:sdtPr>
          <w:rPr>
            <w:rFonts w:asciiTheme="minorHAnsi" w:hAnsiTheme="minorHAnsi" w:cstheme="minorHAnsi"/>
            <w:sz w:val="22"/>
            <w:szCs w:val="22"/>
          </w:rPr>
          <w:tag w:val="goog_rdk_140"/>
          <w:id w:val="170768648"/>
        </w:sdtPr>
        <w:sdtEndPr/>
        <w:sdtContent>
          <w:tr w:rsidR="00674527" w14:paraId="7D14FB6F"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42"/>
                  <w:id w:val="1335499366"/>
                </w:sdtPr>
                <w:sdtEndPr/>
                <w:sdtContent>
                  <w:p w14:paraId="48B9E04B"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141"/>
                        <w:id w:val="1500078361"/>
                      </w:sdtPr>
                      <w:sdtEndPr/>
                      <w:sdtContent>
                        <w:r w:rsidR="00674527">
                          <w:rPr>
                            <w:rFonts w:asciiTheme="minorHAnsi" w:hAnsiTheme="minorHAnsi" w:cstheme="minorHAnsi"/>
                            <w:color w:val="000000"/>
                            <w:sz w:val="22"/>
                            <w:szCs w:val="22"/>
                          </w:rPr>
                          <w:t>REV Ocean</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48"/>
                  <w:id w:val="169762027"/>
                </w:sdtPr>
                <w:sdtEndPr/>
                <w:sdtContent>
                  <w:p w14:paraId="1DDE8805"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147"/>
                        <w:id w:val="-130399385"/>
                      </w:sdtPr>
                      <w:sdtEndPr/>
                      <w:sdtContent>
                        <w:r w:rsidR="00674527">
                          <w:rPr>
                            <w:rFonts w:asciiTheme="minorHAnsi" w:hAnsiTheme="minorHAnsi" w:cstheme="minorHAnsi"/>
                            <w:sz w:val="22"/>
                            <w:szCs w:val="22"/>
                          </w:rPr>
                          <w:t>USD 1,550,000</w:t>
                        </w:r>
                      </w:sdtContent>
                    </w:sdt>
                  </w:p>
                </w:sdtContent>
              </w:sdt>
            </w:tc>
          </w:tr>
        </w:sdtContent>
      </w:sdt>
      <w:sdt>
        <w:sdtPr>
          <w:rPr>
            <w:rFonts w:asciiTheme="minorHAnsi" w:hAnsiTheme="minorHAnsi" w:cstheme="minorHAnsi"/>
            <w:sz w:val="22"/>
            <w:szCs w:val="22"/>
          </w:rPr>
          <w:tag w:val="goog_rdk_153"/>
          <w:id w:val="340048543"/>
        </w:sdtPr>
        <w:sdtEndPr/>
        <w:sdtContent>
          <w:tr w:rsidR="00674527" w14:paraId="5C9E62EC"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55"/>
                  <w:id w:val="265350544"/>
                </w:sdtPr>
                <w:sdtEndPr/>
                <w:sdtContent>
                  <w:p w14:paraId="28FEC670" w14:textId="77777777" w:rsidR="00674527" w:rsidRDefault="00F57A55">
                    <w:pPr>
                      <w:spacing w:after="240"/>
                      <w:rPr>
                        <w:rFonts w:asciiTheme="minorHAnsi" w:hAnsiTheme="minorHAnsi" w:cstheme="minorHAnsi"/>
                        <w:color w:val="000000"/>
                        <w:sz w:val="22"/>
                        <w:szCs w:val="22"/>
                      </w:rPr>
                    </w:pPr>
                    <w:sdt>
                      <w:sdtPr>
                        <w:rPr>
                          <w:rFonts w:asciiTheme="minorHAnsi" w:hAnsiTheme="minorHAnsi" w:cstheme="minorHAnsi"/>
                          <w:sz w:val="22"/>
                          <w:szCs w:val="22"/>
                        </w:rPr>
                        <w:tag w:val="goog_rdk_154"/>
                        <w:id w:val="-1026097528"/>
                      </w:sdtPr>
                      <w:sdtEndPr/>
                      <w:sdtContent>
                        <w:r w:rsidR="00674527">
                          <w:rPr>
                            <w:rFonts w:asciiTheme="minorHAnsi" w:hAnsiTheme="minorHAnsi" w:cstheme="minorHAnsi"/>
                            <w:sz w:val="22"/>
                            <w:szCs w:val="22"/>
                          </w:rPr>
                          <w:t xml:space="preserve">Intergovernmental Hydrological </w:t>
                        </w:r>
                        <w:proofErr w:type="spellStart"/>
                        <w:r w:rsidR="00674527">
                          <w:rPr>
                            <w:rFonts w:asciiTheme="minorHAnsi" w:hAnsiTheme="minorHAnsi" w:cstheme="minorHAnsi"/>
                            <w:sz w:val="22"/>
                            <w:szCs w:val="22"/>
                          </w:rPr>
                          <w:t>Programme</w:t>
                        </w:r>
                        <w:proofErr w:type="spellEnd"/>
                        <w:r w:rsidR="00674527">
                          <w:rPr>
                            <w:rFonts w:asciiTheme="minorHAnsi" w:hAnsiTheme="minorHAnsi" w:cstheme="minorHAnsi"/>
                            <w:sz w:val="22"/>
                            <w:szCs w:val="22"/>
                          </w:rPr>
                          <w:t xml:space="preserve"> (</w:t>
                        </w:r>
                        <w:r w:rsidR="00674527">
                          <w:rPr>
                            <w:rFonts w:asciiTheme="minorHAnsi" w:hAnsiTheme="minorHAnsi" w:cstheme="minorHAnsi"/>
                            <w:color w:val="000000"/>
                            <w:sz w:val="22"/>
                            <w:szCs w:val="22"/>
                          </w:rPr>
                          <w:t>IHP) of UNESCO</w:t>
                        </w:r>
                      </w:sdtContent>
                    </w:sdt>
                  </w:p>
                </w:sdtContent>
              </w:sdt>
            </w:tc>
            <w:tc>
              <w:tcPr>
                <w:tcW w:w="4770" w:type="dxa"/>
                <w:gridSpan w:val="3"/>
                <w:tcBorders>
                  <w:top w:val="single" w:sz="4" w:space="0" w:color="000000"/>
                  <w:left w:val="single" w:sz="4" w:space="0" w:color="000000"/>
                  <w:bottom w:val="single" w:sz="4" w:space="0" w:color="000000"/>
                  <w:right w:val="single" w:sz="4" w:space="0" w:color="000000"/>
                </w:tcBorders>
                <w:hideMark/>
              </w:tcPr>
              <w:sdt>
                <w:sdtPr>
                  <w:rPr>
                    <w:rFonts w:asciiTheme="minorHAnsi" w:hAnsiTheme="minorHAnsi" w:cstheme="minorHAnsi"/>
                    <w:sz w:val="22"/>
                    <w:szCs w:val="22"/>
                  </w:rPr>
                  <w:tag w:val="goog_rdk_161"/>
                  <w:id w:val="-26951767"/>
                </w:sdtPr>
                <w:sdtEndPr/>
                <w:sdtContent>
                  <w:p w14:paraId="510F8CEE" w14:textId="77777777" w:rsidR="00674527" w:rsidRDefault="00F57A55">
                    <w:pPr>
                      <w:spacing w:after="240"/>
                      <w:rPr>
                        <w:rFonts w:asciiTheme="minorHAnsi" w:hAnsiTheme="minorHAnsi" w:cstheme="minorHAnsi"/>
                        <w:sz w:val="22"/>
                        <w:szCs w:val="22"/>
                      </w:rPr>
                    </w:pPr>
                    <w:sdt>
                      <w:sdtPr>
                        <w:rPr>
                          <w:rFonts w:asciiTheme="minorHAnsi" w:hAnsiTheme="minorHAnsi" w:cstheme="minorHAnsi"/>
                          <w:sz w:val="22"/>
                          <w:szCs w:val="22"/>
                        </w:rPr>
                        <w:tag w:val="goog_rdk_160"/>
                        <w:id w:val="639154401"/>
                      </w:sdtPr>
                      <w:sdtEndPr/>
                      <w:sdtContent>
                        <w:r w:rsidR="00674527">
                          <w:rPr>
                            <w:rFonts w:asciiTheme="minorHAnsi" w:hAnsiTheme="minorHAnsi" w:cstheme="minorHAnsi"/>
                            <w:sz w:val="22"/>
                            <w:szCs w:val="22"/>
                          </w:rPr>
                          <w:t>USD 600,000</w:t>
                        </w:r>
                      </w:sdtContent>
                    </w:sdt>
                  </w:p>
                </w:sdtContent>
              </w:sdt>
            </w:tc>
          </w:tr>
        </w:sdtContent>
      </w:sdt>
      <w:tr w:rsidR="00674527" w14:paraId="4F673C33"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4345D71E"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World Wildlife Fund United States (WWF-US)</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695A7C80" w14:textId="77777777" w:rsidR="00674527" w:rsidRDefault="00674527">
            <w:pPr>
              <w:spacing w:after="240"/>
              <w:rPr>
                <w:rFonts w:asciiTheme="minorHAnsi" w:hAnsiTheme="minorHAnsi" w:cstheme="minorHAnsi"/>
                <w:sz w:val="22"/>
                <w:szCs w:val="22"/>
              </w:rPr>
            </w:pPr>
            <w:r>
              <w:rPr>
                <w:rFonts w:asciiTheme="minorHAnsi" w:hAnsiTheme="minorHAnsi" w:cstheme="minorHAnsi"/>
                <w:sz w:val="22"/>
                <w:szCs w:val="22"/>
              </w:rPr>
              <w:t>USD 115,000</w:t>
            </w:r>
          </w:p>
        </w:tc>
      </w:tr>
      <w:tr w:rsidR="00674527" w14:paraId="1D60452C"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467D5A7A" w14:textId="77777777" w:rsidR="00674527" w:rsidRDefault="00674527">
            <w:pPr>
              <w:spacing w:after="240"/>
              <w:rPr>
                <w:rFonts w:asciiTheme="minorHAnsi" w:hAnsiTheme="minorHAnsi" w:cstheme="minorHAnsi"/>
                <w:sz w:val="22"/>
                <w:szCs w:val="22"/>
                <w:lang w:val="hr-HR"/>
              </w:rPr>
            </w:pPr>
            <w:r>
              <w:rPr>
                <w:rFonts w:asciiTheme="minorHAnsi" w:hAnsiTheme="minorHAnsi" w:cstheme="minorHAnsi"/>
                <w:sz w:val="22"/>
                <w:szCs w:val="22"/>
                <w:lang w:val="hr-HR"/>
              </w:rPr>
              <w:t xml:space="preserve">University </w:t>
            </w:r>
            <w:r>
              <w:rPr>
                <w:rFonts w:asciiTheme="minorHAnsi" w:hAnsiTheme="minorHAnsi" w:cstheme="minorHAnsi"/>
                <w:sz w:val="22"/>
                <w:szCs w:val="22"/>
                <w:lang w:val="en-GB"/>
              </w:rPr>
              <w:t>of New South Wales (UNSW</w:t>
            </w:r>
            <w:r>
              <w:rPr>
                <w:rFonts w:asciiTheme="minorHAnsi" w:hAnsiTheme="minorHAnsi" w:cstheme="minorHAnsi"/>
                <w:sz w:val="22"/>
                <w:szCs w:val="22"/>
                <w:lang w:val="hr-HR"/>
              </w:rPr>
              <w:t>) Global Water Institute (GWI)</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5204CE04" w14:textId="77777777" w:rsidR="00674527" w:rsidRDefault="00674527">
            <w:pPr>
              <w:spacing w:after="240"/>
              <w:rPr>
                <w:rFonts w:asciiTheme="minorHAnsi" w:hAnsiTheme="minorHAnsi" w:cstheme="minorHAnsi"/>
                <w:sz w:val="22"/>
                <w:szCs w:val="22"/>
                <w:lang w:val="hr-HR"/>
              </w:rPr>
            </w:pPr>
            <w:r>
              <w:rPr>
                <w:rFonts w:asciiTheme="minorHAnsi" w:hAnsiTheme="minorHAnsi" w:cstheme="minorHAnsi"/>
                <w:sz w:val="22"/>
                <w:szCs w:val="22"/>
                <w:lang w:val="hr-HR"/>
              </w:rPr>
              <w:t>USD 1,250,000</w:t>
            </w:r>
          </w:p>
        </w:tc>
      </w:tr>
      <w:tr w:rsidR="00674527" w14:paraId="59BD06E9" w14:textId="77777777" w:rsidTr="00674527">
        <w:tc>
          <w:tcPr>
            <w:tcW w:w="4585" w:type="dxa"/>
            <w:gridSpan w:val="3"/>
            <w:tcBorders>
              <w:top w:val="single" w:sz="4" w:space="0" w:color="000000"/>
              <w:left w:val="single" w:sz="4" w:space="0" w:color="000000"/>
              <w:bottom w:val="single" w:sz="4" w:space="0" w:color="000000"/>
              <w:right w:val="single" w:sz="4" w:space="0" w:color="000000"/>
            </w:tcBorders>
            <w:hideMark/>
          </w:tcPr>
          <w:p w14:paraId="114A7B09" w14:textId="77777777" w:rsidR="00674527" w:rsidRDefault="00674527" w:rsidP="00CF4E25">
            <w:pPr>
              <w:numPr>
                <w:ilvl w:val="0"/>
                <w:numId w:val="3"/>
              </w:numPr>
              <w:spacing w:after="240"/>
              <w:rPr>
                <w:rFonts w:asciiTheme="minorHAnsi" w:hAnsiTheme="minorHAnsi" w:cstheme="minorHAnsi"/>
                <w:b/>
                <w:color w:val="000000"/>
                <w:sz w:val="22"/>
                <w:szCs w:val="22"/>
              </w:rPr>
            </w:pPr>
            <w:r>
              <w:rPr>
                <w:rFonts w:asciiTheme="minorHAnsi" w:hAnsiTheme="minorHAnsi" w:cstheme="minorHAnsi"/>
                <w:b/>
                <w:color w:val="000000"/>
                <w:sz w:val="22"/>
                <w:szCs w:val="22"/>
              </w:rPr>
              <w:t>Total confirmed co-financing</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715EB7C5" w14:textId="77777777" w:rsidR="00674527" w:rsidRDefault="00F57A55">
            <w:pPr>
              <w:spacing w:after="240"/>
              <w:rPr>
                <w:rFonts w:asciiTheme="minorHAnsi" w:hAnsiTheme="minorHAnsi" w:cstheme="minorHAnsi"/>
                <w:b/>
                <w:sz w:val="22"/>
                <w:szCs w:val="22"/>
              </w:rPr>
            </w:pPr>
            <w:sdt>
              <w:sdtPr>
                <w:rPr>
                  <w:rFonts w:asciiTheme="minorHAnsi" w:hAnsiTheme="minorHAnsi" w:cstheme="minorHAnsi"/>
                  <w:sz w:val="22"/>
                  <w:szCs w:val="22"/>
                </w:rPr>
                <w:tag w:val="goog_rdk_167"/>
                <w:id w:val="-614515307"/>
              </w:sdtPr>
              <w:sdtEndPr/>
              <w:sdtContent>
                <w:r w:rsidR="00674527">
                  <w:rPr>
                    <w:rFonts w:asciiTheme="minorHAnsi" w:hAnsiTheme="minorHAnsi" w:cstheme="minorHAnsi"/>
                    <w:b/>
                    <w:sz w:val="22"/>
                    <w:szCs w:val="22"/>
                  </w:rPr>
                  <w:t xml:space="preserve">USD </w:t>
                </w:r>
                <w:r w:rsidR="00674527">
                  <w:rPr>
                    <w:rFonts w:asciiTheme="minorHAnsi" w:hAnsiTheme="minorHAnsi" w:cstheme="minorHAnsi"/>
                    <w:b/>
                    <w:sz w:val="22"/>
                    <w:szCs w:val="22"/>
                    <w:lang w:val="hr-HR"/>
                  </w:rPr>
                  <w:t>14,693,096</w:t>
                </w:r>
              </w:sdtContent>
            </w:sdt>
            <w:sdt>
              <w:sdtPr>
                <w:rPr>
                  <w:rFonts w:asciiTheme="minorHAnsi" w:hAnsiTheme="minorHAnsi" w:cstheme="minorHAnsi"/>
                  <w:sz w:val="22"/>
                  <w:szCs w:val="22"/>
                </w:rPr>
                <w:tag w:val="goog_rdk_168"/>
                <w:id w:val="-1097630588"/>
                <w:showingPlcHdr/>
              </w:sdtPr>
              <w:sdtEndPr/>
              <w:sdtContent>
                <w:r w:rsidR="00674527">
                  <w:rPr>
                    <w:rFonts w:asciiTheme="minorHAnsi" w:hAnsiTheme="minorHAnsi" w:cstheme="minorHAnsi"/>
                    <w:sz w:val="22"/>
                    <w:szCs w:val="22"/>
                  </w:rPr>
                  <w:t xml:space="preserve">     </w:t>
                </w:r>
              </w:sdtContent>
            </w:sdt>
          </w:p>
        </w:tc>
      </w:tr>
      <w:tr w:rsidR="00674527" w14:paraId="1A8F41F8" w14:textId="77777777" w:rsidTr="00674527">
        <w:trPr>
          <w:trHeight w:val="415"/>
        </w:trPr>
        <w:tc>
          <w:tcPr>
            <w:tcW w:w="4585" w:type="dxa"/>
            <w:gridSpan w:val="3"/>
            <w:tcBorders>
              <w:top w:val="single" w:sz="4" w:space="0" w:color="000000"/>
              <w:left w:val="single" w:sz="4" w:space="0" w:color="000000"/>
              <w:bottom w:val="single" w:sz="4" w:space="0" w:color="000000"/>
              <w:right w:val="single" w:sz="4" w:space="0" w:color="000000"/>
            </w:tcBorders>
            <w:hideMark/>
          </w:tcPr>
          <w:p w14:paraId="43BF0CB5" w14:textId="77777777" w:rsidR="00674527" w:rsidRDefault="00674527" w:rsidP="00CF4E25">
            <w:pPr>
              <w:numPr>
                <w:ilvl w:val="0"/>
                <w:numId w:val="3"/>
              </w:numPr>
              <w:spacing w:after="240"/>
              <w:rPr>
                <w:rFonts w:asciiTheme="minorHAnsi" w:hAnsiTheme="minorHAnsi" w:cstheme="minorHAnsi"/>
                <w:b/>
                <w:color w:val="000000"/>
                <w:sz w:val="22"/>
                <w:szCs w:val="22"/>
              </w:rPr>
            </w:pPr>
            <w:r>
              <w:rPr>
                <w:rFonts w:asciiTheme="minorHAnsi" w:hAnsiTheme="minorHAnsi" w:cstheme="minorHAnsi"/>
                <w:b/>
                <w:color w:val="000000"/>
                <w:sz w:val="22"/>
                <w:szCs w:val="22"/>
              </w:rPr>
              <w:t>Grand-Total Project Financing (1)+(2)</w:t>
            </w:r>
          </w:p>
        </w:tc>
        <w:tc>
          <w:tcPr>
            <w:tcW w:w="4770" w:type="dxa"/>
            <w:gridSpan w:val="3"/>
            <w:tcBorders>
              <w:top w:val="single" w:sz="4" w:space="0" w:color="000000"/>
              <w:left w:val="single" w:sz="4" w:space="0" w:color="000000"/>
              <w:bottom w:val="single" w:sz="4" w:space="0" w:color="000000"/>
              <w:right w:val="single" w:sz="4" w:space="0" w:color="000000"/>
            </w:tcBorders>
            <w:hideMark/>
          </w:tcPr>
          <w:p w14:paraId="13576375" w14:textId="77777777" w:rsidR="00674527" w:rsidRDefault="00674527">
            <w:pPr>
              <w:spacing w:after="240"/>
              <w:rPr>
                <w:rFonts w:asciiTheme="minorHAnsi" w:hAnsiTheme="minorHAnsi" w:cstheme="minorHAnsi"/>
                <w:b/>
                <w:bCs/>
                <w:sz w:val="22"/>
                <w:szCs w:val="22"/>
              </w:rPr>
            </w:pPr>
            <w:r>
              <w:rPr>
                <w:rFonts w:asciiTheme="minorHAnsi" w:hAnsiTheme="minorHAnsi" w:cstheme="minorHAnsi"/>
                <w:b/>
                <w:bCs/>
                <w:sz w:val="22"/>
                <w:szCs w:val="22"/>
              </w:rPr>
              <w:t>USD 20,671,796</w:t>
            </w:r>
          </w:p>
        </w:tc>
      </w:tr>
      <w:tr w:rsidR="00674527" w14:paraId="002E9D16" w14:textId="77777777" w:rsidTr="00674527">
        <w:tc>
          <w:tcPr>
            <w:tcW w:w="9355" w:type="dxa"/>
            <w:gridSpan w:val="6"/>
            <w:tcBorders>
              <w:top w:val="single" w:sz="4" w:space="0" w:color="000000"/>
              <w:left w:val="single" w:sz="4" w:space="0" w:color="000000"/>
              <w:bottom w:val="single" w:sz="4" w:space="0" w:color="000000"/>
              <w:right w:val="single" w:sz="4" w:space="0" w:color="000000"/>
            </w:tcBorders>
            <w:shd w:val="clear" w:color="auto" w:fill="BFBFBF"/>
            <w:hideMark/>
          </w:tcPr>
          <w:p w14:paraId="04E27EFF" w14:textId="77777777" w:rsidR="00674527" w:rsidRDefault="00674527">
            <w:pPr>
              <w:spacing w:after="240"/>
              <w:rPr>
                <w:rFonts w:asciiTheme="minorHAnsi" w:hAnsiTheme="minorHAnsi" w:cstheme="minorHAnsi"/>
                <w:b/>
                <w:smallCaps/>
                <w:sz w:val="22"/>
                <w:szCs w:val="22"/>
              </w:rPr>
            </w:pPr>
            <w:r>
              <w:rPr>
                <w:rFonts w:asciiTheme="minorHAnsi" w:hAnsiTheme="minorHAnsi" w:cstheme="minorHAnsi"/>
                <w:b/>
                <w:smallCaps/>
                <w:sz w:val="22"/>
                <w:szCs w:val="22"/>
              </w:rPr>
              <w:t xml:space="preserve">Signatures: </w:t>
            </w:r>
          </w:p>
        </w:tc>
      </w:tr>
      <w:tr w:rsidR="00674527" w:rsidRPr="00674527" w14:paraId="5B28B593" w14:textId="77777777" w:rsidTr="00674527">
        <w:tc>
          <w:tcPr>
            <w:tcW w:w="4135" w:type="dxa"/>
            <w:gridSpan w:val="2"/>
            <w:tcBorders>
              <w:top w:val="single" w:sz="4" w:space="0" w:color="000000"/>
              <w:left w:val="single" w:sz="4" w:space="0" w:color="000000"/>
              <w:bottom w:val="single" w:sz="4" w:space="0" w:color="000000"/>
              <w:right w:val="single" w:sz="4" w:space="0" w:color="000000"/>
            </w:tcBorders>
          </w:tcPr>
          <w:p w14:paraId="174CFB0F" w14:textId="77777777" w:rsidR="00674527" w:rsidRDefault="00674527">
            <w:pPr>
              <w:spacing w:after="240"/>
              <w:rPr>
                <w:rFonts w:asciiTheme="minorHAnsi" w:hAnsiTheme="minorHAnsi" w:cstheme="minorHAnsi"/>
                <w:sz w:val="22"/>
                <w:szCs w:val="22"/>
              </w:rPr>
            </w:pPr>
            <w:r>
              <w:rPr>
                <w:rFonts w:asciiTheme="minorHAnsi" w:hAnsiTheme="minorHAnsi" w:cstheme="minorHAnsi"/>
                <w:b/>
                <w:sz w:val="22"/>
                <w:szCs w:val="22"/>
              </w:rPr>
              <w:t xml:space="preserve">Signature:  </w:t>
            </w:r>
            <w:r>
              <w:rPr>
                <w:rFonts w:asciiTheme="minorHAnsi" w:hAnsiTheme="minorHAnsi" w:cstheme="minorHAnsi"/>
                <w:sz w:val="22"/>
                <w:szCs w:val="22"/>
              </w:rPr>
              <w:t>print name below</w:t>
            </w:r>
          </w:p>
          <w:p w14:paraId="7F482C6A" w14:textId="77777777" w:rsidR="00674527" w:rsidRDefault="00674527">
            <w:pPr>
              <w:spacing w:after="240"/>
              <w:rPr>
                <w:rFonts w:asciiTheme="minorHAnsi" w:hAnsiTheme="minorHAnsi" w:cstheme="minorHAnsi"/>
                <w:b/>
                <w:sz w:val="22"/>
                <w:szCs w:val="22"/>
              </w:rPr>
            </w:pP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0EDCCF09"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Agreed by </w:t>
            </w:r>
          </w:p>
          <w:p w14:paraId="47FF40F2"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UNESCO</w:t>
            </w:r>
          </w:p>
        </w:tc>
        <w:tc>
          <w:tcPr>
            <w:tcW w:w="3600" w:type="dxa"/>
            <w:gridSpan w:val="2"/>
            <w:tcBorders>
              <w:top w:val="single" w:sz="4" w:space="0" w:color="000000"/>
              <w:left w:val="single" w:sz="4" w:space="0" w:color="000000"/>
              <w:bottom w:val="single" w:sz="4" w:space="0" w:color="000000"/>
              <w:right w:val="single" w:sz="4" w:space="0" w:color="000000"/>
            </w:tcBorders>
          </w:tcPr>
          <w:p w14:paraId="266B51FE" w14:textId="77777777" w:rsidR="00674527" w:rsidRDefault="00674527">
            <w:pPr>
              <w:spacing w:after="240"/>
              <w:rPr>
                <w:rFonts w:asciiTheme="minorHAnsi" w:hAnsiTheme="minorHAnsi" w:cstheme="minorHAnsi"/>
                <w:b/>
                <w:i/>
                <w:sz w:val="22"/>
                <w:szCs w:val="22"/>
              </w:rPr>
            </w:pPr>
            <w:r>
              <w:rPr>
                <w:rFonts w:asciiTheme="minorHAnsi" w:hAnsiTheme="minorHAnsi" w:cstheme="minorHAnsi"/>
                <w:b/>
                <w:sz w:val="22"/>
                <w:szCs w:val="22"/>
              </w:rPr>
              <w:t>Date/Month/Year:</w:t>
            </w:r>
            <w:r>
              <w:rPr>
                <w:rFonts w:asciiTheme="minorHAnsi" w:hAnsiTheme="minorHAnsi" w:cstheme="minorHAnsi"/>
                <w:sz w:val="22"/>
                <w:szCs w:val="22"/>
              </w:rPr>
              <w:t xml:space="preserve"> </w:t>
            </w:r>
            <w:r>
              <w:rPr>
                <w:rFonts w:asciiTheme="minorHAnsi" w:hAnsiTheme="minorHAnsi" w:cstheme="minorHAnsi"/>
                <w:i/>
                <w:sz w:val="22"/>
                <w:szCs w:val="22"/>
              </w:rPr>
              <w:t>within 25 days of GEF CEO endorsement</w:t>
            </w:r>
          </w:p>
          <w:p w14:paraId="7E353B16" w14:textId="77777777" w:rsidR="00674527" w:rsidRDefault="00674527">
            <w:pPr>
              <w:spacing w:after="240"/>
              <w:rPr>
                <w:rFonts w:asciiTheme="minorHAnsi" w:hAnsiTheme="minorHAnsi" w:cstheme="minorHAnsi"/>
                <w:sz w:val="22"/>
                <w:szCs w:val="22"/>
              </w:rPr>
            </w:pPr>
          </w:p>
        </w:tc>
      </w:tr>
      <w:tr w:rsidR="00674527" w:rsidRPr="00674527" w14:paraId="27806EB5" w14:textId="77777777" w:rsidTr="00674527">
        <w:trPr>
          <w:trHeight w:val="1222"/>
        </w:trPr>
        <w:tc>
          <w:tcPr>
            <w:tcW w:w="4135" w:type="dxa"/>
            <w:gridSpan w:val="2"/>
            <w:tcBorders>
              <w:top w:val="single" w:sz="4" w:space="0" w:color="000000"/>
              <w:left w:val="single" w:sz="4" w:space="0" w:color="000000"/>
              <w:bottom w:val="single" w:sz="4" w:space="0" w:color="000000"/>
              <w:right w:val="single" w:sz="4" w:space="0" w:color="000000"/>
            </w:tcBorders>
          </w:tcPr>
          <w:p w14:paraId="43CAA889"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Signature: </w:t>
            </w:r>
          </w:p>
          <w:p w14:paraId="50B06B55" w14:textId="77777777" w:rsidR="00674527" w:rsidRDefault="00674527">
            <w:pPr>
              <w:spacing w:after="240"/>
              <w:rPr>
                <w:rFonts w:asciiTheme="minorHAnsi" w:hAnsiTheme="minorHAnsi" w:cstheme="minorHAnsi"/>
                <w:b/>
                <w:sz w:val="22"/>
                <w:szCs w:val="22"/>
              </w:rPr>
            </w:pPr>
          </w:p>
          <w:p w14:paraId="1B12745F" w14:textId="77777777" w:rsidR="00674527" w:rsidRDefault="00674527">
            <w:pPr>
              <w:rPr>
                <w:rFonts w:asciiTheme="minorHAnsi" w:hAnsiTheme="minorHAnsi" w:cstheme="minorHAnsi"/>
                <w:sz w:val="22"/>
                <w:szCs w:val="22"/>
              </w:rPr>
            </w:pPr>
            <w:r>
              <w:rPr>
                <w:rFonts w:asciiTheme="minorHAnsi" w:hAnsiTheme="minorHAnsi" w:cstheme="minorHAnsi"/>
                <w:b/>
                <w:sz w:val="22"/>
                <w:szCs w:val="22"/>
              </w:rPr>
              <w:t xml:space="preserve"> </w:t>
            </w:r>
            <w:r>
              <w:rPr>
                <w:rFonts w:asciiTheme="minorHAnsi" w:hAnsiTheme="minorHAnsi" w:cstheme="minorHAnsi"/>
                <w:sz w:val="22"/>
                <w:szCs w:val="22"/>
              </w:rPr>
              <w:t xml:space="preserve">Pradeep </w:t>
            </w:r>
            <w:proofErr w:type="spellStart"/>
            <w:r>
              <w:rPr>
                <w:rFonts w:asciiTheme="minorHAnsi" w:hAnsiTheme="minorHAnsi" w:cstheme="minorHAnsi"/>
                <w:sz w:val="22"/>
                <w:szCs w:val="22"/>
              </w:rPr>
              <w:t>Kurukulasuriya</w:t>
            </w:r>
            <w:proofErr w:type="spellEnd"/>
          </w:p>
          <w:p w14:paraId="2E0727D8" w14:textId="77777777" w:rsidR="00674527" w:rsidRDefault="00674527">
            <w:pPr>
              <w:rPr>
                <w:rFonts w:asciiTheme="minorHAnsi" w:hAnsiTheme="minorHAnsi" w:cstheme="minorHAnsi"/>
                <w:sz w:val="22"/>
                <w:szCs w:val="22"/>
              </w:rPr>
            </w:pPr>
            <w:r>
              <w:rPr>
                <w:rFonts w:asciiTheme="minorHAnsi" w:hAnsiTheme="minorHAnsi" w:cstheme="minorHAnsi"/>
                <w:sz w:val="22"/>
                <w:szCs w:val="22"/>
              </w:rPr>
              <w:t>Director, Nature, Climate and Energy</w:t>
            </w:r>
          </w:p>
          <w:p w14:paraId="6390604F" w14:textId="77777777" w:rsidR="00674527" w:rsidRDefault="00674527">
            <w:pPr>
              <w:rPr>
                <w:rFonts w:asciiTheme="minorHAnsi" w:hAnsiTheme="minorHAnsi" w:cstheme="minorHAnsi"/>
                <w:sz w:val="22"/>
                <w:szCs w:val="22"/>
              </w:rPr>
            </w:pPr>
            <w:r>
              <w:rPr>
                <w:rFonts w:asciiTheme="minorHAnsi" w:hAnsiTheme="minorHAnsi" w:cstheme="minorHAnsi"/>
                <w:sz w:val="22"/>
                <w:szCs w:val="22"/>
              </w:rPr>
              <w:t>Executive Coordinator Environmental Finance</w:t>
            </w:r>
          </w:p>
          <w:p w14:paraId="34CBA48C" w14:textId="77777777" w:rsidR="00674527" w:rsidRDefault="00674527">
            <w:pPr>
              <w:rPr>
                <w:rFonts w:asciiTheme="minorHAnsi" w:hAnsiTheme="minorHAnsi" w:cstheme="minorHAnsi"/>
                <w:sz w:val="22"/>
                <w:szCs w:val="22"/>
              </w:rPr>
            </w:pPr>
            <w:r>
              <w:rPr>
                <w:rFonts w:asciiTheme="minorHAnsi" w:hAnsiTheme="minorHAnsi" w:cstheme="minorHAnsi"/>
                <w:sz w:val="22"/>
                <w:szCs w:val="22"/>
              </w:rPr>
              <w:t xml:space="preserve">Bureau for Policy and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(BPPS)/Global Policy Network</w:t>
            </w:r>
          </w:p>
          <w:p w14:paraId="03744D47" w14:textId="77777777" w:rsidR="00674527" w:rsidRDefault="00674527">
            <w:pPr>
              <w:rPr>
                <w:rFonts w:asciiTheme="minorHAnsi" w:hAnsiTheme="minorHAnsi" w:cstheme="minorHAnsi"/>
                <w:sz w:val="22"/>
                <w:szCs w:val="22"/>
              </w:rPr>
            </w:pPr>
            <w:r>
              <w:rPr>
                <w:rFonts w:asciiTheme="minorHAnsi" w:hAnsiTheme="minorHAnsi" w:cstheme="minorHAnsi"/>
                <w:sz w:val="22"/>
                <w:szCs w:val="22"/>
              </w:rPr>
              <w:t xml:space="preserve">United Nations Development </w:t>
            </w:r>
            <w:proofErr w:type="spellStart"/>
            <w:r>
              <w:rPr>
                <w:rFonts w:asciiTheme="minorHAnsi" w:hAnsiTheme="minorHAnsi" w:cstheme="minorHAnsi"/>
                <w:sz w:val="22"/>
                <w:szCs w:val="22"/>
              </w:rPr>
              <w:t>Programme</w:t>
            </w:r>
            <w:proofErr w:type="spellEnd"/>
          </w:p>
          <w:p w14:paraId="1FC55C09" w14:textId="77777777" w:rsidR="00674527" w:rsidRDefault="00674527">
            <w:pPr>
              <w:spacing w:after="240"/>
              <w:rPr>
                <w:rFonts w:asciiTheme="minorHAnsi" w:hAnsiTheme="minorHAnsi" w:cstheme="minorHAnsi"/>
                <w:b/>
                <w:sz w:val="22"/>
                <w:szCs w:val="22"/>
              </w:rPr>
            </w:pPr>
          </w:p>
        </w:tc>
        <w:tc>
          <w:tcPr>
            <w:tcW w:w="1620" w:type="dxa"/>
            <w:gridSpan w:val="2"/>
            <w:tcBorders>
              <w:top w:val="single" w:sz="4" w:space="0" w:color="000000"/>
              <w:left w:val="single" w:sz="4" w:space="0" w:color="000000"/>
              <w:bottom w:val="single" w:sz="4" w:space="0" w:color="000000"/>
              <w:right w:val="single" w:sz="4" w:space="0" w:color="000000"/>
            </w:tcBorders>
            <w:hideMark/>
          </w:tcPr>
          <w:p w14:paraId="7168846E"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 xml:space="preserve">Agreed by </w:t>
            </w:r>
          </w:p>
          <w:p w14:paraId="51AD74E2"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UNDP</w:t>
            </w:r>
          </w:p>
        </w:tc>
        <w:tc>
          <w:tcPr>
            <w:tcW w:w="3600" w:type="dxa"/>
            <w:gridSpan w:val="2"/>
            <w:tcBorders>
              <w:top w:val="single" w:sz="4" w:space="0" w:color="000000"/>
              <w:left w:val="single" w:sz="4" w:space="0" w:color="000000"/>
              <w:bottom w:val="single" w:sz="4" w:space="0" w:color="000000"/>
              <w:right w:val="single" w:sz="4" w:space="0" w:color="000000"/>
            </w:tcBorders>
            <w:hideMark/>
          </w:tcPr>
          <w:p w14:paraId="0669E4F0" w14:textId="77777777" w:rsidR="00674527" w:rsidRDefault="00674527">
            <w:pPr>
              <w:spacing w:after="240"/>
              <w:rPr>
                <w:rFonts w:asciiTheme="minorHAnsi" w:hAnsiTheme="minorHAnsi" w:cstheme="minorHAnsi"/>
                <w:b/>
                <w:sz w:val="22"/>
                <w:szCs w:val="22"/>
              </w:rPr>
            </w:pPr>
            <w:r>
              <w:rPr>
                <w:rFonts w:asciiTheme="minorHAnsi" w:hAnsiTheme="minorHAnsi" w:cstheme="minorHAnsi"/>
                <w:b/>
                <w:sz w:val="22"/>
                <w:szCs w:val="22"/>
              </w:rPr>
              <w:t>Date/Month/Year:</w:t>
            </w:r>
            <w:r>
              <w:rPr>
                <w:rFonts w:asciiTheme="minorHAnsi" w:hAnsiTheme="minorHAnsi" w:cstheme="minorHAnsi"/>
                <w:sz w:val="22"/>
                <w:szCs w:val="22"/>
              </w:rPr>
              <w:t xml:space="preserve"> </w:t>
            </w:r>
            <w:r>
              <w:rPr>
                <w:rFonts w:asciiTheme="minorHAnsi" w:hAnsiTheme="minorHAnsi" w:cstheme="minorHAnsi"/>
                <w:i/>
                <w:sz w:val="22"/>
                <w:szCs w:val="22"/>
              </w:rPr>
              <w:t>within 25 days of GEF CEO endorsement</w:t>
            </w:r>
          </w:p>
        </w:tc>
      </w:tr>
    </w:tbl>
    <w:p w14:paraId="7E759E97" w14:textId="1B567AD3" w:rsidR="0060142C" w:rsidRDefault="0060142C">
      <w:pPr>
        <w:spacing w:after="160" w:line="259" w:lineRule="auto"/>
        <w:rPr>
          <w:sz w:val="15"/>
          <w:szCs w:val="15"/>
        </w:rPr>
      </w:pPr>
    </w:p>
    <w:sdt>
      <w:sdtPr>
        <w:rPr>
          <w:rFonts w:ascii="Times New Roman" w:eastAsia="Times New Roman" w:hAnsi="Times New Roman"/>
          <w:b w:val="0"/>
          <w:bCs w:val="0"/>
          <w:color w:val="auto"/>
          <w:sz w:val="20"/>
          <w:szCs w:val="20"/>
          <w:lang w:eastAsia="en-GB"/>
        </w:rPr>
        <w:id w:val="-1279415103"/>
        <w:docPartObj>
          <w:docPartGallery w:val="Table of Contents"/>
          <w:docPartUnique/>
        </w:docPartObj>
      </w:sdtPr>
      <w:sdtEndPr/>
      <w:sdtContent>
        <w:p w14:paraId="54AC8C45" w14:textId="77777777" w:rsidR="0060142C" w:rsidRPr="0060142C" w:rsidRDefault="0060142C" w:rsidP="0060142C">
          <w:pPr>
            <w:pStyle w:val="TOCHeading"/>
            <w:rPr>
              <w:rFonts w:asciiTheme="minorHAnsi" w:hAnsiTheme="minorHAnsi" w:cstheme="minorHAnsi"/>
              <w:sz w:val="20"/>
              <w:szCs w:val="20"/>
            </w:rPr>
          </w:pPr>
          <w:r w:rsidRPr="0060142C">
            <w:rPr>
              <w:rFonts w:asciiTheme="minorHAnsi" w:hAnsiTheme="minorHAnsi" w:cstheme="minorHAnsi"/>
              <w:sz w:val="20"/>
              <w:szCs w:val="20"/>
            </w:rPr>
            <w:t>Table of Contents</w:t>
          </w:r>
        </w:p>
        <w:p w14:paraId="6CDAB0F8" w14:textId="2B87AABD" w:rsidR="004009B9" w:rsidRDefault="0060142C">
          <w:pPr>
            <w:pStyle w:val="TOC1"/>
            <w:tabs>
              <w:tab w:val="left" w:pos="400"/>
              <w:tab w:val="right" w:leader="dot" w:pos="9016"/>
            </w:tabs>
            <w:rPr>
              <w:rFonts w:eastAsiaTheme="minorEastAsia" w:cstheme="minorBidi"/>
              <w:b w:val="0"/>
              <w:bCs w:val="0"/>
              <w:caps w:val="0"/>
              <w:noProof/>
              <w:sz w:val="22"/>
              <w:szCs w:val="22"/>
              <w:lang w:val="fr-FR" w:eastAsia="zh-CN"/>
            </w:rPr>
          </w:pPr>
          <w:r>
            <w:rPr>
              <w:rFonts w:ascii="Times New Roman" w:hAnsi="Times New Roman" w:cs="Times New Roman"/>
              <w:b w:val="0"/>
              <w:bCs w:val="0"/>
            </w:rPr>
            <w:fldChar w:fldCharType="begin"/>
          </w:r>
          <w:r>
            <w:rPr>
              <w:rFonts w:ascii="Times New Roman" w:hAnsi="Times New Roman" w:cs="Times New Roman"/>
            </w:rPr>
            <w:instrText xml:space="preserve"> TOC \o "1-3" \h \z \u </w:instrText>
          </w:r>
          <w:r>
            <w:rPr>
              <w:rFonts w:ascii="Times New Roman" w:hAnsi="Times New Roman" w:cs="Times New Roman"/>
              <w:b w:val="0"/>
              <w:bCs w:val="0"/>
            </w:rPr>
            <w:fldChar w:fldCharType="separate"/>
          </w:r>
          <w:hyperlink w:anchor="_Toc115094367" w:history="1">
            <w:r w:rsidR="004009B9" w:rsidRPr="006F148B">
              <w:rPr>
                <w:rStyle w:val="Hyperlink"/>
                <w:rFonts w:ascii="Calibri" w:hAnsi="Calibri"/>
                <w:noProof/>
              </w:rPr>
              <w:t>I.</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Development Challenge</w:t>
            </w:r>
            <w:r w:rsidR="004009B9">
              <w:rPr>
                <w:noProof/>
                <w:webHidden/>
              </w:rPr>
              <w:tab/>
            </w:r>
            <w:r w:rsidR="004009B9">
              <w:rPr>
                <w:noProof/>
                <w:webHidden/>
              </w:rPr>
              <w:fldChar w:fldCharType="begin"/>
            </w:r>
            <w:r w:rsidR="004009B9">
              <w:rPr>
                <w:noProof/>
                <w:webHidden/>
              </w:rPr>
              <w:instrText xml:space="preserve"> PAGEREF _Toc115094367 \h </w:instrText>
            </w:r>
            <w:r w:rsidR="004009B9">
              <w:rPr>
                <w:noProof/>
                <w:webHidden/>
              </w:rPr>
            </w:r>
            <w:r w:rsidR="004009B9">
              <w:rPr>
                <w:noProof/>
                <w:webHidden/>
              </w:rPr>
              <w:fldChar w:fldCharType="separate"/>
            </w:r>
            <w:r w:rsidR="005555C2">
              <w:rPr>
                <w:noProof/>
                <w:webHidden/>
              </w:rPr>
              <w:t>7</w:t>
            </w:r>
            <w:r w:rsidR="004009B9">
              <w:rPr>
                <w:noProof/>
                <w:webHidden/>
              </w:rPr>
              <w:fldChar w:fldCharType="end"/>
            </w:r>
          </w:hyperlink>
        </w:p>
        <w:p w14:paraId="1CC41295" w14:textId="3E36BD9E" w:rsidR="004009B9" w:rsidRDefault="00F57A55">
          <w:pPr>
            <w:pStyle w:val="TOC1"/>
            <w:tabs>
              <w:tab w:val="left" w:pos="400"/>
              <w:tab w:val="right" w:leader="dot" w:pos="9016"/>
            </w:tabs>
            <w:rPr>
              <w:rFonts w:eastAsiaTheme="minorEastAsia" w:cstheme="minorBidi"/>
              <w:b w:val="0"/>
              <w:bCs w:val="0"/>
              <w:caps w:val="0"/>
              <w:noProof/>
              <w:sz w:val="22"/>
              <w:szCs w:val="22"/>
              <w:lang w:val="fr-FR" w:eastAsia="zh-CN"/>
            </w:rPr>
          </w:pPr>
          <w:hyperlink w:anchor="_Toc115094368" w:history="1">
            <w:r w:rsidR="004009B9" w:rsidRPr="006F148B">
              <w:rPr>
                <w:rStyle w:val="Hyperlink"/>
                <w:noProof/>
              </w:rPr>
              <w:t>II.</w:t>
            </w:r>
            <w:r w:rsidR="004009B9">
              <w:rPr>
                <w:rFonts w:eastAsiaTheme="minorEastAsia" w:cstheme="minorBidi"/>
                <w:b w:val="0"/>
                <w:bCs w:val="0"/>
                <w:caps w:val="0"/>
                <w:noProof/>
                <w:sz w:val="22"/>
                <w:szCs w:val="22"/>
                <w:lang w:val="fr-FR" w:eastAsia="zh-CN"/>
              </w:rPr>
              <w:tab/>
            </w:r>
            <w:r w:rsidR="004009B9" w:rsidRPr="006F148B">
              <w:rPr>
                <w:rStyle w:val="Hyperlink"/>
                <w:noProof/>
              </w:rPr>
              <w:t>Strategy</w:t>
            </w:r>
            <w:r w:rsidR="004009B9">
              <w:rPr>
                <w:noProof/>
                <w:webHidden/>
              </w:rPr>
              <w:tab/>
            </w:r>
            <w:r w:rsidR="004009B9">
              <w:rPr>
                <w:noProof/>
                <w:webHidden/>
              </w:rPr>
              <w:fldChar w:fldCharType="begin"/>
            </w:r>
            <w:r w:rsidR="004009B9">
              <w:rPr>
                <w:noProof/>
                <w:webHidden/>
              </w:rPr>
              <w:instrText xml:space="preserve"> PAGEREF _Toc115094368 \h </w:instrText>
            </w:r>
            <w:r w:rsidR="004009B9">
              <w:rPr>
                <w:noProof/>
                <w:webHidden/>
              </w:rPr>
            </w:r>
            <w:r w:rsidR="004009B9">
              <w:rPr>
                <w:noProof/>
                <w:webHidden/>
              </w:rPr>
              <w:fldChar w:fldCharType="separate"/>
            </w:r>
            <w:r w:rsidR="005555C2">
              <w:rPr>
                <w:noProof/>
                <w:webHidden/>
              </w:rPr>
              <w:t>9</w:t>
            </w:r>
            <w:r w:rsidR="004009B9">
              <w:rPr>
                <w:noProof/>
                <w:webHidden/>
              </w:rPr>
              <w:fldChar w:fldCharType="end"/>
            </w:r>
          </w:hyperlink>
        </w:p>
        <w:p w14:paraId="2909949A" w14:textId="277B5642"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69" w:history="1">
            <w:r w:rsidR="004009B9" w:rsidRPr="006F148B">
              <w:rPr>
                <w:rStyle w:val="Hyperlink"/>
                <w:rFonts w:cstheme="minorHAnsi"/>
                <w:b/>
                <w:bCs/>
                <w:noProof/>
              </w:rPr>
              <w:t>2.1</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Project rationale</w:t>
            </w:r>
            <w:r w:rsidR="004009B9">
              <w:rPr>
                <w:noProof/>
                <w:webHidden/>
              </w:rPr>
              <w:tab/>
            </w:r>
            <w:r w:rsidR="004009B9">
              <w:rPr>
                <w:noProof/>
                <w:webHidden/>
              </w:rPr>
              <w:fldChar w:fldCharType="begin"/>
            </w:r>
            <w:r w:rsidR="004009B9">
              <w:rPr>
                <w:noProof/>
                <w:webHidden/>
              </w:rPr>
              <w:instrText xml:space="preserve"> PAGEREF _Toc115094369 \h </w:instrText>
            </w:r>
            <w:r w:rsidR="004009B9">
              <w:rPr>
                <w:noProof/>
                <w:webHidden/>
              </w:rPr>
            </w:r>
            <w:r w:rsidR="004009B9">
              <w:rPr>
                <w:noProof/>
                <w:webHidden/>
              </w:rPr>
              <w:fldChar w:fldCharType="separate"/>
            </w:r>
            <w:r w:rsidR="005555C2">
              <w:rPr>
                <w:noProof/>
                <w:webHidden/>
              </w:rPr>
              <w:t>9</w:t>
            </w:r>
            <w:r w:rsidR="004009B9">
              <w:rPr>
                <w:noProof/>
                <w:webHidden/>
              </w:rPr>
              <w:fldChar w:fldCharType="end"/>
            </w:r>
          </w:hyperlink>
        </w:p>
        <w:p w14:paraId="6F96B3CE" w14:textId="08B20B0B"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70" w:history="1">
            <w:r w:rsidR="004009B9" w:rsidRPr="006F148B">
              <w:rPr>
                <w:rStyle w:val="Hyperlink"/>
                <w:rFonts w:ascii="Calibri" w:hAnsi="Calibri" w:cs="Calibri"/>
                <w:b/>
                <w:bCs/>
                <w:noProof/>
              </w:rPr>
              <w:t>2.2</w:t>
            </w:r>
            <w:r w:rsidR="004009B9">
              <w:rPr>
                <w:rFonts w:eastAsiaTheme="minorEastAsia" w:cstheme="minorBidi"/>
                <w:smallCaps w:val="0"/>
                <w:noProof/>
                <w:sz w:val="22"/>
                <w:szCs w:val="22"/>
                <w:lang w:val="fr-FR" w:eastAsia="zh-CN"/>
              </w:rPr>
              <w:tab/>
            </w:r>
            <w:r w:rsidR="004009B9" w:rsidRPr="006F148B">
              <w:rPr>
                <w:rStyle w:val="Hyperlink"/>
                <w:rFonts w:ascii="Calibri" w:hAnsi="Calibri" w:cs="Calibri"/>
                <w:b/>
                <w:bCs/>
                <w:noProof/>
              </w:rPr>
              <w:t>Main project design considerations</w:t>
            </w:r>
            <w:r w:rsidR="004009B9">
              <w:rPr>
                <w:noProof/>
                <w:webHidden/>
              </w:rPr>
              <w:tab/>
            </w:r>
            <w:r w:rsidR="004009B9">
              <w:rPr>
                <w:noProof/>
                <w:webHidden/>
              </w:rPr>
              <w:fldChar w:fldCharType="begin"/>
            </w:r>
            <w:r w:rsidR="004009B9">
              <w:rPr>
                <w:noProof/>
                <w:webHidden/>
              </w:rPr>
              <w:instrText xml:space="preserve"> PAGEREF _Toc115094370 \h </w:instrText>
            </w:r>
            <w:r w:rsidR="004009B9">
              <w:rPr>
                <w:noProof/>
                <w:webHidden/>
              </w:rPr>
            </w:r>
            <w:r w:rsidR="004009B9">
              <w:rPr>
                <w:noProof/>
                <w:webHidden/>
              </w:rPr>
              <w:fldChar w:fldCharType="separate"/>
            </w:r>
            <w:r w:rsidR="005555C2">
              <w:rPr>
                <w:noProof/>
                <w:webHidden/>
              </w:rPr>
              <w:t>10</w:t>
            </w:r>
            <w:r w:rsidR="004009B9">
              <w:rPr>
                <w:noProof/>
                <w:webHidden/>
              </w:rPr>
              <w:fldChar w:fldCharType="end"/>
            </w:r>
          </w:hyperlink>
        </w:p>
        <w:p w14:paraId="037CDA34" w14:textId="0D21385D"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71" w:history="1">
            <w:r w:rsidR="004009B9" w:rsidRPr="006F148B">
              <w:rPr>
                <w:rStyle w:val="Hyperlink"/>
                <w:rFonts w:cstheme="minorHAnsi"/>
                <w:b/>
                <w:bCs/>
                <w:noProof/>
              </w:rPr>
              <w:t>2.3</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Project objectives, outcomes and outputs/activities</w:t>
            </w:r>
            <w:r w:rsidR="004009B9">
              <w:rPr>
                <w:noProof/>
                <w:webHidden/>
              </w:rPr>
              <w:tab/>
            </w:r>
            <w:r w:rsidR="004009B9">
              <w:rPr>
                <w:noProof/>
                <w:webHidden/>
              </w:rPr>
              <w:fldChar w:fldCharType="begin"/>
            </w:r>
            <w:r w:rsidR="004009B9">
              <w:rPr>
                <w:noProof/>
                <w:webHidden/>
              </w:rPr>
              <w:instrText xml:space="preserve"> PAGEREF _Toc115094371 \h </w:instrText>
            </w:r>
            <w:r w:rsidR="004009B9">
              <w:rPr>
                <w:noProof/>
                <w:webHidden/>
              </w:rPr>
            </w:r>
            <w:r w:rsidR="004009B9">
              <w:rPr>
                <w:noProof/>
                <w:webHidden/>
              </w:rPr>
              <w:fldChar w:fldCharType="separate"/>
            </w:r>
            <w:r w:rsidR="005555C2">
              <w:rPr>
                <w:noProof/>
                <w:webHidden/>
              </w:rPr>
              <w:t>11</w:t>
            </w:r>
            <w:r w:rsidR="004009B9">
              <w:rPr>
                <w:noProof/>
                <w:webHidden/>
              </w:rPr>
              <w:fldChar w:fldCharType="end"/>
            </w:r>
          </w:hyperlink>
        </w:p>
        <w:p w14:paraId="67CBB3D0" w14:textId="05492C2E"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72" w:history="1">
            <w:r w:rsidR="004009B9" w:rsidRPr="006F148B">
              <w:rPr>
                <w:rStyle w:val="Hyperlink"/>
                <w:rFonts w:cstheme="minorHAnsi"/>
                <w:b/>
                <w:bCs/>
                <w:noProof/>
              </w:rPr>
              <w:t>2.4</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The Theory of Change: from outcomes to impacts</w:t>
            </w:r>
            <w:r w:rsidR="004009B9">
              <w:rPr>
                <w:noProof/>
                <w:webHidden/>
              </w:rPr>
              <w:tab/>
            </w:r>
            <w:r w:rsidR="004009B9">
              <w:rPr>
                <w:noProof/>
                <w:webHidden/>
              </w:rPr>
              <w:fldChar w:fldCharType="begin"/>
            </w:r>
            <w:r w:rsidR="004009B9">
              <w:rPr>
                <w:noProof/>
                <w:webHidden/>
              </w:rPr>
              <w:instrText xml:space="preserve"> PAGEREF _Toc115094372 \h </w:instrText>
            </w:r>
            <w:r w:rsidR="004009B9">
              <w:rPr>
                <w:noProof/>
                <w:webHidden/>
              </w:rPr>
            </w:r>
            <w:r w:rsidR="004009B9">
              <w:rPr>
                <w:noProof/>
                <w:webHidden/>
              </w:rPr>
              <w:fldChar w:fldCharType="separate"/>
            </w:r>
            <w:r w:rsidR="005555C2">
              <w:rPr>
                <w:noProof/>
                <w:webHidden/>
              </w:rPr>
              <w:t>12</w:t>
            </w:r>
            <w:r w:rsidR="004009B9">
              <w:rPr>
                <w:noProof/>
                <w:webHidden/>
              </w:rPr>
              <w:fldChar w:fldCharType="end"/>
            </w:r>
          </w:hyperlink>
        </w:p>
        <w:p w14:paraId="0CBE11E0" w14:textId="596FAA15"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73" w:history="1">
            <w:r w:rsidR="004009B9" w:rsidRPr="006F148B">
              <w:rPr>
                <w:rStyle w:val="Hyperlink"/>
                <w:noProof/>
              </w:rPr>
              <w:t>III.</w:t>
            </w:r>
            <w:r w:rsidR="004009B9">
              <w:rPr>
                <w:rFonts w:eastAsiaTheme="minorEastAsia" w:cstheme="minorBidi"/>
                <w:b w:val="0"/>
                <w:bCs w:val="0"/>
                <w:caps w:val="0"/>
                <w:noProof/>
                <w:sz w:val="22"/>
                <w:szCs w:val="22"/>
                <w:lang w:val="fr-FR" w:eastAsia="zh-CN"/>
              </w:rPr>
              <w:tab/>
            </w:r>
            <w:r w:rsidR="004009B9" w:rsidRPr="006F148B">
              <w:rPr>
                <w:rStyle w:val="Hyperlink"/>
                <w:noProof/>
              </w:rPr>
              <w:t>Results and partnerships</w:t>
            </w:r>
            <w:r w:rsidR="004009B9">
              <w:rPr>
                <w:noProof/>
                <w:webHidden/>
              </w:rPr>
              <w:tab/>
            </w:r>
            <w:r w:rsidR="004009B9">
              <w:rPr>
                <w:noProof/>
                <w:webHidden/>
              </w:rPr>
              <w:fldChar w:fldCharType="begin"/>
            </w:r>
            <w:r w:rsidR="004009B9">
              <w:rPr>
                <w:noProof/>
                <w:webHidden/>
              </w:rPr>
              <w:instrText xml:space="preserve"> PAGEREF _Toc115094373 \h </w:instrText>
            </w:r>
            <w:r w:rsidR="004009B9">
              <w:rPr>
                <w:noProof/>
                <w:webHidden/>
              </w:rPr>
            </w:r>
            <w:r w:rsidR="004009B9">
              <w:rPr>
                <w:noProof/>
                <w:webHidden/>
              </w:rPr>
              <w:fldChar w:fldCharType="separate"/>
            </w:r>
            <w:r w:rsidR="005555C2">
              <w:rPr>
                <w:noProof/>
                <w:webHidden/>
              </w:rPr>
              <w:t>15</w:t>
            </w:r>
            <w:r w:rsidR="004009B9">
              <w:rPr>
                <w:noProof/>
                <w:webHidden/>
              </w:rPr>
              <w:fldChar w:fldCharType="end"/>
            </w:r>
          </w:hyperlink>
        </w:p>
        <w:p w14:paraId="72C073A5" w14:textId="519A6BE0"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74" w:history="1">
            <w:r w:rsidR="004009B9" w:rsidRPr="006F148B">
              <w:rPr>
                <w:rStyle w:val="Hyperlink"/>
                <w:rFonts w:cstheme="minorHAnsi"/>
                <w:b/>
                <w:bCs/>
                <w:noProof/>
              </w:rPr>
              <w:t>3.1.</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Expected results</w:t>
            </w:r>
            <w:r w:rsidR="004009B9">
              <w:rPr>
                <w:noProof/>
                <w:webHidden/>
              </w:rPr>
              <w:tab/>
            </w:r>
            <w:r w:rsidR="004009B9">
              <w:rPr>
                <w:noProof/>
                <w:webHidden/>
              </w:rPr>
              <w:fldChar w:fldCharType="begin"/>
            </w:r>
            <w:r w:rsidR="004009B9">
              <w:rPr>
                <w:noProof/>
                <w:webHidden/>
              </w:rPr>
              <w:instrText xml:space="preserve"> PAGEREF _Toc115094374 \h </w:instrText>
            </w:r>
            <w:r w:rsidR="004009B9">
              <w:rPr>
                <w:noProof/>
                <w:webHidden/>
              </w:rPr>
            </w:r>
            <w:r w:rsidR="004009B9">
              <w:rPr>
                <w:noProof/>
                <w:webHidden/>
              </w:rPr>
              <w:fldChar w:fldCharType="separate"/>
            </w:r>
            <w:r w:rsidR="005555C2">
              <w:rPr>
                <w:noProof/>
                <w:webHidden/>
              </w:rPr>
              <w:t>15</w:t>
            </w:r>
            <w:r w:rsidR="004009B9">
              <w:rPr>
                <w:noProof/>
                <w:webHidden/>
              </w:rPr>
              <w:fldChar w:fldCharType="end"/>
            </w:r>
          </w:hyperlink>
        </w:p>
        <w:p w14:paraId="5C2186C3" w14:textId="45986298" w:rsidR="004009B9" w:rsidRDefault="00F57A55">
          <w:pPr>
            <w:pStyle w:val="TOC3"/>
            <w:tabs>
              <w:tab w:val="right" w:leader="dot" w:pos="9016"/>
            </w:tabs>
            <w:rPr>
              <w:rFonts w:eastAsiaTheme="minorEastAsia" w:cstheme="minorBidi"/>
              <w:i w:val="0"/>
              <w:iCs w:val="0"/>
              <w:noProof/>
              <w:sz w:val="22"/>
              <w:szCs w:val="22"/>
              <w:lang w:val="fr-FR" w:eastAsia="zh-CN"/>
            </w:rPr>
          </w:pPr>
          <w:hyperlink w:anchor="_Toc115094375" w:history="1">
            <w:r w:rsidR="004009B9" w:rsidRPr="006F148B">
              <w:rPr>
                <w:rStyle w:val="Hyperlink"/>
                <w:rFonts w:cstheme="minorHAnsi"/>
                <w:b/>
                <w:bCs/>
                <w:noProof/>
              </w:rPr>
              <w:t>Component 1: Provide Targeted Knowledge Sharing and Results Showcasing Across Projects and Development Partners (Through Face-to-Face Dialogue and Training) to Advance Transboundary Water Management in All IW Focal Area Ecosystems</w:t>
            </w:r>
            <w:r w:rsidR="004009B9">
              <w:rPr>
                <w:noProof/>
                <w:webHidden/>
              </w:rPr>
              <w:tab/>
            </w:r>
            <w:r w:rsidR="004009B9">
              <w:rPr>
                <w:noProof/>
                <w:webHidden/>
              </w:rPr>
              <w:fldChar w:fldCharType="begin"/>
            </w:r>
            <w:r w:rsidR="004009B9">
              <w:rPr>
                <w:noProof/>
                <w:webHidden/>
              </w:rPr>
              <w:instrText xml:space="preserve"> PAGEREF _Toc115094375 \h </w:instrText>
            </w:r>
            <w:r w:rsidR="004009B9">
              <w:rPr>
                <w:noProof/>
                <w:webHidden/>
              </w:rPr>
            </w:r>
            <w:r w:rsidR="004009B9">
              <w:rPr>
                <w:noProof/>
                <w:webHidden/>
              </w:rPr>
              <w:fldChar w:fldCharType="separate"/>
            </w:r>
            <w:r w:rsidR="005555C2">
              <w:rPr>
                <w:noProof/>
                <w:webHidden/>
              </w:rPr>
              <w:t>15</w:t>
            </w:r>
            <w:r w:rsidR="004009B9">
              <w:rPr>
                <w:noProof/>
                <w:webHidden/>
              </w:rPr>
              <w:fldChar w:fldCharType="end"/>
            </w:r>
          </w:hyperlink>
        </w:p>
        <w:p w14:paraId="0D3BD091" w14:textId="043E9C1E" w:rsidR="004009B9" w:rsidRDefault="00F57A55">
          <w:pPr>
            <w:pStyle w:val="TOC3"/>
            <w:tabs>
              <w:tab w:val="right" w:leader="dot" w:pos="9016"/>
            </w:tabs>
            <w:rPr>
              <w:rFonts w:eastAsiaTheme="minorEastAsia" w:cstheme="minorBidi"/>
              <w:i w:val="0"/>
              <w:iCs w:val="0"/>
              <w:noProof/>
              <w:sz w:val="22"/>
              <w:szCs w:val="22"/>
              <w:lang w:val="fr-FR" w:eastAsia="zh-CN"/>
            </w:rPr>
          </w:pPr>
          <w:hyperlink w:anchor="_Toc115094376" w:history="1">
            <w:r w:rsidR="004009B9" w:rsidRPr="006F148B">
              <w:rPr>
                <w:rStyle w:val="Hyperlink"/>
                <w:rFonts w:cstheme="minorHAnsi"/>
                <w:b/>
                <w:bCs/>
                <w:noProof/>
              </w:rPr>
              <w:t>Component 2: Support the Communication and Replication of Portfolio Results and Experiences</w:t>
            </w:r>
            <w:r w:rsidR="004009B9">
              <w:rPr>
                <w:noProof/>
                <w:webHidden/>
              </w:rPr>
              <w:tab/>
            </w:r>
            <w:r w:rsidR="004009B9">
              <w:rPr>
                <w:noProof/>
                <w:webHidden/>
              </w:rPr>
              <w:fldChar w:fldCharType="begin"/>
            </w:r>
            <w:r w:rsidR="004009B9">
              <w:rPr>
                <w:noProof/>
                <w:webHidden/>
              </w:rPr>
              <w:instrText xml:space="preserve"> PAGEREF _Toc115094376 \h </w:instrText>
            </w:r>
            <w:r w:rsidR="004009B9">
              <w:rPr>
                <w:noProof/>
                <w:webHidden/>
              </w:rPr>
            </w:r>
            <w:r w:rsidR="004009B9">
              <w:rPr>
                <w:noProof/>
                <w:webHidden/>
              </w:rPr>
              <w:fldChar w:fldCharType="separate"/>
            </w:r>
            <w:r w:rsidR="005555C2">
              <w:rPr>
                <w:noProof/>
                <w:webHidden/>
              </w:rPr>
              <w:t>31</w:t>
            </w:r>
            <w:r w:rsidR="004009B9">
              <w:rPr>
                <w:noProof/>
                <w:webHidden/>
              </w:rPr>
              <w:fldChar w:fldCharType="end"/>
            </w:r>
          </w:hyperlink>
        </w:p>
        <w:p w14:paraId="4ABD0977" w14:textId="6E23E82C" w:rsidR="004009B9" w:rsidRDefault="00F57A55">
          <w:pPr>
            <w:pStyle w:val="TOC3"/>
            <w:tabs>
              <w:tab w:val="right" w:leader="dot" w:pos="9016"/>
            </w:tabs>
            <w:rPr>
              <w:rFonts w:eastAsiaTheme="minorEastAsia" w:cstheme="minorBidi"/>
              <w:i w:val="0"/>
              <w:iCs w:val="0"/>
              <w:noProof/>
              <w:sz w:val="22"/>
              <w:szCs w:val="22"/>
              <w:lang w:val="fr-FR" w:eastAsia="zh-CN"/>
            </w:rPr>
          </w:pPr>
          <w:hyperlink w:anchor="_Toc115094377" w:history="1">
            <w:r w:rsidR="004009B9" w:rsidRPr="006F148B">
              <w:rPr>
                <w:rStyle w:val="Hyperlink"/>
                <w:rFonts w:cstheme="minorHAnsi"/>
                <w:b/>
                <w:bCs/>
                <w:noProof/>
              </w:rPr>
              <w:t>Component 3: Deliver Intra and Inter-Regional Knowledge Management Across Focal Areas in Small Island Developing States to Improve Portfolio Performance</w:t>
            </w:r>
            <w:r w:rsidR="004009B9">
              <w:rPr>
                <w:noProof/>
                <w:webHidden/>
              </w:rPr>
              <w:tab/>
            </w:r>
            <w:r w:rsidR="004009B9">
              <w:rPr>
                <w:noProof/>
                <w:webHidden/>
              </w:rPr>
              <w:fldChar w:fldCharType="begin"/>
            </w:r>
            <w:r w:rsidR="004009B9">
              <w:rPr>
                <w:noProof/>
                <w:webHidden/>
              </w:rPr>
              <w:instrText xml:space="preserve"> PAGEREF _Toc115094377 \h </w:instrText>
            </w:r>
            <w:r w:rsidR="004009B9">
              <w:rPr>
                <w:noProof/>
                <w:webHidden/>
              </w:rPr>
            </w:r>
            <w:r w:rsidR="004009B9">
              <w:rPr>
                <w:noProof/>
                <w:webHidden/>
              </w:rPr>
              <w:fldChar w:fldCharType="separate"/>
            </w:r>
            <w:r w:rsidR="005555C2">
              <w:rPr>
                <w:noProof/>
                <w:webHidden/>
              </w:rPr>
              <w:t>43</w:t>
            </w:r>
            <w:r w:rsidR="004009B9">
              <w:rPr>
                <w:noProof/>
                <w:webHidden/>
              </w:rPr>
              <w:fldChar w:fldCharType="end"/>
            </w:r>
          </w:hyperlink>
        </w:p>
        <w:p w14:paraId="5120FC50" w14:textId="69619B0D" w:rsidR="004009B9" w:rsidRDefault="00F57A55">
          <w:pPr>
            <w:pStyle w:val="TOC3"/>
            <w:tabs>
              <w:tab w:val="right" w:leader="dot" w:pos="9016"/>
            </w:tabs>
            <w:rPr>
              <w:rFonts w:eastAsiaTheme="minorEastAsia" w:cstheme="minorBidi"/>
              <w:i w:val="0"/>
              <w:iCs w:val="0"/>
              <w:noProof/>
              <w:sz w:val="22"/>
              <w:szCs w:val="22"/>
              <w:lang w:val="fr-FR" w:eastAsia="zh-CN"/>
            </w:rPr>
          </w:pPr>
          <w:hyperlink w:anchor="_Toc115094378" w:history="1">
            <w:r w:rsidR="004009B9" w:rsidRPr="006F148B">
              <w:rPr>
                <w:rStyle w:val="Hyperlink"/>
                <w:rFonts w:cstheme="minorHAnsi"/>
                <w:b/>
                <w:bCs/>
                <w:noProof/>
              </w:rPr>
              <w:t>Component 4: Deliver Support to Surface Freshwater, Groundwater and Large Marine Ecosystem Subsets in Support of Portfolio Strategic Priorities</w:t>
            </w:r>
            <w:r w:rsidR="004009B9">
              <w:rPr>
                <w:noProof/>
                <w:webHidden/>
              </w:rPr>
              <w:tab/>
            </w:r>
            <w:r w:rsidR="004009B9">
              <w:rPr>
                <w:noProof/>
                <w:webHidden/>
              </w:rPr>
              <w:fldChar w:fldCharType="begin"/>
            </w:r>
            <w:r w:rsidR="004009B9">
              <w:rPr>
                <w:noProof/>
                <w:webHidden/>
              </w:rPr>
              <w:instrText xml:space="preserve"> PAGEREF _Toc115094378 \h </w:instrText>
            </w:r>
            <w:r w:rsidR="004009B9">
              <w:rPr>
                <w:noProof/>
                <w:webHidden/>
              </w:rPr>
            </w:r>
            <w:r w:rsidR="004009B9">
              <w:rPr>
                <w:noProof/>
                <w:webHidden/>
              </w:rPr>
              <w:fldChar w:fldCharType="separate"/>
            </w:r>
            <w:r w:rsidR="005555C2">
              <w:rPr>
                <w:noProof/>
                <w:webHidden/>
              </w:rPr>
              <w:t>55</w:t>
            </w:r>
            <w:r w:rsidR="004009B9">
              <w:rPr>
                <w:noProof/>
                <w:webHidden/>
              </w:rPr>
              <w:fldChar w:fldCharType="end"/>
            </w:r>
          </w:hyperlink>
        </w:p>
        <w:p w14:paraId="797C59FB" w14:textId="172F0EB5" w:rsidR="004009B9" w:rsidRDefault="00F57A55">
          <w:pPr>
            <w:pStyle w:val="TOC3"/>
            <w:tabs>
              <w:tab w:val="right" w:leader="dot" w:pos="9016"/>
            </w:tabs>
            <w:rPr>
              <w:rFonts w:eastAsiaTheme="minorEastAsia" w:cstheme="minorBidi"/>
              <w:i w:val="0"/>
              <w:iCs w:val="0"/>
              <w:noProof/>
              <w:sz w:val="22"/>
              <w:szCs w:val="22"/>
              <w:lang w:val="fr-FR" w:eastAsia="zh-CN"/>
            </w:rPr>
          </w:pPr>
          <w:hyperlink w:anchor="_Toc115094379" w:history="1">
            <w:r w:rsidR="004009B9" w:rsidRPr="006F148B">
              <w:rPr>
                <w:rStyle w:val="Hyperlink"/>
                <w:rFonts w:cstheme="minorHAnsi"/>
                <w:b/>
                <w:bCs/>
                <w:noProof/>
              </w:rPr>
              <w:t>Component 5: Mobilize Public and Private Partnership to Enhance Long-term Sustainability of Project Interventions</w:t>
            </w:r>
            <w:r w:rsidR="004009B9">
              <w:rPr>
                <w:noProof/>
                <w:webHidden/>
              </w:rPr>
              <w:tab/>
            </w:r>
            <w:r w:rsidR="004009B9">
              <w:rPr>
                <w:noProof/>
                <w:webHidden/>
              </w:rPr>
              <w:fldChar w:fldCharType="begin"/>
            </w:r>
            <w:r w:rsidR="004009B9">
              <w:rPr>
                <w:noProof/>
                <w:webHidden/>
              </w:rPr>
              <w:instrText xml:space="preserve"> PAGEREF _Toc115094379 \h </w:instrText>
            </w:r>
            <w:r w:rsidR="004009B9">
              <w:rPr>
                <w:noProof/>
                <w:webHidden/>
              </w:rPr>
            </w:r>
            <w:r w:rsidR="004009B9">
              <w:rPr>
                <w:noProof/>
                <w:webHidden/>
              </w:rPr>
              <w:fldChar w:fldCharType="separate"/>
            </w:r>
            <w:r w:rsidR="005555C2">
              <w:rPr>
                <w:noProof/>
                <w:webHidden/>
              </w:rPr>
              <w:t>73</w:t>
            </w:r>
            <w:r w:rsidR="004009B9">
              <w:rPr>
                <w:noProof/>
                <w:webHidden/>
              </w:rPr>
              <w:fldChar w:fldCharType="end"/>
            </w:r>
          </w:hyperlink>
        </w:p>
        <w:p w14:paraId="3294F8FB" w14:textId="4641016E"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80" w:history="1">
            <w:r w:rsidR="004009B9" w:rsidRPr="006F148B">
              <w:rPr>
                <w:rStyle w:val="Hyperlink"/>
                <w:rFonts w:cstheme="minorHAnsi"/>
                <w:b/>
                <w:bCs/>
                <w:noProof/>
              </w:rPr>
              <w:t>3.2.</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Partnerships</w:t>
            </w:r>
            <w:r w:rsidR="004009B9">
              <w:rPr>
                <w:noProof/>
                <w:webHidden/>
              </w:rPr>
              <w:tab/>
            </w:r>
            <w:r w:rsidR="004009B9">
              <w:rPr>
                <w:noProof/>
                <w:webHidden/>
              </w:rPr>
              <w:fldChar w:fldCharType="begin"/>
            </w:r>
            <w:r w:rsidR="004009B9">
              <w:rPr>
                <w:noProof/>
                <w:webHidden/>
              </w:rPr>
              <w:instrText xml:space="preserve"> PAGEREF _Toc115094380 \h </w:instrText>
            </w:r>
            <w:r w:rsidR="004009B9">
              <w:rPr>
                <w:noProof/>
                <w:webHidden/>
              </w:rPr>
            </w:r>
            <w:r w:rsidR="004009B9">
              <w:rPr>
                <w:noProof/>
                <w:webHidden/>
              </w:rPr>
              <w:fldChar w:fldCharType="separate"/>
            </w:r>
            <w:r w:rsidR="005555C2">
              <w:rPr>
                <w:noProof/>
                <w:webHidden/>
              </w:rPr>
              <w:t>81</w:t>
            </w:r>
            <w:r w:rsidR="004009B9">
              <w:rPr>
                <w:noProof/>
                <w:webHidden/>
              </w:rPr>
              <w:fldChar w:fldCharType="end"/>
            </w:r>
          </w:hyperlink>
        </w:p>
        <w:p w14:paraId="18208655" w14:textId="37DEACA1"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81" w:history="1">
            <w:r w:rsidR="004009B9" w:rsidRPr="006F148B">
              <w:rPr>
                <w:rStyle w:val="Hyperlink"/>
                <w:rFonts w:cstheme="minorHAnsi"/>
                <w:b/>
                <w:bCs/>
                <w:noProof/>
              </w:rPr>
              <w:t>3.3.</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Risks</w:t>
            </w:r>
            <w:r w:rsidR="004009B9">
              <w:rPr>
                <w:noProof/>
                <w:webHidden/>
              </w:rPr>
              <w:tab/>
            </w:r>
            <w:r w:rsidR="004009B9">
              <w:rPr>
                <w:noProof/>
                <w:webHidden/>
              </w:rPr>
              <w:fldChar w:fldCharType="begin"/>
            </w:r>
            <w:r w:rsidR="004009B9">
              <w:rPr>
                <w:noProof/>
                <w:webHidden/>
              </w:rPr>
              <w:instrText xml:space="preserve"> PAGEREF _Toc115094381 \h </w:instrText>
            </w:r>
            <w:r w:rsidR="004009B9">
              <w:rPr>
                <w:noProof/>
                <w:webHidden/>
              </w:rPr>
            </w:r>
            <w:r w:rsidR="004009B9">
              <w:rPr>
                <w:noProof/>
                <w:webHidden/>
              </w:rPr>
              <w:fldChar w:fldCharType="separate"/>
            </w:r>
            <w:r w:rsidR="005555C2">
              <w:rPr>
                <w:noProof/>
                <w:webHidden/>
              </w:rPr>
              <w:t>82</w:t>
            </w:r>
            <w:r w:rsidR="004009B9">
              <w:rPr>
                <w:noProof/>
                <w:webHidden/>
              </w:rPr>
              <w:fldChar w:fldCharType="end"/>
            </w:r>
          </w:hyperlink>
        </w:p>
        <w:p w14:paraId="32CE39DB" w14:textId="0802CDE5"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82" w:history="1">
            <w:r w:rsidR="004009B9" w:rsidRPr="006F148B">
              <w:rPr>
                <w:rStyle w:val="Hyperlink"/>
                <w:rFonts w:cstheme="minorHAnsi"/>
                <w:b/>
                <w:bCs/>
                <w:noProof/>
              </w:rPr>
              <w:t>3.4.</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Stakeholder engagement and south-to-south cooperation</w:t>
            </w:r>
            <w:r w:rsidR="004009B9">
              <w:rPr>
                <w:noProof/>
                <w:webHidden/>
              </w:rPr>
              <w:tab/>
            </w:r>
            <w:r w:rsidR="004009B9">
              <w:rPr>
                <w:noProof/>
                <w:webHidden/>
              </w:rPr>
              <w:fldChar w:fldCharType="begin"/>
            </w:r>
            <w:r w:rsidR="004009B9">
              <w:rPr>
                <w:noProof/>
                <w:webHidden/>
              </w:rPr>
              <w:instrText xml:space="preserve"> PAGEREF _Toc115094382 \h </w:instrText>
            </w:r>
            <w:r w:rsidR="004009B9">
              <w:rPr>
                <w:noProof/>
                <w:webHidden/>
              </w:rPr>
            </w:r>
            <w:r w:rsidR="004009B9">
              <w:rPr>
                <w:noProof/>
                <w:webHidden/>
              </w:rPr>
              <w:fldChar w:fldCharType="separate"/>
            </w:r>
            <w:r w:rsidR="005555C2">
              <w:rPr>
                <w:noProof/>
                <w:webHidden/>
              </w:rPr>
              <w:t>85</w:t>
            </w:r>
            <w:r w:rsidR="004009B9">
              <w:rPr>
                <w:noProof/>
                <w:webHidden/>
              </w:rPr>
              <w:fldChar w:fldCharType="end"/>
            </w:r>
          </w:hyperlink>
        </w:p>
        <w:p w14:paraId="2C8E4B45" w14:textId="4430DCDD"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83" w:history="1">
            <w:r w:rsidR="004009B9" w:rsidRPr="006F148B">
              <w:rPr>
                <w:rStyle w:val="Hyperlink"/>
                <w:rFonts w:cstheme="minorHAnsi"/>
                <w:b/>
                <w:bCs/>
                <w:noProof/>
              </w:rPr>
              <w:t>3.5.</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Gender equality and women's empowerment</w:t>
            </w:r>
            <w:r w:rsidR="004009B9">
              <w:rPr>
                <w:noProof/>
                <w:webHidden/>
              </w:rPr>
              <w:tab/>
            </w:r>
            <w:r w:rsidR="004009B9">
              <w:rPr>
                <w:noProof/>
                <w:webHidden/>
              </w:rPr>
              <w:fldChar w:fldCharType="begin"/>
            </w:r>
            <w:r w:rsidR="004009B9">
              <w:rPr>
                <w:noProof/>
                <w:webHidden/>
              </w:rPr>
              <w:instrText xml:space="preserve"> PAGEREF _Toc115094383 \h </w:instrText>
            </w:r>
            <w:r w:rsidR="004009B9">
              <w:rPr>
                <w:noProof/>
                <w:webHidden/>
              </w:rPr>
            </w:r>
            <w:r w:rsidR="004009B9">
              <w:rPr>
                <w:noProof/>
                <w:webHidden/>
              </w:rPr>
              <w:fldChar w:fldCharType="separate"/>
            </w:r>
            <w:r w:rsidR="005555C2">
              <w:rPr>
                <w:noProof/>
                <w:webHidden/>
              </w:rPr>
              <w:t>86</w:t>
            </w:r>
            <w:r w:rsidR="004009B9">
              <w:rPr>
                <w:noProof/>
                <w:webHidden/>
              </w:rPr>
              <w:fldChar w:fldCharType="end"/>
            </w:r>
          </w:hyperlink>
        </w:p>
        <w:p w14:paraId="69EA5F32" w14:textId="0CB40471"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84" w:history="1">
            <w:r w:rsidR="004009B9" w:rsidRPr="006F148B">
              <w:rPr>
                <w:rStyle w:val="Hyperlink"/>
                <w:rFonts w:cstheme="minorHAnsi"/>
                <w:b/>
                <w:bCs/>
                <w:noProof/>
              </w:rPr>
              <w:t>3.6.</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Innovativeness, sustainability and potential for scaling up</w:t>
            </w:r>
            <w:r w:rsidR="004009B9">
              <w:rPr>
                <w:noProof/>
                <w:webHidden/>
              </w:rPr>
              <w:tab/>
            </w:r>
            <w:r w:rsidR="004009B9">
              <w:rPr>
                <w:noProof/>
                <w:webHidden/>
              </w:rPr>
              <w:fldChar w:fldCharType="begin"/>
            </w:r>
            <w:r w:rsidR="004009B9">
              <w:rPr>
                <w:noProof/>
                <w:webHidden/>
              </w:rPr>
              <w:instrText xml:space="preserve"> PAGEREF _Toc115094384 \h </w:instrText>
            </w:r>
            <w:r w:rsidR="004009B9">
              <w:rPr>
                <w:noProof/>
                <w:webHidden/>
              </w:rPr>
            </w:r>
            <w:r w:rsidR="004009B9">
              <w:rPr>
                <w:noProof/>
                <w:webHidden/>
              </w:rPr>
              <w:fldChar w:fldCharType="separate"/>
            </w:r>
            <w:r w:rsidR="005555C2">
              <w:rPr>
                <w:noProof/>
                <w:webHidden/>
              </w:rPr>
              <w:t>87</w:t>
            </w:r>
            <w:r w:rsidR="004009B9">
              <w:rPr>
                <w:noProof/>
                <w:webHidden/>
              </w:rPr>
              <w:fldChar w:fldCharType="end"/>
            </w:r>
          </w:hyperlink>
        </w:p>
        <w:p w14:paraId="5F52E5CB" w14:textId="36955237"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85" w:history="1">
            <w:r w:rsidR="004009B9" w:rsidRPr="006F148B">
              <w:rPr>
                <w:rStyle w:val="Hyperlink"/>
                <w:rFonts w:ascii="Calibri" w:hAnsi="Calibri"/>
                <w:noProof/>
              </w:rPr>
              <w:t>IV.</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Project Results Framework</w:t>
            </w:r>
            <w:r w:rsidR="004009B9">
              <w:rPr>
                <w:noProof/>
                <w:webHidden/>
              </w:rPr>
              <w:tab/>
            </w:r>
            <w:r w:rsidR="004009B9">
              <w:rPr>
                <w:noProof/>
                <w:webHidden/>
              </w:rPr>
              <w:fldChar w:fldCharType="begin"/>
            </w:r>
            <w:r w:rsidR="004009B9">
              <w:rPr>
                <w:noProof/>
                <w:webHidden/>
              </w:rPr>
              <w:instrText xml:space="preserve"> PAGEREF _Toc115094385 \h </w:instrText>
            </w:r>
            <w:r w:rsidR="004009B9">
              <w:rPr>
                <w:noProof/>
                <w:webHidden/>
              </w:rPr>
            </w:r>
            <w:r w:rsidR="004009B9">
              <w:rPr>
                <w:noProof/>
                <w:webHidden/>
              </w:rPr>
              <w:fldChar w:fldCharType="separate"/>
            </w:r>
            <w:r w:rsidR="005555C2">
              <w:rPr>
                <w:noProof/>
                <w:webHidden/>
              </w:rPr>
              <w:t>89</w:t>
            </w:r>
            <w:r w:rsidR="004009B9">
              <w:rPr>
                <w:noProof/>
                <w:webHidden/>
              </w:rPr>
              <w:fldChar w:fldCharType="end"/>
            </w:r>
          </w:hyperlink>
        </w:p>
        <w:p w14:paraId="0A46746A" w14:textId="5B48F87A" w:rsidR="004009B9" w:rsidRDefault="00F57A55">
          <w:pPr>
            <w:pStyle w:val="TOC1"/>
            <w:tabs>
              <w:tab w:val="left" w:pos="400"/>
              <w:tab w:val="right" w:leader="dot" w:pos="9016"/>
            </w:tabs>
            <w:rPr>
              <w:rFonts w:eastAsiaTheme="minorEastAsia" w:cstheme="minorBidi"/>
              <w:b w:val="0"/>
              <w:bCs w:val="0"/>
              <w:caps w:val="0"/>
              <w:noProof/>
              <w:sz w:val="22"/>
              <w:szCs w:val="22"/>
              <w:lang w:val="fr-FR" w:eastAsia="zh-CN"/>
            </w:rPr>
          </w:pPr>
          <w:hyperlink w:anchor="_Toc115094386" w:history="1">
            <w:r w:rsidR="004009B9" w:rsidRPr="006F148B">
              <w:rPr>
                <w:rStyle w:val="Hyperlink"/>
                <w:rFonts w:ascii="Calibri" w:hAnsi="Calibri"/>
                <w:noProof/>
              </w:rPr>
              <w:t>V.</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Monitoring and Evaluation (M&amp;E) Plan</w:t>
            </w:r>
            <w:r w:rsidR="004009B9">
              <w:rPr>
                <w:noProof/>
                <w:webHidden/>
              </w:rPr>
              <w:tab/>
            </w:r>
            <w:r w:rsidR="004009B9">
              <w:rPr>
                <w:noProof/>
                <w:webHidden/>
              </w:rPr>
              <w:fldChar w:fldCharType="begin"/>
            </w:r>
            <w:r w:rsidR="004009B9">
              <w:rPr>
                <w:noProof/>
                <w:webHidden/>
              </w:rPr>
              <w:instrText xml:space="preserve"> PAGEREF _Toc115094386 \h </w:instrText>
            </w:r>
            <w:r w:rsidR="004009B9">
              <w:rPr>
                <w:noProof/>
                <w:webHidden/>
              </w:rPr>
            </w:r>
            <w:r w:rsidR="004009B9">
              <w:rPr>
                <w:noProof/>
                <w:webHidden/>
              </w:rPr>
              <w:fldChar w:fldCharType="separate"/>
            </w:r>
            <w:r w:rsidR="005555C2">
              <w:rPr>
                <w:noProof/>
                <w:webHidden/>
              </w:rPr>
              <w:t>94</w:t>
            </w:r>
            <w:r w:rsidR="004009B9">
              <w:rPr>
                <w:noProof/>
                <w:webHidden/>
              </w:rPr>
              <w:fldChar w:fldCharType="end"/>
            </w:r>
          </w:hyperlink>
        </w:p>
        <w:p w14:paraId="4BECCDEA" w14:textId="2791CB6A"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87" w:history="1">
            <w:r w:rsidR="004009B9" w:rsidRPr="006F148B">
              <w:rPr>
                <w:rStyle w:val="Hyperlink"/>
                <w:rFonts w:ascii="Calibri" w:hAnsi="Calibri"/>
                <w:noProof/>
              </w:rPr>
              <w:t>VI.</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Governance and Management Arrangements</w:t>
            </w:r>
            <w:r w:rsidR="004009B9">
              <w:rPr>
                <w:noProof/>
                <w:webHidden/>
              </w:rPr>
              <w:tab/>
            </w:r>
            <w:r w:rsidR="004009B9">
              <w:rPr>
                <w:noProof/>
                <w:webHidden/>
              </w:rPr>
              <w:fldChar w:fldCharType="begin"/>
            </w:r>
            <w:r w:rsidR="004009B9">
              <w:rPr>
                <w:noProof/>
                <w:webHidden/>
              </w:rPr>
              <w:instrText xml:space="preserve"> PAGEREF _Toc115094387 \h </w:instrText>
            </w:r>
            <w:r w:rsidR="004009B9">
              <w:rPr>
                <w:noProof/>
                <w:webHidden/>
              </w:rPr>
            </w:r>
            <w:r w:rsidR="004009B9">
              <w:rPr>
                <w:noProof/>
                <w:webHidden/>
              </w:rPr>
              <w:fldChar w:fldCharType="separate"/>
            </w:r>
            <w:r w:rsidR="005555C2">
              <w:rPr>
                <w:noProof/>
                <w:webHidden/>
              </w:rPr>
              <w:t>97</w:t>
            </w:r>
            <w:r w:rsidR="004009B9">
              <w:rPr>
                <w:noProof/>
                <w:webHidden/>
              </w:rPr>
              <w:fldChar w:fldCharType="end"/>
            </w:r>
          </w:hyperlink>
        </w:p>
        <w:p w14:paraId="56A467D1" w14:textId="5E0F81F0" w:rsidR="004009B9" w:rsidRDefault="00F57A55">
          <w:pPr>
            <w:pStyle w:val="TOC2"/>
            <w:tabs>
              <w:tab w:val="left" w:pos="800"/>
              <w:tab w:val="right" w:leader="dot" w:pos="9016"/>
            </w:tabs>
            <w:rPr>
              <w:rFonts w:eastAsiaTheme="minorEastAsia" w:cstheme="minorBidi"/>
              <w:smallCaps w:val="0"/>
              <w:noProof/>
              <w:sz w:val="22"/>
              <w:szCs w:val="22"/>
              <w:lang w:val="fr-FR" w:eastAsia="zh-CN"/>
            </w:rPr>
          </w:pPr>
          <w:hyperlink w:anchor="_Toc115094388" w:history="1">
            <w:r w:rsidR="004009B9" w:rsidRPr="006F148B">
              <w:rPr>
                <w:rStyle w:val="Hyperlink"/>
                <w:rFonts w:cstheme="minorHAnsi"/>
                <w:b/>
                <w:bCs/>
                <w:noProof/>
              </w:rPr>
              <w:t>6.1.</w:t>
            </w:r>
            <w:r w:rsidR="004009B9">
              <w:rPr>
                <w:rFonts w:eastAsiaTheme="minorEastAsia" w:cstheme="minorBidi"/>
                <w:smallCaps w:val="0"/>
                <w:noProof/>
                <w:sz w:val="22"/>
                <w:szCs w:val="22"/>
                <w:lang w:val="fr-FR" w:eastAsia="zh-CN"/>
              </w:rPr>
              <w:tab/>
            </w:r>
            <w:r w:rsidR="004009B9" w:rsidRPr="006F148B">
              <w:rPr>
                <w:rStyle w:val="Hyperlink"/>
                <w:rFonts w:cstheme="minorHAnsi"/>
                <w:b/>
                <w:bCs/>
                <w:noProof/>
              </w:rPr>
              <w:t>Roles and responsibilities of the project’s governance mechanism</w:t>
            </w:r>
            <w:r w:rsidR="004009B9">
              <w:rPr>
                <w:noProof/>
                <w:webHidden/>
              </w:rPr>
              <w:tab/>
            </w:r>
            <w:r w:rsidR="004009B9">
              <w:rPr>
                <w:noProof/>
                <w:webHidden/>
              </w:rPr>
              <w:fldChar w:fldCharType="begin"/>
            </w:r>
            <w:r w:rsidR="004009B9">
              <w:rPr>
                <w:noProof/>
                <w:webHidden/>
              </w:rPr>
              <w:instrText xml:space="preserve"> PAGEREF _Toc115094388 \h </w:instrText>
            </w:r>
            <w:r w:rsidR="004009B9">
              <w:rPr>
                <w:noProof/>
                <w:webHidden/>
              </w:rPr>
            </w:r>
            <w:r w:rsidR="004009B9">
              <w:rPr>
                <w:noProof/>
                <w:webHidden/>
              </w:rPr>
              <w:fldChar w:fldCharType="separate"/>
            </w:r>
            <w:r w:rsidR="005555C2">
              <w:rPr>
                <w:noProof/>
                <w:webHidden/>
              </w:rPr>
              <w:t>97</w:t>
            </w:r>
            <w:r w:rsidR="004009B9">
              <w:rPr>
                <w:noProof/>
                <w:webHidden/>
              </w:rPr>
              <w:fldChar w:fldCharType="end"/>
            </w:r>
          </w:hyperlink>
        </w:p>
        <w:p w14:paraId="7C2FA6A5" w14:textId="49F92905"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89" w:history="1">
            <w:r w:rsidR="004009B9" w:rsidRPr="006F148B">
              <w:rPr>
                <w:rStyle w:val="Hyperlink"/>
                <w:rFonts w:ascii="Calibri" w:hAnsi="Calibri"/>
                <w:noProof/>
              </w:rPr>
              <w:t>VII.</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Financial Planning and Management</w:t>
            </w:r>
            <w:r w:rsidR="004009B9">
              <w:rPr>
                <w:noProof/>
                <w:webHidden/>
              </w:rPr>
              <w:tab/>
            </w:r>
            <w:r w:rsidR="004009B9">
              <w:rPr>
                <w:noProof/>
                <w:webHidden/>
              </w:rPr>
              <w:fldChar w:fldCharType="begin"/>
            </w:r>
            <w:r w:rsidR="004009B9">
              <w:rPr>
                <w:noProof/>
                <w:webHidden/>
              </w:rPr>
              <w:instrText xml:space="preserve"> PAGEREF _Toc115094389 \h </w:instrText>
            </w:r>
            <w:r w:rsidR="004009B9">
              <w:rPr>
                <w:noProof/>
                <w:webHidden/>
              </w:rPr>
            </w:r>
            <w:r w:rsidR="004009B9">
              <w:rPr>
                <w:noProof/>
                <w:webHidden/>
              </w:rPr>
              <w:fldChar w:fldCharType="separate"/>
            </w:r>
            <w:r w:rsidR="005555C2">
              <w:rPr>
                <w:noProof/>
                <w:webHidden/>
              </w:rPr>
              <w:t>102</w:t>
            </w:r>
            <w:r w:rsidR="004009B9">
              <w:rPr>
                <w:noProof/>
                <w:webHidden/>
              </w:rPr>
              <w:fldChar w:fldCharType="end"/>
            </w:r>
          </w:hyperlink>
        </w:p>
        <w:p w14:paraId="4B191375" w14:textId="1353BD77"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90" w:history="1">
            <w:r w:rsidR="004009B9" w:rsidRPr="006F148B">
              <w:rPr>
                <w:rStyle w:val="Hyperlink"/>
                <w:rFonts w:ascii="Calibri" w:hAnsi="Calibri"/>
                <w:noProof/>
              </w:rPr>
              <w:t>VIII.</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Total Budget and Work Plan</w:t>
            </w:r>
            <w:r w:rsidR="004009B9">
              <w:rPr>
                <w:noProof/>
                <w:webHidden/>
              </w:rPr>
              <w:tab/>
            </w:r>
            <w:r w:rsidR="004009B9">
              <w:rPr>
                <w:noProof/>
                <w:webHidden/>
              </w:rPr>
              <w:fldChar w:fldCharType="begin"/>
            </w:r>
            <w:r w:rsidR="004009B9">
              <w:rPr>
                <w:noProof/>
                <w:webHidden/>
              </w:rPr>
              <w:instrText xml:space="preserve"> PAGEREF _Toc115094390 \h </w:instrText>
            </w:r>
            <w:r w:rsidR="004009B9">
              <w:rPr>
                <w:noProof/>
                <w:webHidden/>
              </w:rPr>
            </w:r>
            <w:r w:rsidR="004009B9">
              <w:rPr>
                <w:noProof/>
                <w:webHidden/>
              </w:rPr>
              <w:fldChar w:fldCharType="separate"/>
            </w:r>
            <w:r w:rsidR="005555C2">
              <w:rPr>
                <w:noProof/>
                <w:webHidden/>
              </w:rPr>
              <w:t>105</w:t>
            </w:r>
            <w:r w:rsidR="004009B9">
              <w:rPr>
                <w:noProof/>
                <w:webHidden/>
              </w:rPr>
              <w:fldChar w:fldCharType="end"/>
            </w:r>
          </w:hyperlink>
        </w:p>
        <w:p w14:paraId="1C0C51BD" w14:textId="7F953FF9"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91" w:history="1">
            <w:r w:rsidR="004009B9" w:rsidRPr="006F148B">
              <w:rPr>
                <w:rStyle w:val="Hyperlink"/>
                <w:rFonts w:ascii="Calibri" w:hAnsi="Calibri"/>
                <w:noProof/>
              </w:rPr>
              <w:t>IX.</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Legal Context</w:t>
            </w:r>
            <w:r w:rsidR="004009B9">
              <w:rPr>
                <w:noProof/>
                <w:webHidden/>
              </w:rPr>
              <w:tab/>
            </w:r>
            <w:r w:rsidR="004009B9">
              <w:rPr>
                <w:noProof/>
                <w:webHidden/>
              </w:rPr>
              <w:fldChar w:fldCharType="begin"/>
            </w:r>
            <w:r w:rsidR="004009B9">
              <w:rPr>
                <w:noProof/>
                <w:webHidden/>
              </w:rPr>
              <w:instrText xml:space="preserve"> PAGEREF _Toc115094391 \h </w:instrText>
            </w:r>
            <w:r w:rsidR="004009B9">
              <w:rPr>
                <w:noProof/>
                <w:webHidden/>
              </w:rPr>
            </w:r>
            <w:r w:rsidR="004009B9">
              <w:rPr>
                <w:noProof/>
                <w:webHidden/>
              </w:rPr>
              <w:fldChar w:fldCharType="separate"/>
            </w:r>
            <w:r w:rsidR="005555C2">
              <w:rPr>
                <w:noProof/>
                <w:webHidden/>
              </w:rPr>
              <w:t>115</w:t>
            </w:r>
            <w:r w:rsidR="004009B9">
              <w:rPr>
                <w:noProof/>
                <w:webHidden/>
              </w:rPr>
              <w:fldChar w:fldCharType="end"/>
            </w:r>
          </w:hyperlink>
        </w:p>
        <w:p w14:paraId="1FA87829" w14:textId="5296D9C7" w:rsidR="004009B9" w:rsidRDefault="00F57A55">
          <w:pPr>
            <w:pStyle w:val="TOC1"/>
            <w:tabs>
              <w:tab w:val="left" w:pos="400"/>
              <w:tab w:val="right" w:leader="dot" w:pos="9016"/>
            </w:tabs>
            <w:rPr>
              <w:rFonts w:eastAsiaTheme="minorEastAsia" w:cstheme="minorBidi"/>
              <w:b w:val="0"/>
              <w:bCs w:val="0"/>
              <w:caps w:val="0"/>
              <w:noProof/>
              <w:sz w:val="22"/>
              <w:szCs w:val="22"/>
              <w:lang w:val="fr-FR" w:eastAsia="zh-CN"/>
            </w:rPr>
          </w:pPr>
          <w:hyperlink w:anchor="_Toc115094392" w:history="1">
            <w:r w:rsidR="004009B9" w:rsidRPr="006F148B">
              <w:rPr>
                <w:rStyle w:val="Hyperlink"/>
                <w:rFonts w:ascii="Calibri" w:hAnsi="Calibri"/>
                <w:noProof/>
              </w:rPr>
              <w:t>X.</w:t>
            </w:r>
            <w:r w:rsidR="004009B9">
              <w:rPr>
                <w:rFonts w:eastAsiaTheme="minorEastAsia" w:cstheme="minorBidi"/>
                <w:b w:val="0"/>
                <w:bCs w:val="0"/>
                <w:caps w:val="0"/>
                <w:noProof/>
                <w:sz w:val="22"/>
                <w:szCs w:val="22"/>
                <w:lang w:val="fr-FR" w:eastAsia="zh-CN"/>
              </w:rPr>
              <w:tab/>
            </w:r>
            <w:r w:rsidR="004009B9" w:rsidRPr="006F148B">
              <w:rPr>
                <w:rStyle w:val="Hyperlink"/>
                <w:rFonts w:ascii="Calibri" w:hAnsi="Calibri"/>
                <w:noProof/>
              </w:rPr>
              <w:t>Risk Management</w:t>
            </w:r>
            <w:r w:rsidR="004009B9">
              <w:rPr>
                <w:noProof/>
                <w:webHidden/>
              </w:rPr>
              <w:tab/>
            </w:r>
            <w:r w:rsidR="004009B9">
              <w:rPr>
                <w:noProof/>
                <w:webHidden/>
              </w:rPr>
              <w:fldChar w:fldCharType="begin"/>
            </w:r>
            <w:r w:rsidR="004009B9">
              <w:rPr>
                <w:noProof/>
                <w:webHidden/>
              </w:rPr>
              <w:instrText xml:space="preserve"> PAGEREF _Toc115094392 \h </w:instrText>
            </w:r>
            <w:r w:rsidR="004009B9">
              <w:rPr>
                <w:noProof/>
                <w:webHidden/>
              </w:rPr>
            </w:r>
            <w:r w:rsidR="004009B9">
              <w:rPr>
                <w:noProof/>
                <w:webHidden/>
              </w:rPr>
              <w:fldChar w:fldCharType="separate"/>
            </w:r>
            <w:r w:rsidR="005555C2">
              <w:rPr>
                <w:noProof/>
                <w:webHidden/>
              </w:rPr>
              <w:t>116</w:t>
            </w:r>
            <w:r w:rsidR="004009B9">
              <w:rPr>
                <w:noProof/>
                <w:webHidden/>
              </w:rPr>
              <w:fldChar w:fldCharType="end"/>
            </w:r>
          </w:hyperlink>
        </w:p>
        <w:p w14:paraId="1D166EB9" w14:textId="6C442C95" w:rsidR="004009B9" w:rsidRDefault="00F57A55">
          <w:pPr>
            <w:pStyle w:val="TOC1"/>
            <w:tabs>
              <w:tab w:val="left" w:pos="600"/>
              <w:tab w:val="right" w:leader="dot" w:pos="9016"/>
            </w:tabs>
            <w:rPr>
              <w:rFonts w:eastAsiaTheme="minorEastAsia" w:cstheme="minorBidi"/>
              <w:b w:val="0"/>
              <w:bCs w:val="0"/>
              <w:caps w:val="0"/>
              <w:noProof/>
              <w:sz w:val="22"/>
              <w:szCs w:val="22"/>
              <w:lang w:val="fr-FR" w:eastAsia="zh-CN"/>
            </w:rPr>
          </w:pPr>
          <w:hyperlink w:anchor="_Toc115094393" w:history="1">
            <w:r w:rsidR="004009B9" w:rsidRPr="006F148B">
              <w:rPr>
                <w:rStyle w:val="Hyperlink"/>
                <w:noProof/>
              </w:rPr>
              <w:t>XI.</w:t>
            </w:r>
            <w:r w:rsidR="004009B9">
              <w:rPr>
                <w:rFonts w:eastAsiaTheme="minorEastAsia" w:cstheme="minorBidi"/>
                <w:b w:val="0"/>
                <w:bCs w:val="0"/>
                <w:caps w:val="0"/>
                <w:noProof/>
                <w:sz w:val="22"/>
                <w:szCs w:val="22"/>
                <w:lang w:val="fr-FR" w:eastAsia="zh-CN"/>
              </w:rPr>
              <w:tab/>
            </w:r>
            <w:r w:rsidR="004009B9" w:rsidRPr="006F148B">
              <w:rPr>
                <w:rStyle w:val="Hyperlink"/>
                <w:noProof/>
              </w:rPr>
              <w:t>Annexes</w:t>
            </w:r>
            <w:r w:rsidR="004009B9">
              <w:rPr>
                <w:noProof/>
                <w:webHidden/>
              </w:rPr>
              <w:tab/>
            </w:r>
            <w:r w:rsidR="004009B9">
              <w:rPr>
                <w:noProof/>
                <w:webHidden/>
              </w:rPr>
              <w:fldChar w:fldCharType="begin"/>
            </w:r>
            <w:r w:rsidR="004009B9">
              <w:rPr>
                <w:noProof/>
                <w:webHidden/>
              </w:rPr>
              <w:instrText xml:space="preserve"> PAGEREF _Toc115094393 \h </w:instrText>
            </w:r>
            <w:r w:rsidR="004009B9">
              <w:rPr>
                <w:noProof/>
                <w:webHidden/>
              </w:rPr>
            </w:r>
            <w:r w:rsidR="004009B9">
              <w:rPr>
                <w:noProof/>
                <w:webHidden/>
              </w:rPr>
              <w:fldChar w:fldCharType="separate"/>
            </w:r>
            <w:r w:rsidR="005555C2">
              <w:rPr>
                <w:noProof/>
                <w:webHidden/>
              </w:rPr>
              <w:t>119</w:t>
            </w:r>
            <w:r w:rsidR="004009B9">
              <w:rPr>
                <w:noProof/>
                <w:webHidden/>
              </w:rPr>
              <w:fldChar w:fldCharType="end"/>
            </w:r>
          </w:hyperlink>
        </w:p>
        <w:p w14:paraId="00A28108" w14:textId="5D27E6EE"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394" w:history="1">
            <w:r w:rsidR="004009B9" w:rsidRPr="006F148B">
              <w:rPr>
                <w:rStyle w:val="Hyperlink"/>
                <w:rFonts w:cstheme="minorHAnsi"/>
                <w:b/>
                <w:bCs/>
                <w:noProof/>
              </w:rPr>
              <w:t>Annex 1: Project Map and Geospatial Coordinates of project sites</w:t>
            </w:r>
            <w:r w:rsidR="004009B9">
              <w:rPr>
                <w:noProof/>
                <w:webHidden/>
              </w:rPr>
              <w:tab/>
            </w:r>
            <w:r w:rsidR="004009B9">
              <w:rPr>
                <w:noProof/>
                <w:webHidden/>
              </w:rPr>
              <w:fldChar w:fldCharType="begin"/>
            </w:r>
            <w:r w:rsidR="004009B9">
              <w:rPr>
                <w:noProof/>
                <w:webHidden/>
              </w:rPr>
              <w:instrText xml:space="preserve"> PAGEREF _Toc115094394 \h </w:instrText>
            </w:r>
            <w:r w:rsidR="004009B9">
              <w:rPr>
                <w:noProof/>
                <w:webHidden/>
              </w:rPr>
            </w:r>
            <w:r w:rsidR="004009B9">
              <w:rPr>
                <w:noProof/>
                <w:webHidden/>
              </w:rPr>
              <w:fldChar w:fldCharType="separate"/>
            </w:r>
            <w:r w:rsidR="005555C2">
              <w:rPr>
                <w:noProof/>
                <w:webHidden/>
              </w:rPr>
              <w:t>119</w:t>
            </w:r>
            <w:r w:rsidR="004009B9">
              <w:rPr>
                <w:noProof/>
                <w:webHidden/>
              </w:rPr>
              <w:fldChar w:fldCharType="end"/>
            </w:r>
          </w:hyperlink>
        </w:p>
        <w:p w14:paraId="753CD0DE" w14:textId="650FA782"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395" w:history="1">
            <w:r w:rsidR="004009B9" w:rsidRPr="006F148B">
              <w:rPr>
                <w:rStyle w:val="Hyperlink"/>
                <w:rFonts w:cstheme="minorHAnsi"/>
                <w:b/>
                <w:bCs/>
                <w:noProof/>
              </w:rPr>
              <w:t>Annex 2: Multi Year Work Plan</w:t>
            </w:r>
            <w:r w:rsidR="004009B9">
              <w:rPr>
                <w:noProof/>
                <w:webHidden/>
              </w:rPr>
              <w:tab/>
            </w:r>
            <w:r w:rsidR="004009B9">
              <w:rPr>
                <w:noProof/>
                <w:webHidden/>
              </w:rPr>
              <w:fldChar w:fldCharType="begin"/>
            </w:r>
            <w:r w:rsidR="004009B9">
              <w:rPr>
                <w:noProof/>
                <w:webHidden/>
              </w:rPr>
              <w:instrText xml:space="preserve"> PAGEREF _Toc115094395 \h </w:instrText>
            </w:r>
            <w:r w:rsidR="004009B9">
              <w:rPr>
                <w:noProof/>
                <w:webHidden/>
              </w:rPr>
            </w:r>
            <w:r w:rsidR="004009B9">
              <w:rPr>
                <w:noProof/>
                <w:webHidden/>
              </w:rPr>
              <w:fldChar w:fldCharType="separate"/>
            </w:r>
            <w:r w:rsidR="005555C2">
              <w:rPr>
                <w:noProof/>
                <w:webHidden/>
              </w:rPr>
              <w:t>120</w:t>
            </w:r>
            <w:r w:rsidR="004009B9">
              <w:rPr>
                <w:noProof/>
                <w:webHidden/>
              </w:rPr>
              <w:fldChar w:fldCharType="end"/>
            </w:r>
          </w:hyperlink>
        </w:p>
        <w:p w14:paraId="3925C0FF" w14:textId="4884BE59"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396" w:history="1">
            <w:r w:rsidR="004009B9" w:rsidRPr="006F148B">
              <w:rPr>
                <w:rStyle w:val="Hyperlink"/>
                <w:rFonts w:cstheme="minorHAnsi"/>
                <w:b/>
                <w:bCs/>
                <w:noProof/>
              </w:rPr>
              <w:t>Annex 3: Monitoring Plan</w:t>
            </w:r>
            <w:r w:rsidR="004009B9">
              <w:rPr>
                <w:noProof/>
                <w:webHidden/>
              </w:rPr>
              <w:tab/>
            </w:r>
            <w:r w:rsidR="004009B9">
              <w:rPr>
                <w:noProof/>
                <w:webHidden/>
              </w:rPr>
              <w:fldChar w:fldCharType="begin"/>
            </w:r>
            <w:r w:rsidR="004009B9">
              <w:rPr>
                <w:noProof/>
                <w:webHidden/>
              </w:rPr>
              <w:instrText xml:space="preserve"> PAGEREF _Toc115094396 \h </w:instrText>
            </w:r>
            <w:r w:rsidR="004009B9">
              <w:rPr>
                <w:noProof/>
                <w:webHidden/>
              </w:rPr>
            </w:r>
            <w:r w:rsidR="004009B9">
              <w:rPr>
                <w:noProof/>
                <w:webHidden/>
              </w:rPr>
              <w:fldChar w:fldCharType="separate"/>
            </w:r>
            <w:r w:rsidR="005555C2">
              <w:rPr>
                <w:noProof/>
                <w:webHidden/>
              </w:rPr>
              <w:t>129</w:t>
            </w:r>
            <w:r w:rsidR="004009B9">
              <w:rPr>
                <w:noProof/>
                <w:webHidden/>
              </w:rPr>
              <w:fldChar w:fldCharType="end"/>
            </w:r>
          </w:hyperlink>
        </w:p>
        <w:p w14:paraId="7869CEAD" w14:textId="0A9D577E"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397" w:history="1">
            <w:r w:rsidR="004009B9" w:rsidRPr="006F148B">
              <w:rPr>
                <w:rStyle w:val="Hyperlink"/>
                <w:rFonts w:cstheme="minorHAnsi"/>
                <w:b/>
                <w:bCs/>
                <w:noProof/>
              </w:rPr>
              <w:t>Annex 4: UNDP Social and Environmental Screening Procedure (SESP)</w:t>
            </w:r>
            <w:r w:rsidR="004009B9">
              <w:rPr>
                <w:noProof/>
                <w:webHidden/>
              </w:rPr>
              <w:tab/>
            </w:r>
            <w:r w:rsidR="004009B9">
              <w:rPr>
                <w:noProof/>
                <w:webHidden/>
              </w:rPr>
              <w:fldChar w:fldCharType="begin"/>
            </w:r>
            <w:r w:rsidR="004009B9">
              <w:rPr>
                <w:noProof/>
                <w:webHidden/>
              </w:rPr>
              <w:instrText xml:space="preserve"> PAGEREF _Toc115094397 \h </w:instrText>
            </w:r>
            <w:r w:rsidR="004009B9">
              <w:rPr>
                <w:noProof/>
                <w:webHidden/>
              </w:rPr>
            </w:r>
            <w:r w:rsidR="004009B9">
              <w:rPr>
                <w:noProof/>
                <w:webHidden/>
              </w:rPr>
              <w:fldChar w:fldCharType="separate"/>
            </w:r>
            <w:r w:rsidR="005555C2">
              <w:rPr>
                <w:noProof/>
                <w:webHidden/>
              </w:rPr>
              <w:t>139</w:t>
            </w:r>
            <w:r w:rsidR="004009B9">
              <w:rPr>
                <w:noProof/>
                <w:webHidden/>
              </w:rPr>
              <w:fldChar w:fldCharType="end"/>
            </w:r>
          </w:hyperlink>
        </w:p>
        <w:p w14:paraId="0E2AAD19" w14:textId="10AAD3CF"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398" w:history="1">
            <w:r w:rsidR="004009B9" w:rsidRPr="006F148B">
              <w:rPr>
                <w:rStyle w:val="Hyperlink"/>
                <w:rFonts w:cstheme="minorHAnsi"/>
                <w:b/>
                <w:bCs/>
                <w:noProof/>
              </w:rPr>
              <w:t>Annex 5: UNDP Risk Register</w:t>
            </w:r>
            <w:r w:rsidR="004009B9">
              <w:rPr>
                <w:noProof/>
                <w:webHidden/>
              </w:rPr>
              <w:tab/>
            </w:r>
            <w:r w:rsidR="004009B9">
              <w:rPr>
                <w:noProof/>
                <w:webHidden/>
              </w:rPr>
              <w:fldChar w:fldCharType="begin"/>
            </w:r>
            <w:r w:rsidR="004009B9">
              <w:rPr>
                <w:noProof/>
                <w:webHidden/>
              </w:rPr>
              <w:instrText xml:space="preserve"> PAGEREF _Toc115094398 \h </w:instrText>
            </w:r>
            <w:r w:rsidR="004009B9">
              <w:rPr>
                <w:noProof/>
                <w:webHidden/>
              </w:rPr>
            </w:r>
            <w:r w:rsidR="004009B9">
              <w:rPr>
                <w:noProof/>
                <w:webHidden/>
              </w:rPr>
              <w:fldChar w:fldCharType="separate"/>
            </w:r>
            <w:r w:rsidR="005555C2">
              <w:rPr>
                <w:noProof/>
                <w:webHidden/>
              </w:rPr>
              <w:t>140</w:t>
            </w:r>
            <w:r w:rsidR="004009B9">
              <w:rPr>
                <w:noProof/>
                <w:webHidden/>
              </w:rPr>
              <w:fldChar w:fldCharType="end"/>
            </w:r>
          </w:hyperlink>
        </w:p>
        <w:p w14:paraId="163F6171" w14:textId="1928170C"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399" w:history="1">
            <w:r w:rsidR="004009B9" w:rsidRPr="006F148B">
              <w:rPr>
                <w:rStyle w:val="Hyperlink"/>
                <w:rFonts w:cstheme="minorHAnsi"/>
                <w:b/>
                <w:bCs/>
                <w:noProof/>
              </w:rPr>
              <w:t>Annex 6: Overview of Project Staff and Technical Consultancies</w:t>
            </w:r>
            <w:r w:rsidR="004009B9">
              <w:rPr>
                <w:noProof/>
                <w:webHidden/>
              </w:rPr>
              <w:tab/>
            </w:r>
            <w:r w:rsidR="004009B9">
              <w:rPr>
                <w:noProof/>
                <w:webHidden/>
              </w:rPr>
              <w:fldChar w:fldCharType="begin"/>
            </w:r>
            <w:r w:rsidR="004009B9">
              <w:rPr>
                <w:noProof/>
                <w:webHidden/>
              </w:rPr>
              <w:instrText xml:space="preserve"> PAGEREF _Toc115094399 \h </w:instrText>
            </w:r>
            <w:r w:rsidR="004009B9">
              <w:rPr>
                <w:noProof/>
                <w:webHidden/>
              </w:rPr>
            </w:r>
            <w:r w:rsidR="004009B9">
              <w:rPr>
                <w:noProof/>
                <w:webHidden/>
              </w:rPr>
              <w:fldChar w:fldCharType="separate"/>
            </w:r>
            <w:r w:rsidR="005555C2">
              <w:rPr>
                <w:noProof/>
                <w:webHidden/>
              </w:rPr>
              <w:t>143</w:t>
            </w:r>
            <w:r w:rsidR="004009B9">
              <w:rPr>
                <w:noProof/>
                <w:webHidden/>
              </w:rPr>
              <w:fldChar w:fldCharType="end"/>
            </w:r>
          </w:hyperlink>
        </w:p>
        <w:p w14:paraId="1889D8DC" w14:textId="1A66A268"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400" w:history="1">
            <w:r w:rsidR="004009B9" w:rsidRPr="006F148B">
              <w:rPr>
                <w:rStyle w:val="Hyperlink"/>
                <w:rFonts w:cstheme="minorHAnsi"/>
                <w:b/>
                <w:bCs/>
                <w:noProof/>
              </w:rPr>
              <w:t>Annex 7: Stakeholder Engagement Plan</w:t>
            </w:r>
            <w:r w:rsidR="004009B9">
              <w:rPr>
                <w:noProof/>
                <w:webHidden/>
              </w:rPr>
              <w:tab/>
            </w:r>
            <w:r w:rsidR="004009B9">
              <w:rPr>
                <w:noProof/>
                <w:webHidden/>
              </w:rPr>
              <w:fldChar w:fldCharType="begin"/>
            </w:r>
            <w:r w:rsidR="004009B9">
              <w:rPr>
                <w:noProof/>
                <w:webHidden/>
              </w:rPr>
              <w:instrText xml:space="preserve"> PAGEREF _Toc115094400 \h </w:instrText>
            </w:r>
            <w:r w:rsidR="004009B9">
              <w:rPr>
                <w:noProof/>
                <w:webHidden/>
              </w:rPr>
            </w:r>
            <w:r w:rsidR="004009B9">
              <w:rPr>
                <w:noProof/>
                <w:webHidden/>
              </w:rPr>
              <w:fldChar w:fldCharType="separate"/>
            </w:r>
            <w:r w:rsidR="005555C2">
              <w:rPr>
                <w:noProof/>
                <w:webHidden/>
              </w:rPr>
              <w:t>151</w:t>
            </w:r>
            <w:r w:rsidR="004009B9">
              <w:rPr>
                <w:noProof/>
                <w:webHidden/>
              </w:rPr>
              <w:fldChar w:fldCharType="end"/>
            </w:r>
          </w:hyperlink>
        </w:p>
        <w:p w14:paraId="7B513B39" w14:textId="0684BF97"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401" w:history="1">
            <w:r w:rsidR="004009B9" w:rsidRPr="006F148B">
              <w:rPr>
                <w:rStyle w:val="Hyperlink"/>
                <w:rFonts w:cstheme="minorHAnsi"/>
                <w:b/>
                <w:bCs/>
                <w:noProof/>
              </w:rPr>
              <w:t>Annex 8: Gender Analysis and Gender Action Plan</w:t>
            </w:r>
            <w:r w:rsidR="004009B9">
              <w:rPr>
                <w:noProof/>
                <w:webHidden/>
              </w:rPr>
              <w:tab/>
            </w:r>
            <w:r w:rsidR="004009B9">
              <w:rPr>
                <w:noProof/>
                <w:webHidden/>
              </w:rPr>
              <w:fldChar w:fldCharType="begin"/>
            </w:r>
            <w:r w:rsidR="004009B9">
              <w:rPr>
                <w:noProof/>
                <w:webHidden/>
              </w:rPr>
              <w:instrText xml:space="preserve"> PAGEREF _Toc115094401 \h </w:instrText>
            </w:r>
            <w:r w:rsidR="004009B9">
              <w:rPr>
                <w:noProof/>
                <w:webHidden/>
              </w:rPr>
            </w:r>
            <w:r w:rsidR="004009B9">
              <w:rPr>
                <w:noProof/>
                <w:webHidden/>
              </w:rPr>
              <w:fldChar w:fldCharType="separate"/>
            </w:r>
            <w:r w:rsidR="005555C2">
              <w:rPr>
                <w:noProof/>
                <w:webHidden/>
              </w:rPr>
              <w:t>157</w:t>
            </w:r>
            <w:r w:rsidR="004009B9">
              <w:rPr>
                <w:noProof/>
                <w:webHidden/>
              </w:rPr>
              <w:fldChar w:fldCharType="end"/>
            </w:r>
          </w:hyperlink>
        </w:p>
        <w:p w14:paraId="7659E899" w14:textId="5673003D"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402" w:history="1">
            <w:r w:rsidR="004009B9" w:rsidRPr="006F148B">
              <w:rPr>
                <w:rStyle w:val="Hyperlink"/>
                <w:rFonts w:cstheme="minorHAnsi"/>
                <w:b/>
                <w:bCs/>
                <w:noProof/>
              </w:rPr>
              <w:t>Annex 9: Procurement Plan</w:t>
            </w:r>
            <w:r w:rsidR="004009B9">
              <w:rPr>
                <w:noProof/>
                <w:webHidden/>
              </w:rPr>
              <w:tab/>
            </w:r>
            <w:r w:rsidR="004009B9">
              <w:rPr>
                <w:noProof/>
                <w:webHidden/>
              </w:rPr>
              <w:fldChar w:fldCharType="begin"/>
            </w:r>
            <w:r w:rsidR="004009B9">
              <w:rPr>
                <w:noProof/>
                <w:webHidden/>
              </w:rPr>
              <w:instrText xml:space="preserve"> PAGEREF _Toc115094402 \h </w:instrText>
            </w:r>
            <w:r w:rsidR="004009B9">
              <w:rPr>
                <w:noProof/>
                <w:webHidden/>
              </w:rPr>
            </w:r>
            <w:r w:rsidR="004009B9">
              <w:rPr>
                <w:noProof/>
                <w:webHidden/>
              </w:rPr>
              <w:fldChar w:fldCharType="separate"/>
            </w:r>
            <w:r w:rsidR="005555C2">
              <w:rPr>
                <w:noProof/>
                <w:webHidden/>
              </w:rPr>
              <w:t>161</w:t>
            </w:r>
            <w:r w:rsidR="004009B9">
              <w:rPr>
                <w:noProof/>
                <w:webHidden/>
              </w:rPr>
              <w:fldChar w:fldCharType="end"/>
            </w:r>
          </w:hyperlink>
        </w:p>
        <w:p w14:paraId="723D2F30" w14:textId="7E7EC6DB"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403" w:history="1">
            <w:r w:rsidR="004009B9" w:rsidRPr="006F148B">
              <w:rPr>
                <w:rStyle w:val="Hyperlink"/>
                <w:rFonts w:cstheme="minorHAnsi"/>
                <w:b/>
                <w:bCs/>
                <w:noProof/>
              </w:rPr>
              <w:t>Annex 10: GEF Core indicators</w:t>
            </w:r>
            <w:r w:rsidR="004009B9">
              <w:rPr>
                <w:noProof/>
                <w:webHidden/>
              </w:rPr>
              <w:tab/>
            </w:r>
            <w:r w:rsidR="004009B9">
              <w:rPr>
                <w:noProof/>
                <w:webHidden/>
              </w:rPr>
              <w:fldChar w:fldCharType="begin"/>
            </w:r>
            <w:r w:rsidR="004009B9">
              <w:rPr>
                <w:noProof/>
                <w:webHidden/>
              </w:rPr>
              <w:instrText xml:space="preserve"> PAGEREF _Toc115094403 \h </w:instrText>
            </w:r>
            <w:r w:rsidR="004009B9">
              <w:rPr>
                <w:noProof/>
                <w:webHidden/>
              </w:rPr>
            </w:r>
            <w:r w:rsidR="004009B9">
              <w:rPr>
                <w:noProof/>
                <w:webHidden/>
              </w:rPr>
              <w:fldChar w:fldCharType="separate"/>
            </w:r>
            <w:r w:rsidR="005555C2">
              <w:rPr>
                <w:noProof/>
                <w:webHidden/>
              </w:rPr>
              <w:t>166</w:t>
            </w:r>
            <w:r w:rsidR="004009B9">
              <w:rPr>
                <w:noProof/>
                <w:webHidden/>
              </w:rPr>
              <w:fldChar w:fldCharType="end"/>
            </w:r>
          </w:hyperlink>
        </w:p>
        <w:p w14:paraId="30483D26" w14:textId="6BAEEC08"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404" w:history="1">
            <w:r w:rsidR="004009B9" w:rsidRPr="006F148B">
              <w:rPr>
                <w:rStyle w:val="Hyperlink"/>
                <w:rFonts w:cstheme="minorHAnsi"/>
                <w:b/>
                <w:bCs/>
                <w:noProof/>
              </w:rPr>
              <w:t>Annex 11: GEF 7 Taxonomy</w:t>
            </w:r>
            <w:r w:rsidR="004009B9">
              <w:rPr>
                <w:noProof/>
                <w:webHidden/>
              </w:rPr>
              <w:tab/>
            </w:r>
            <w:r w:rsidR="004009B9">
              <w:rPr>
                <w:noProof/>
                <w:webHidden/>
              </w:rPr>
              <w:fldChar w:fldCharType="begin"/>
            </w:r>
            <w:r w:rsidR="004009B9">
              <w:rPr>
                <w:noProof/>
                <w:webHidden/>
              </w:rPr>
              <w:instrText xml:space="preserve"> PAGEREF _Toc115094404 \h </w:instrText>
            </w:r>
            <w:r w:rsidR="004009B9">
              <w:rPr>
                <w:noProof/>
                <w:webHidden/>
              </w:rPr>
            </w:r>
            <w:r w:rsidR="004009B9">
              <w:rPr>
                <w:noProof/>
                <w:webHidden/>
              </w:rPr>
              <w:fldChar w:fldCharType="separate"/>
            </w:r>
            <w:r w:rsidR="005555C2">
              <w:rPr>
                <w:noProof/>
                <w:webHidden/>
              </w:rPr>
              <w:t>171</w:t>
            </w:r>
            <w:r w:rsidR="004009B9">
              <w:rPr>
                <w:noProof/>
                <w:webHidden/>
              </w:rPr>
              <w:fldChar w:fldCharType="end"/>
            </w:r>
          </w:hyperlink>
        </w:p>
        <w:p w14:paraId="5E5EA642" w14:textId="4EAF7EE2" w:rsidR="004009B9" w:rsidRDefault="00F57A55">
          <w:pPr>
            <w:pStyle w:val="TOC2"/>
            <w:tabs>
              <w:tab w:val="right" w:leader="dot" w:pos="9016"/>
            </w:tabs>
            <w:rPr>
              <w:rFonts w:eastAsiaTheme="minorEastAsia" w:cstheme="minorBidi"/>
              <w:smallCaps w:val="0"/>
              <w:noProof/>
              <w:sz w:val="22"/>
              <w:szCs w:val="22"/>
              <w:lang w:val="fr-FR" w:eastAsia="zh-CN"/>
            </w:rPr>
          </w:pPr>
          <w:hyperlink w:anchor="_Toc115094405" w:history="1">
            <w:r w:rsidR="004009B9" w:rsidRPr="006F148B">
              <w:rPr>
                <w:rStyle w:val="Hyperlink"/>
                <w:rFonts w:cstheme="minorHAnsi"/>
                <w:b/>
                <w:bCs/>
                <w:noProof/>
              </w:rPr>
              <w:t>Annex 12: Co-financing letters</w:t>
            </w:r>
            <w:r w:rsidR="004009B9">
              <w:rPr>
                <w:noProof/>
                <w:webHidden/>
              </w:rPr>
              <w:tab/>
            </w:r>
            <w:r w:rsidR="004009B9">
              <w:rPr>
                <w:noProof/>
                <w:webHidden/>
              </w:rPr>
              <w:fldChar w:fldCharType="begin"/>
            </w:r>
            <w:r w:rsidR="004009B9">
              <w:rPr>
                <w:noProof/>
                <w:webHidden/>
              </w:rPr>
              <w:instrText xml:space="preserve"> PAGEREF _Toc115094405 \h </w:instrText>
            </w:r>
            <w:r w:rsidR="004009B9">
              <w:rPr>
                <w:noProof/>
                <w:webHidden/>
              </w:rPr>
            </w:r>
            <w:r w:rsidR="004009B9">
              <w:rPr>
                <w:noProof/>
                <w:webHidden/>
              </w:rPr>
              <w:fldChar w:fldCharType="separate"/>
            </w:r>
            <w:r w:rsidR="005555C2">
              <w:rPr>
                <w:noProof/>
                <w:webHidden/>
              </w:rPr>
              <w:t>178</w:t>
            </w:r>
            <w:r w:rsidR="004009B9">
              <w:rPr>
                <w:noProof/>
                <w:webHidden/>
              </w:rPr>
              <w:fldChar w:fldCharType="end"/>
            </w:r>
          </w:hyperlink>
        </w:p>
        <w:p w14:paraId="2F9F06DF" w14:textId="701D0871" w:rsidR="0060142C" w:rsidRDefault="0060142C" w:rsidP="0060142C">
          <w:pPr>
            <w:rPr>
              <w:noProof/>
              <w:sz w:val="20"/>
              <w:szCs w:val="20"/>
            </w:rPr>
          </w:pPr>
          <w:r>
            <w:rPr>
              <w:b/>
              <w:bCs/>
              <w:noProof/>
              <w:sz w:val="20"/>
              <w:szCs w:val="20"/>
            </w:rPr>
            <w:fldChar w:fldCharType="end"/>
          </w:r>
        </w:p>
      </w:sdtContent>
    </w:sdt>
    <w:p w14:paraId="0523CCFB" w14:textId="2549B431" w:rsidR="00674527" w:rsidRDefault="00674527" w:rsidP="00674527">
      <w:pPr>
        <w:rPr>
          <w:b/>
          <w:bCs/>
          <w:noProof/>
          <w:szCs w:val="20"/>
        </w:rPr>
      </w:pPr>
      <w:bookmarkStart w:id="0" w:name="_Toc407785517"/>
      <w:bookmarkStart w:id="1" w:name="_Toc46749077"/>
    </w:p>
    <w:p w14:paraId="42469972" w14:textId="77777777" w:rsidR="00674527" w:rsidRDefault="00674527" w:rsidP="00674527">
      <w:pPr>
        <w:rPr>
          <w:rFonts w:asciiTheme="minorHAnsi" w:hAnsiTheme="minorHAnsi" w:cstheme="minorHAnsi"/>
          <w:b/>
          <w:sz w:val="28"/>
          <w:szCs w:val="28"/>
        </w:rPr>
      </w:pPr>
      <w:r>
        <w:rPr>
          <w:rFonts w:asciiTheme="minorHAnsi" w:hAnsiTheme="minorHAnsi" w:cstheme="minorHAnsi"/>
          <w:b/>
          <w:sz w:val="28"/>
          <w:szCs w:val="28"/>
        </w:rPr>
        <w:t>L</w:t>
      </w:r>
      <w:r>
        <w:rPr>
          <w:rFonts w:asciiTheme="minorHAnsi" w:hAnsiTheme="minorHAnsi" w:cstheme="minorHAnsi"/>
          <w:b/>
        </w:rPr>
        <w:t>IST</w:t>
      </w:r>
      <w:r>
        <w:rPr>
          <w:rFonts w:asciiTheme="minorHAnsi" w:hAnsiTheme="minorHAnsi" w:cstheme="minorHAnsi"/>
          <w:b/>
          <w:sz w:val="28"/>
          <w:szCs w:val="28"/>
        </w:rPr>
        <w:t xml:space="preserve"> O</w:t>
      </w:r>
      <w:r>
        <w:rPr>
          <w:rFonts w:asciiTheme="minorHAnsi" w:hAnsiTheme="minorHAnsi" w:cstheme="minorHAnsi"/>
          <w:b/>
        </w:rPr>
        <w:t>F</w:t>
      </w:r>
      <w:r>
        <w:rPr>
          <w:rFonts w:asciiTheme="minorHAnsi" w:hAnsiTheme="minorHAnsi" w:cstheme="minorHAnsi"/>
          <w:b/>
          <w:sz w:val="28"/>
          <w:szCs w:val="28"/>
        </w:rPr>
        <w:t xml:space="preserve"> A</w:t>
      </w:r>
      <w:r>
        <w:rPr>
          <w:rFonts w:asciiTheme="minorHAnsi" w:hAnsiTheme="minorHAnsi" w:cstheme="minorHAnsi"/>
          <w:b/>
        </w:rPr>
        <w:t>CRONYMS</w:t>
      </w:r>
    </w:p>
    <w:p w14:paraId="29799411" w14:textId="77777777" w:rsidR="00674527" w:rsidRDefault="00674527" w:rsidP="00674527">
      <w:pPr>
        <w:rPr>
          <w:rFonts w:asciiTheme="minorHAnsi" w:hAnsiTheme="minorHAnsi" w:cstheme="minorHAnsi"/>
          <w:b/>
        </w:rPr>
      </w:pPr>
    </w:p>
    <w:p w14:paraId="38321376" w14:textId="77777777" w:rsidR="00674527" w:rsidRDefault="00674527" w:rsidP="00674527">
      <w:pPr>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ABNJ    </w:t>
      </w:r>
      <w:r>
        <w:rPr>
          <w:rFonts w:asciiTheme="minorHAnsi" w:hAnsiTheme="minorHAnsi" w:cstheme="minorHAnsi"/>
          <w:color w:val="201F1E"/>
          <w:sz w:val="22"/>
          <w:szCs w:val="22"/>
          <w:shd w:val="clear" w:color="auto" w:fill="FFFFFF"/>
        </w:rPr>
        <w:tab/>
      </w:r>
      <w:r>
        <w:rPr>
          <w:rFonts w:asciiTheme="minorHAnsi" w:hAnsiTheme="minorHAnsi" w:cstheme="minorHAnsi"/>
          <w:color w:val="201F1E"/>
          <w:sz w:val="22"/>
          <w:szCs w:val="22"/>
          <w:shd w:val="clear" w:color="auto" w:fill="FFFFFF"/>
        </w:rPr>
        <w:tab/>
        <w:t>Area Beyond National Jurisdiction</w:t>
      </w:r>
    </w:p>
    <w:p w14:paraId="7421740D" w14:textId="77777777" w:rsidR="00674527" w:rsidRDefault="00674527" w:rsidP="00674527">
      <w:pPr>
        <w:rPr>
          <w:rFonts w:asciiTheme="minorHAnsi" w:hAnsiTheme="minorHAnsi" w:cstheme="minorHAnsi"/>
          <w:color w:val="201F1E"/>
          <w:sz w:val="22"/>
          <w:szCs w:val="22"/>
        </w:rPr>
      </w:pPr>
      <w:r>
        <w:rPr>
          <w:rFonts w:asciiTheme="minorHAnsi" w:hAnsiTheme="minorHAnsi" w:cstheme="minorHAnsi"/>
          <w:color w:val="201F1E"/>
          <w:sz w:val="22"/>
          <w:szCs w:val="22"/>
        </w:rPr>
        <w:t>AMCOW</w:t>
      </w:r>
      <w:r>
        <w:rPr>
          <w:rFonts w:asciiTheme="minorHAnsi" w:hAnsiTheme="minorHAnsi" w:cstheme="minorHAnsi"/>
          <w:color w:val="201F1E"/>
          <w:sz w:val="22"/>
          <w:szCs w:val="22"/>
        </w:rPr>
        <w:tab/>
        <w:t>The African Ministers’ Council on Water</w:t>
      </w:r>
    </w:p>
    <w:p w14:paraId="426DFCED" w14:textId="77777777" w:rsidR="00674527" w:rsidRDefault="00674527" w:rsidP="00674527">
      <w:pPr>
        <w:rPr>
          <w:rFonts w:asciiTheme="minorHAnsi" w:hAnsiTheme="minorHAnsi" w:cstheme="minorHAnsi"/>
          <w:color w:val="201F1E"/>
          <w:sz w:val="22"/>
          <w:szCs w:val="22"/>
        </w:rPr>
      </w:pPr>
      <w:r>
        <w:rPr>
          <w:rFonts w:asciiTheme="minorHAnsi" w:hAnsiTheme="minorHAnsi" w:cstheme="minorHAnsi"/>
          <w:color w:val="201F1E"/>
          <w:sz w:val="22"/>
          <w:szCs w:val="22"/>
        </w:rPr>
        <w:t>AOSIS</w:t>
      </w:r>
      <w:r>
        <w:rPr>
          <w:rFonts w:asciiTheme="minorHAnsi" w:hAnsiTheme="minorHAnsi" w:cstheme="minorHAnsi"/>
          <w:color w:val="201F1E"/>
          <w:sz w:val="22"/>
          <w:szCs w:val="22"/>
        </w:rPr>
        <w:tab/>
      </w:r>
      <w:r>
        <w:rPr>
          <w:rFonts w:asciiTheme="minorHAnsi" w:hAnsiTheme="minorHAnsi" w:cstheme="minorHAnsi"/>
          <w:color w:val="201F1E"/>
          <w:sz w:val="22"/>
          <w:szCs w:val="22"/>
        </w:rPr>
        <w:tab/>
        <w:t>Alliance of Small Island States</w:t>
      </w:r>
    </w:p>
    <w:p w14:paraId="108CE0A6" w14:textId="77777777" w:rsidR="00674527" w:rsidRDefault="00674527" w:rsidP="00674527">
      <w:pPr>
        <w:rPr>
          <w:rFonts w:asciiTheme="minorHAnsi" w:hAnsiTheme="minorHAnsi" w:cstheme="minorHAnsi"/>
          <w:color w:val="201F1E"/>
          <w:sz w:val="22"/>
          <w:szCs w:val="22"/>
        </w:rPr>
      </w:pPr>
      <w:r>
        <w:rPr>
          <w:rFonts w:asciiTheme="minorHAnsi" w:hAnsiTheme="minorHAnsi" w:cstheme="minorHAnsi"/>
          <w:color w:val="201F1E"/>
          <w:sz w:val="22"/>
          <w:szCs w:val="22"/>
        </w:rPr>
        <w:t>API</w:t>
      </w:r>
      <w:r>
        <w:rPr>
          <w:rFonts w:asciiTheme="minorHAnsi" w:hAnsiTheme="minorHAnsi" w:cstheme="minorHAnsi"/>
          <w:color w:val="201F1E"/>
          <w:sz w:val="22"/>
          <w:szCs w:val="22"/>
        </w:rPr>
        <w:tab/>
      </w:r>
      <w:r>
        <w:rPr>
          <w:rFonts w:asciiTheme="minorHAnsi" w:hAnsiTheme="minorHAnsi" w:cstheme="minorHAnsi"/>
          <w:color w:val="201F1E"/>
          <w:sz w:val="22"/>
          <w:szCs w:val="22"/>
        </w:rPr>
        <w:tab/>
        <w:t xml:space="preserve">Application </w:t>
      </w:r>
      <w:proofErr w:type="spellStart"/>
      <w:r>
        <w:rPr>
          <w:rFonts w:asciiTheme="minorHAnsi" w:hAnsiTheme="minorHAnsi" w:cstheme="minorHAnsi"/>
          <w:color w:val="201F1E"/>
          <w:sz w:val="22"/>
          <w:szCs w:val="22"/>
        </w:rPr>
        <w:t>Programme</w:t>
      </w:r>
      <w:proofErr w:type="spellEnd"/>
      <w:r>
        <w:rPr>
          <w:rFonts w:asciiTheme="minorHAnsi" w:hAnsiTheme="minorHAnsi" w:cstheme="minorHAnsi"/>
          <w:color w:val="201F1E"/>
          <w:sz w:val="22"/>
          <w:szCs w:val="22"/>
        </w:rPr>
        <w:t xml:space="preserve"> Interface</w:t>
      </w:r>
    </w:p>
    <w:p w14:paraId="0792FDE6" w14:textId="77777777" w:rsidR="00674527" w:rsidRDefault="00674527" w:rsidP="00674527">
      <w:pPr>
        <w:rPr>
          <w:rFonts w:asciiTheme="minorHAnsi" w:hAnsiTheme="minorHAnsi" w:cstheme="minorHAnsi"/>
          <w:color w:val="201F1E"/>
          <w:sz w:val="22"/>
          <w:szCs w:val="22"/>
        </w:rPr>
      </w:pPr>
      <w:r>
        <w:rPr>
          <w:rFonts w:asciiTheme="minorHAnsi" w:hAnsiTheme="minorHAnsi" w:cstheme="minorHAnsi"/>
          <w:color w:val="201F1E"/>
          <w:sz w:val="22"/>
          <w:szCs w:val="22"/>
        </w:rPr>
        <w:t>BBNJ</w:t>
      </w:r>
      <w:r>
        <w:rPr>
          <w:rFonts w:asciiTheme="minorHAnsi" w:hAnsiTheme="minorHAnsi" w:cstheme="minorHAnsi"/>
          <w:color w:val="201F1E"/>
          <w:sz w:val="22"/>
          <w:szCs w:val="22"/>
        </w:rPr>
        <w:tab/>
      </w:r>
      <w:r>
        <w:rPr>
          <w:rFonts w:asciiTheme="minorHAnsi" w:hAnsiTheme="minorHAnsi" w:cstheme="minorHAnsi"/>
          <w:color w:val="201F1E"/>
          <w:sz w:val="22"/>
          <w:szCs w:val="22"/>
        </w:rPr>
        <w:tab/>
        <w:t>Biodiversity of Areas Beyond National Jurisdiction</w:t>
      </w:r>
    </w:p>
    <w:p w14:paraId="2D231FDF" w14:textId="77777777" w:rsidR="00674527" w:rsidRDefault="00674527" w:rsidP="00674527">
      <w:pPr>
        <w:rPr>
          <w:rFonts w:asciiTheme="minorHAnsi" w:hAnsiTheme="minorHAnsi" w:cstheme="minorHAnsi"/>
          <w:color w:val="201F1E"/>
          <w:sz w:val="22"/>
          <w:szCs w:val="22"/>
        </w:rPr>
      </w:pPr>
      <w:r>
        <w:rPr>
          <w:rFonts w:asciiTheme="minorHAnsi" w:hAnsiTheme="minorHAnsi" w:cstheme="minorHAnsi"/>
          <w:color w:val="201F1E"/>
          <w:sz w:val="22"/>
          <w:szCs w:val="22"/>
        </w:rPr>
        <w:t>BGR</w:t>
      </w:r>
      <w:r>
        <w:rPr>
          <w:rFonts w:asciiTheme="minorHAnsi" w:hAnsiTheme="minorHAnsi" w:cstheme="minorHAnsi"/>
          <w:color w:val="201F1E"/>
          <w:sz w:val="22"/>
          <w:szCs w:val="22"/>
        </w:rPr>
        <w:tab/>
      </w:r>
      <w:r>
        <w:rPr>
          <w:rFonts w:asciiTheme="minorHAnsi" w:hAnsiTheme="minorHAnsi" w:cstheme="minorHAnsi"/>
          <w:color w:val="201F1E"/>
          <w:sz w:val="22"/>
          <w:szCs w:val="22"/>
        </w:rPr>
        <w:tab/>
        <w:t>German Federal Institute of Geosciences and Natural Resources</w:t>
      </w:r>
    </w:p>
    <w:p w14:paraId="378A7425" w14:textId="77777777" w:rsidR="00674527" w:rsidRDefault="00674527" w:rsidP="00674527">
      <w:pPr>
        <w:rPr>
          <w:rFonts w:asciiTheme="minorHAnsi" w:hAnsiTheme="minorHAnsi" w:cstheme="minorHAnsi"/>
          <w:color w:val="201F1E"/>
          <w:sz w:val="22"/>
          <w:szCs w:val="22"/>
        </w:rPr>
      </w:pPr>
      <w:r>
        <w:rPr>
          <w:rFonts w:asciiTheme="minorHAnsi" w:hAnsiTheme="minorHAnsi" w:cstheme="minorHAnsi"/>
          <w:color w:val="201F1E"/>
          <w:sz w:val="22"/>
          <w:szCs w:val="22"/>
        </w:rPr>
        <w:t>BPPS</w:t>
      </w:r>
      <w:r>
        <w:rPr>
          <w:rFonts w:asciiTheme="minorHAnsi" w:hAnsiTheme="minorHAnsi" w:cstheme="minorHAnsi"/>
          <w:color w:val="201F1E"/>
          <w:sz w:val="22"/>
          <w:szCs w:val="22"/>
        </w:rPr>
        <w:tab/>
      </w:r>
      <w:r>
        <w:rPr>
          <w:rFonts w:asciiTheme="minorHAnsi" w:hAnsiTheme="minorHAnsi" w:cstheme="minorHAnsi"/>
          <w:color w:val="201F1E"/>
          <w:sz w:val="22"/>
          <w:szCs w:val="22"/>
        </w:rPr>
        <w:tab/>
        <w:t xml:space="preserve">UNDP Bureau for Policy and </w:t>
      </w:r>
      <w:proofErr w:type="spellStart"/>
      <w:r>
        <w:rPr>
          <w:rFonts w:asciiTheme="minorHAnsi" w:hAnsiTheme="minorHAnsi" w:cstheme="minorHAnsi"/>
          <w:color w:val="201F1E"/>
          <w:sz w:val="22"/>
          <w:szCs w:val="22"/>
        </w:rPr>
        <w:t>Programme</w:t>
      </w:r>
      <w:proofErr w:type="spellEnd"/>
      <w:r>
        <w:rPr>
          <w:rFonts w:asciiTheme="minorHAnsi" w:hAnsiTheme="minorHAnsi" w:cstheme="minorHAnsi"/>
          <w:color w:val="201F1E"/>
          <w:sz w:val="22"/>
          <w:szCs w:val="22"/>
        </w:rPr>
        <w:t xml:space="preserve"> Support</w:t>
      </w:r>
    </w:p>
    <w:p w14:paraId="559689E1" w14:textId="77777777" w:rsidR="00674527" w:rsidRDefault="00674527" w:rsidP="00674527">
      <w:pPr>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CAF</w:t>
      </w:r>
      <w:r>
        <w:rPr>
          <w:rFonts w:asciiTheme="minorHAnsi" w:hAnsiTheme="minorHAnsi" w:cstheme="minorHAnsi"/>
          <w:color w:val="201F1E"/>
          <w:sz w:val="22"/>
          <w:szCs w:val="22"/>
          <w:shd w:val="clear" w:color="auto" w:fill="FFFFFF"/>
        </w:rPr>
        <w:tab/>
      </w:r>
      <w:r>
        <w:rPr>
          <w:rFonts w:asciiTheme="minorHAnsi" w:hAnsiTheme="minorHAnsi" w:cstheme="minorHAnsi"/>
          <w:color w:val="201F1E"/>
          <w:sz w:val="22"/>
          <w:szCs w:val="22"/>
          <w:shd w:val="clear" w:color="auto" w:fill="FFFFFF"/>
        </w:rPr>
        <w:tab/>
        <w:t>Development Bank of South America</w:t>
      </w:r>
    </w:p>
    <w:p w14:paraId="0B345FCC"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 xml:space="preserve">Cap-Net            </w:t>
      </w:r>
      <w:r>
        <w:rPr>
          <w:rFonts w:asciiTheme="minorHAnsi" w:hAnsiTheme="minorHAnsi" w:cstheme="minorHAnsi"/>
          <w:color w:val="201F1E"/>
          <w:sz w:val="22"/>
          <w:szCs w:val="22"/>
          <w:shd w:val="clear" w:color="auto" w:fill="FFFFFF"/>
        </w:rPr>
        <w:tab/>
        <w:t>UNDP Capacity Development In Sustainable Water Management (Project)</w:t>
      </w:r>
    </w:p>
    <w:p w14:paraId="734BCD87"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CEO     </w:t>
      </w:r>
      <w:r>
        <w:rPr>
          <w:rFonts w:asciiTheme="minorHAnsi" w:hAnsiTheme="minorHAnsi" w:cstheme="minorHAnsi"/>
          <w:color w:val="201F1E"/>
          <w:sz w:val="22"/>
          <w:szCs w:val="22"/>
          <w:shd w:val="clear" w:color="auto" w:fill="FFFFFF"/>
        </w:rPr>
        <w:tab/>
        <w:t>Chief Executive Officer</w:t>
      </w:r>
    </w:p>
    <w:p w14:paraId="3E18ABA1"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CPRM</w:t>
      </w:r>
      <w:r>
        <w:rPr>
          <w:rFonts w:asciiTheme="minorHAnsi" w:hAnsiTheme="minorHAnsi" w:cstheme="minorHAnsi"/>
          <w:color w:val="201F1E"/>
          <w:sz w:val="22"/>
          <w:szCs w:val="22"/>
        </w:rPr>
        <w:tab/>
        <w:t>Geological Survey of Brazil</w:t>
      </w:r>
    </w:p>
    <w:p w14:paraId="537D156E" w14:textId="3CCB820C"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CoP      </w:t>
      </w:r>
      <w:r>
        <w:rPr>
          <w:rFonts w:asciiTheme="minorHAnsi" w:hAnsiTheme="minorHAnsi" w:cstheme="minorHAnsi"/>
          <w:color w:val="201F1E"/>
          <w:sz w:val="22"/>
          <w:szCs w:val="22"/>
          <w:shd w:val="clear" w:color="auto" w:fill="FFFFFF"/>
        </w:rPr>
        <w:tab/>
        <w:t>Community of Practice</w:t>
      </w:r>
    </w:p>
    <w:p w14:paraId="00AC03EB"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DIM</w:t>
      </w:r>
      <w:r>
        <w:rPr>
          <w:rFonts w:asciiTheme="minorHAnsi" w:hAnsiTheme="minorHAnsi" w:cstheme="minorHAnsi"/>
          <w:color w:val="201F1E"/>
          <w:sz w:val="22"/>
          <w:szCs w:val="22"/>
        </w:rPr>
        <w:tab/>
        <w:t>data and Information Management</w:t>
      </w:r>
    </w:p>
    <w:p w14:paraId="621EF183" w14:textId="6648DC9A"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 xml:space="preserve">EA </w:t>
      </w:r>
      <w:r>
        <w:rPr>
          <w:rFonts w:asciiTheme="minorHAnsi" w:hAnsiTheme="minorHAnsi" w:cstheme="minorHAnsi"/>
          <w:color w:val="201F1E"/>
          <w:sz w:val="22"/>
          <w:szCs w:val="22"/>
        </w:rPr>
        <w:tab/>
        <w:t>Executing Agency</w:t>
      </w:r>
    </w:p>
    <w:p w14:paraId="58240FB2"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EN</w:t>
      </w:r>
      <w:r>
        <w:rPr>
          <w:rFonts w:asciiTheme="minorHAnsi" w:hAnsiTheme="minorHAnsi" w:cstheme="minorHAnsi"/>
          <w:color w:val="201F1E"/>
          <w:sz w:val="22"/>
          <w:szCs w:val="22"/>
        </w:rPr>
        <w:tab/>
        <w:t>Experience Note</w:t>
      </w:r>
    </w:p>
    <w:p w14:paraId="7A7B148D" w14:textId="494024AB"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EO</w:t>
      </w:r>
      <w:r>
        <w:rPr>
          <w:rFonts w:asciiTheme="minorHAnsi" w:hAnsiTheme="minorHAnsi" w:cstheme="minorHAnsi"/>
          <w:color w:val="201F1E"/>
          <w:sz w:val="22"/>
          <w:szCs w:val="22"/>
        </w:rPr>
        <w:tab/>
        <w:t>Earth Observation</w:t>
      </w:r>
    </w:p>
    <w:p w14:paraId="5ED04CD9" w14:textId="1443DC69"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rPr>
        <w:t>ESA</w:t>
      </w:r>
      <w:r>
        <w:rPr>
          <w:rFonts w:asciiTheme="minorHAnsi" w:hAnsiTheme="minorHAnsi" w:cstheme="minorHAnsi"/>
          <w:color w:val="201F1E"/>
          <w:sz w:val="22"/>
          <w:szCs w:val="22"/>
        </w:rPr>
        <w:tab/>
        <w:t>European Space Agency</w:t>
      </w:r>
    </w:p>
    <w:p w14:paraId="782102C3" w14:textId="0A6B612B"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FAO</w:t>
      </w:r>
      <w:r>
        <w:rPr>
          <w:rFonts w:asciiTheme="minorHAnsi" w:hAnsiTheme="minorHAnsi" w:cstheme="minorHAnsi"/>
          <w:color w:val="201F1E"/>
          <w:sz w:val="22"/>
          <w:szCs w:val="22"/>
        </w:rPr>
        <w:tab/>
        <w:t xml:space="preserve">Food and Agriculture </w:t>
      </w:r>
      <w:proofErr w:type="spellStart"/>
      <w:r>
        <w:rPr>
          <w:rFonts w:asciiTheme="minorHAnsi" w:hAnsiTheme="minorHAnsi" w:cstheme="minorHAnsi"/>
          <w:color w:val="201F1E"/>
          <w:sz w:val="22"/>
          <w:szCs w:val="22"/>
        </w:rPr>
        <w:t>Organisation</w:t>
      </w:r>
      <w:proofErr w:type="spellEnd"/>
      <w:r>
        <w:rPr>
          <w:rFonts w:asciiTheme="minorHAnsi" w:hAnsiTheme="minorHAnsi" w:cstheme="minorHAnsi"/>
          <w:color w:val="201F1E"/>
          <w:sz w:val="22"/>
          <w:szCs w:val="22"/>
        </w:rPr>
        <w:t xml:space="preserve"> of the United Nations</w:t>
      </w:r>
    </w:p>
    <w:p w14:paraId="2573DC31"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GEF     </w:t>
      </w:r>
      <w:r>
        <w:rPr>
          <w:rFonts w:asciiTheme="minorHAnsi" w:hAnsiTheme="minorHAnsi" w:cstheme="minorHAnsi"/>
          <w:color w:val="201F1E"/>
          <w:sz w:val="22"/>
          <w:szCs w:val="22"/>
          <w:shd w:val="clear" w:color="auto" w:fill="FFFFFF"/>
        </w:rPr>
        <w:tab/>
        <w:t>Global Environment Facility</w:t>
      </w:r>
    </w:p>
    <w:p w14:paraId="68D30643"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GPA</w:t>
      </w:r>
      <w:r>
        <w:rPr>
          <w:rFonts w:asciiTheme="minorHAnsi" w:hAnsiTheme="minorHAnsi" w:cstheme="minorHAnsi"/>
          <w:color w:val="201F1E"/>
          <w:sz w:val="22"/>
          <w:szCs w:val="22"/>
        </w:rPr>
        <w:tab/>
        <w:t>Global program of Action</w:t>
      </w:r>
    </w:p>
    <w:p w14:paraId="02A4169B"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GWP    </w:t>
      </w:r>
      <w:r>
        <w:rPr>
          <w:rFonts w:asciiTheme="minorHAnsi" w:hAnsiTheme="minorHAnsi" w:cstheme="minorHAnsi"/>
          <w:color w:val="201F1E"/>
          <w:sz w:val="22"/>
          <w:szCs w:val="22"/>
          <w:shd w:val="clear" w:color="auto" w:fill="FFFFFF"/>
        </w:rPr>
        <w:tab/>
        <w:t>The Global Water Partnership</w:t>
      </w:r>
    </w:p>
    <w:p w14:paraId="6C03D8C0"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IAEA</w:t>
      </w:r>
      <w:r>
        <w:rPr>
          <w:rFonts w:asciiTheme="minorHAnsi" w:hAnsiTheme="minorHAnsi" w:cstheme="minorHAnsi"/>
          <w:color w:val="201F1E"/>
          <w:sz w:val="22"/>
          <w:szCs w:val="22"/>
          <w:shd w:val="clear" w:color="auto" w:fill="FFFFFF"/>
        </w:rPr>
        <w:tab/>
        <w:t>International Atomic Energy Agency</w:t>
      </w:r>
    </w:p>
    <w:p w14:paraId="6A9F308A"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IBRD</w:t>
      </w:r>
      <w:r>
        <w:rPr>
          <w:rFonts w:asciiTheme="minorHAnsi" w:hAnsiTheme="minorHAnsi" w:cstheme="minorHAnsi"/>
          <w:color w:val="201F1E"/>
          <w:sz w:val="22"/>
          <w:szCs w:val="22"/>
          <w:shd w:val="clear" w:color="auto" w:fill="FFFFFF"/>
        </w:rPr>
        <w:tab/>
        <w:t>International bank for Reconstruction and Development</w:t>
      </w:r>
    </w:p>
    <w:p w14:paraId="78161989"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IACG</w:t>
      </w:r>
      <w:r>
        <w:rPr>
          <w:rFonts w:asciiTheme="minorHAnsi" w:hAnsiTheme="minorHAnsi" w:cstheme="minorHAnsi"/>
          <w:color w:val="201F1E"/>
          <w:sz w:val="22"/>
          <w:szCs w:val="22"/>
          <w:shd w:val="clear" w:color="auto" w:fill="FFFFFF"/>
        </w:rPr>
        <w:tab/>
        <w:t>Inter-Agency Consultative Group</w:t>
      </w:r>
    </w:p>
    <w:p w14:paraId="02DEA332"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ICPDR</w:t>
      </w:r>
      <w:r>
        <w:rPr>
          <w:rFonts w:asciiTheme="minorHAnsi" w:hAnsiTheme="minorHAnsi" w:cstheme="minorHAnsi"/>
          <w:color w:val="201F1E"/>
          <w:sz w:val="22"/>
          <w:szCs w:val="22"/>
        </w:rPr>
        <w:tab/>
        <w:t>International Commission for the Protection of the Danube River</w:t>
      </w:r>
    </w:p>
    <w:p w14:paraId="3227638C"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ICM      </w:t>
      </w:r>
      <w:r>
        <w:rPr>
          <w:rFonts w:asciiTheme="minorHAnsi" w:hAnsiTheme="minorHAnsi" w:cstheme="minorHAnsi"/>
          <w:color w:val="201F1E"/>
          <w:sz w:val="22"/>
          <w:szCs w:val="22"/>
          <w:shd w:val="clear" w:color="auto" w:fill="FFFFFF"/>
        </w:rPr>
        <w:tab/>
        <w:t>Integrated Coastal Management</w:t>
      </w:r>
    </w:p>
    <w:p w14:paraId="2C22B60C"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ICT</w:t>
      </w:r>
      <w:r>
        <w:rPr>
          <w:rFonts w:asciiTheme="minorHAnsi" w:hAnsiTheme="minorHAnsi" w:cstheme="minorHAnsi"/>
          <w:color w:val="201F1E"/>
          <w:sz w:val="22"/>
          <w:szCs w:val="22"/>
          <w:shd w:val="clear" w:color="auto" w:fill="FFFFFF"/>
        </w:rPr>
        <w:tab/>
        <w:t>Information and Communication Technology</w:t>
      </w:r>
    </w:p>
    <w:p w14:paraId="4AAEC014" w14:textId="20D29238"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IDB</w:t>
      </w:r>
      <w:r>
        <w:rPr>
          <w:rFonts w:asciiTheme="minorHAnsi" w:hAnsiTheme="minorHAnsi" w:cstheme="minorHAnsi"/>
          <w:color w:val="201F1E"/>
          <w:sz w:val="22"/>
          <w:szCs w:val="22"/>
        </w:rPr>
        <w:tab/>
        <w:t>Inter-American Development Bank</w:t>
      </w:r>
    </w:p>
    <w:p w14:paraId="2D0B9150"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IGRAC</w:t>
      </w:r>
      <w:r>
        <w:rPr>
          <w:rFonts w:asciiTheme="minorHAnsi" w:hAnsiTheme="minorHAnsi" w:cstheme="minorHAnsi"/>
          <w:color w:val="201F1E"/>
          <w:sz w:val="22"/>
          <w:szCs w:val="22"/>
        </w:rPr>
        <w:tab/>
        <w:t>International Groundwater Resources Assessment Centre</w:t>
      </w:r>
    </w:p>
    <w:p w14:paraId="2FD27FEE"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IIASA</w:t>
      </w:r>
      <w:r>
        <w:rPr>
          <w:rFonts w:asciiTheme="minorHAnsi" w:hAnsiTheme="minorHAnsi" w:cstheme="minorHAnsi"/>
          <w:color w:val="201F1E"/>
          <w:sz w:val="22"/>
          <w:szCs w:val="22"/>
        </w:rPr>
        <w:tab/>
        <w:t>International Institute for Applied Systems Analysis</w:t>
      </w:r>
    </w:p>
    <w:p w14:paraId="3982AD72"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IHP</w:t>
      </w:r>
      <w:r>
        <w:rPr>
          <w:rFonts w:asciiTheme="minorHAnsi" w:hAnsiTheme="minorHAnsi" w:cstheme="minorHAnsi"/>
          <w:color w:val="201F1E"/>
          <w:sz w:val="22"/>
          <w:szCs w:val="22"/>
        </w:rPr>
        <w:tab/>
        <w:t xml:space="preserve">International Hydrological </w:t>
      </w:r>
      <w:proofErr w:type="spellStart"/>
      <w:r>
        <w:rPr>
          <w:rFonts w:asciiTheme="minorHAnsi" w:hAnsiTheme="minorHAnsi" w:cstheme="minorHAnsi"/>
          <w:color w:val="201F1E"/>
          <w:sz w:val="22"/>
          <w:szCs w:val="22"/>
        </w:rPr>
        <w:t>Programme</w:t>
      </w:r>
      <w:proofErr w:type="spellEnd"/>
      <w:r>
        <w:rPr>
          <w:rFonts w:asciiTheme="minorHAnsi" w:hAnsiTheme="minorHAnsi" w:cstheme="minorHAnsi"/>
          <w:color w:val="201F1E"/>
          <w:sz w:val="22"/>
          <w:szCs w:val="22"/>
        </w:rPr>
        <w:t xml:space="preserve"> of UNESCO</w:t>
      </w:r>
    </w:p>
    <w:p w14:paraId="6544BC0A"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IOC-UNESCO</w:t>
      </w:r>
      <w:r>
        <w:rPr>
          <w:rFonts w:asciiTheme="minorHAnsi" w:hAnsiTheme="minorHAnsi" w:cstheme="minorHAnsi"/>
          <w:color w:val="201F1E"/>
          <w:sz w:val="22"/>
          <w:szCs w:val="22"/>
          <w:shd w:val="clear" w:color="auto" w:fill="FFFFFF"/>
        </w:rPr>
        <w:tab/>
        <w:t>Intergovernmental Oceanographic Commission of UNESCO</w:t>
      </w:r>
    </w:p>
    <w:p w14:paraId="18EEAC5E"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IODE</w:t>
      </w:r>
      <w:r>
        <w:rPr>
          <w:rFonts w:asciiTheme="minorHAnsi" w:hAnsiTheme="minorHAnsi" w:cstheme="minorHAnsi"/>
          <w:color w:val="201F1E"/>
          <w:sz w:val="22"/>
          <w:szCs w:val="22"/>
          <w:shd w:val="clear" w:color="auto" w:fill="FFFFFF"/>
        </w:rPr>
        <w:tab/>
        <w:t>International Oceanographic and Data Information Exchange</w:t>
      </w:r>
    </w:p>
    <w:p w14:paraId="175758BC" w14:textId="77777777" w:rsidR="00674527" w:rsidRDefault="00674527" w:rsidP="00674527">
      <w:pPr>
        <w:ind w:left="1440" w:hanging="1440"/>
        <w:rPr>
          <w:rFonts w:asciiTheme="minorHAnsi" w:hAnsiTheme="minorHAnsi" w:cstheme="minorHAnsi"/>
          <w:color w:val="201F1E"/>
          <w:sz w:val="22"/>
          <w:szCs w:val="22"/>
        </w:rPr>
      </w:pPr>
      <w:r>
        <w:rPr>
          <w:rFonts w:asciiTheme="minorHAnsi" w:hAnsiTheme="minorHAnsi" w:cstheme="minorHAnsi"/>
          <w:color w:val="201F1E"/>
          <w:sz w:val="22"/>
          <w:szCs w:val="22"/>
        </w:rPr>
        <w:t>IRH</w:t>
      </w:r>
      <w:r>
        <w:rPr>
          <w:rFonts w:asciiTheme="minorHAnsi" w:hAnsiTheme="minorHAnsi" w:cstheme="minorHAnsi"/>
          <w:color w:val="201F1E"/>
          <w:sz w:val="22"/>
          <w:szCs w:val="22"/>
        </w:rPr>
        <w:tab/>
        <w:t>Istanbul Regional Hub of UNDP</w:t>
      </w:r>
    </w:p>
    <w:p w14:paraId="0CF3DBD2" w14:textId="77777777" w:rsidR="00674527" w:rsidRDefault="00674527" w:rsidP="00674527">
      <w:pPr>
        <w:ind w:left="1440" w:hanging="1440"/>
        <w:rPr>
          <w:rFonts w:asciiTheme="minorHAnsi" w:hAnsiTheme="minorHAnsi" w:cstheme="minorHAnsi"/>
          <w:color w:val="201F1E"/>
          <w:sz w:val="22"/>
          <w:szCs w:val="22"/>
        </w:rPr>
      </w:pPr>
      <w:r>
        <w:rPr>
          <w:rFonts w:asciiTheme="minorHAnsi" w:hAnsiTheme="minorHAnsi" w:cstheme="minorHAnsi"/>
          <w:color w:val="201F1E"/>
          <w:sz w:val="22"/>
          <w:szCs w:val="22"/>
        </w:rPr>
        <w:t>ISWEL</w:t>
      </w:r>
      <w:r>
        <w:rPr>
          <w:rFonts w:asciiTheme="minorHAnsi" w:hAnsiTheme="minorHAnsi" w:cstheme="minorHAnsi"/>
          <w:color w:val="201F1E"/>
          <w:sz w:val="22"/>
          <w:szCs w:val="22"/>
        </w:rPr>
        <w:tab/>
        <w:t>Integrated Solutions for Water, Energy and Land</w:t>
      </w:r>
    </w:p>
    <w:p w14:paraId="0244D19F" w14:textId="77777777" w:rsidR="00674527" w:rsidRDefault="00674527" w:rsidP="00674527">
      <w:pPr>
        <w:ind w:left="1440" w:hanging="1440"/>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 xml:space="preserve">IW        </w:t>
      </w:r>
      <w:r>
        <w:rPr>
          <w:rFonts w:asciiTheme="minorHAnsi" w:hAnsiTheme="minorHAnsi" w:cstheme="minorHAnsi"/>
          <w:color w:val="201F1E"/>
          <w:sz w:val="22"/>
          <w:szCs w:val="22"/>
          <w:shd w:val="clear" w:color="auto" w:fill="FFFFFF"/>
        </w:rPr>
        <w:tab/>
        <w:t>International Waters</w:t>
      </w:r>
    </w:p>
    <w:p w14:paraId="252A7B6F"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IW:LEARN         </w:t>
      </w:r>
      <w:r>
        <w:rPr>
          <w:rFonts w:asciiTheme="minorHAnsi" w:hAnsiTheme="minorHAnsi" w:cstheme="minorHAnsi"/>
          <w:color w:val="201F1E"/>
          <w:sz w:val="22"/>
          <w:szCs w:val="22"/>
          <w:shd w:val="clear" w:color="auto" w:fill="FFFFFF"/>
        </w:rPr>
        <w:tab/>
        <w:t>International Waters: Learning Exchange and Resource Network</w:t>
      </w:r>
    </w:p>
    <w:p w14:paraId="69CE0D6B"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IWC</w:t>
      </w:r>
      <w:r>
        <w:rPr>
          <w:rFonts w:asciiTheme="minorHAnsi" w:hAnsiTheme="minorHAnsi" w:cstheme="minorHAnsi"/>
          <w:color w:val="201F1E"/>
          <w:sz w:val="22"/>
          <w:szCs w:val="22"/>
        </w:rPr>
        <w:tab/>
        <w:t>International Waters Conference</w:t>
      </w:r>
    </w:p>
    <w:p w14:paraId="20E5A647"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IWRM  </w:t>
      </w:r>
      <w:r>
        <w:rPr>
          <w:rFonts w:asciiTheme="minorHAnsi" w:hAnsiTheme="minorHAnsi" w:cstheme="minorHAnsi"/>
          <w:color w:val="201F1E"/>
          <w:sz w:val="22"/>
          <w:szCs w:val="22"/>
          <w:shd w:val="clear" w:color="auto" w:fill="FFFFFF"/>
        </w:rPr>
        <w:tab/>
        <w:t>Integrated Water Resource Management</w:t>
      </w:r>
    </w:p>
    <w:p w14:paraId="2528B48E"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LME:LEARN</w:t>
      </w:r>
      <w:r>
        <w:rPr>
          <w:rFonts w:asciiTheme="minorHAnsi" w:hAnsiTheme="minorHAnsi" w:cstheme="minorHAnsi"/>
          <w:color w:val="201F1E"/>
          <w:sz w:val="22"/>
          <w:szCs w:val="22"/>
        </w:rPr>
        <w:tab/>
        <w:t>Large Marine Ecosystems</w:t>
      </w:r>
      <w:r>
        <w:rPr>
          <w:rFonts w:asciiTheme="minorHAnsi" w:hAnsiTheme="minorHAnsi" w:cstheme="minorHAnsi"/>
          <w:color w:val="201F1E"/>
          <w:sz w:val="22"/>
          <w:szCs w:val="22"/>
          <w:shd w:val="clear" w:color="auto" w:fill="FFFFFF"/>
        </w:rPr>
        <w:t>: Learning Exchange and Resource Network</w:t>
      </w:r>
    </w:p>
    <w:p w14:paraId="25A37F5C"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KM      </w:t>
      </w:r>
      <w:r>
        <w:rPr>
          <w:rFonts w:asciiTheme="minorHAnsi" w:hAnsiTheme="minorHAnsi" w:cstheme="minorHAnsi"/>
          <w:color w:val="201F1E"/>
          <w:sz w:val="22"/>
          <w:szCs w:val="22"/>
          <w:shd w:val="clear" w:color="auto" w:fill="FFFFFF"/>
        </w:rPr>
        <w:tab/>
        <w:t>Knowledge Management</w:t>
      </w:r>
    </w:p>
    <w:p w14:paraId="0C59A2C0"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LAC</w:t>
      </w:r>
      <w:r>
        <w:rPr>
          <w:rFonts w:asciiTheme="minorHAnsi" w:hAnsiTheme="minorHAnsi" w:cstheme="minorHAnsi"/>
          <w:color w:val="201F1E"/>
          <w:sz w:val="22"/>
          <w:szCs w:val="22"/>
        </w:rPr>
        <w:tab/>
        <w:t>Latin America and the Caribbean</w:t>
      </w:r>
    </w:p>
    <w:p w14:paraId="65C5474F"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LME     </w:t>
      </w:r>
      <w:r>
        <w:rPr>
          <w:rFonts w:asciiTheme="minorHAnsi" w:hAnsiTheme="minorHAnsi" w:cstheme="minorHAnsi"/>
          <w:color w:val="201F1E"/>
          <w:sz w:val="22"/>
          <w:szCs w:val="22"/>
          <w:shd w:val="clear" w:color="auto" w:fill="FFFFFF"/>
        </w:rPr>
        <w:tab/>
        <w:t>Large Marine Ecosystem</w:t>
      </w:r>
    </w:p>
    <w:p w14:paraId="5C4D9E4E"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LPAC</w:t>
      </w:r>
      <w:r>
        <w:rPr>
          <w:rFonts w:asciiTheme="minorHAnsi" w:hAnsiTheme="minorHAnsi" w:cstheme="minorHAnsi"/>
          <w:color w:val="201F1E"/>
          <w:sz w:val="22"/>
          <w:szCs w:val="22"/>
        </w:rPr>
        <w:tab/>
        <w:t>UNDP Local Project Appraisal Committee</w:t>
      </w:r>
    </w:p>
    <w:p w14:paraId="28BEF2CD"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MA</w:t>
      </w:r>
      <w:r>
        <w:rPr>
          <w:rFonts w:asciiTheme="minorHAnsi" w:hAnsiTheme="minorHAnsi" w:cstheme="minorHAnsi"/>
          <w:color w:val="201F1E"/>
          <w:sz w:val="22"/>
          <w:szCs w:val="22"/>
        </w:rPr>
        <w:tab/>
        <w:t>Methodological Approach</w:t>
      </w:r>
    </w:p>
    <w:p w14:paraId="40755B7E"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MAP     </w:t>
      </w:r>
      <w:r>
        <w:rPr>
          <w:rFonts w:asciiTheme="minorHAnsi" w:hAnsiTheme="minorHAnsi" w:cstheme="minorHAnsi"/>
          <w:color w:val="201F1E"/>
          <w:sz w:val="22"/>
          <w:szCs w:val="22"/>
          <w:shd w:val="clear" w:color="auto" w:fill="FFFFFF"/>
        </w:rPr>
        <w:tab/>
        <w:t>Mediterranean Action Plan</w:t>
      </w:r>
    </w:p>
    <w:p w14:paraId="7143D360"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MENA</w:t>
      </w:r>
      <w:r>
        <w:rPr>
          <w:rFonts w:asciiTheme="minorHAnsi" w:hAnsiTheme="minorHAnsi" w:cstheme="minorHAnsi"/>
          <w:color w:val="201F1E"/>
          <w:sz w:val="22"/>
          <w:szCs w:val="22"/>
        </w:rPr>
        <w:tab/>
        <w:t>Middle East and North Africa</w:t>
      </w:r>
    </w:p>
    <w:p w14:paraId="52110B93"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lastRenderedPageBreak/>
        <w:t>M&amp;E     </w:t>
      </w:r>
      <w:r>
        <w:rPr>
          <w:rFonts w:asciiTheme="minorHAnsi" w:hAnsiTheme="minorHAnsi" w:cstheme="minorHAnsi"/>
          <w:color w:val="201F1E"/>
          <w:sz w:val="22"/>
          <w:szCs w:val="22"/>
          <w:shd w:val="clear" w:color="auto" w:fill="FFFFFF"/>
        </w:rPr>
        <w:tab/>
        <w:t>Monitoring and Evaluation</w:t>
      </w:r>
    </w:p>
    <w:p w14:paraId="72F5F06C"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MSP     </w:t>
      </w:r>
      <w:r>
        <w:rPr>
          <w:rFonts w:asciiTheme="minorHAnsi" w:hAnsiTheme="minorHAnsi" w:cstheme="minorHAnsi"/>
          <w:color w:val="201F1E"/>
          <w:sz w:val="22"/>
          <w:szCs w:val="22"/>
          <w:shd w:val="clear" w:color="auto" w:fill="FFFFFF"/>
        </w:rPr>
        <w:tab/>
        <w:t>Marine Spatial Planning</w:t>
      </w:r>
    </w:p>
    <w:p w14:paraId="60156042"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MOOC</w:t>
      </w:r>
      <w:r>
        <w:rPr>
          <w:rFonts w:asciiTheme="minorHAnsi" w:hAnsiTheme="minorHAnsi" w:cstheme="minorHAnsi"/>
          <w:color w:val="201F1E"/>
          <w:sz w:val="22"/>
          <w:szCs w:val="22"/>
        </w:rPr>
        <w:tab/>
        <w:t>Massive Open Online Course</w:t>
      </w:r>
    </w:p>
    <w:p w14:paraId="2F1ABC17"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NBS</w:t>
      </w:r>
      <w:r>
        <w:rPr>
          <w:rFonts w:asciiTheme="minorHAnsi" w:hAnsiTheme="minorHAnsi" w:cstheme="minorHAnsi"/>
          <w:color w:val="201F1E"/>
          <w:sz w:val="22"/>
          <w:szCs w:val="22"/>
        </w:rPr>
        <w:tab/>
        <w:t>Nature Based Solutions</w:t>
      </w:r>
    </w:p>
    <w:p w14:paraId="2FAE785A"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NGO     </w:t>
      </w:r>
      <w:r>
        <w:rPr>
          <w:rFonts w:asciiTheme="minorHAnsi" w:hAnsiTheme="minorHAnsi" w:cstheme="minorHAnsi"/>
          <w:color w:val="201F1E"/>
          <w:sz w:val="22"/>
          <w:szCs w:val="22"/>
          <w:shd w:val="clear" w:color="auto" w:fill="FFFFFF"/>
        </w:rPr>
        <w:tab/>
        <w:t xml:space="preserve">Non-Governmental </w:t>
      </w:r>
      <w:proofErr w:type="spellStart"/>
      <w:r>
        <w:rPr>
          <w:rFonts w:asciiTheme="minorHAnsi" w:hAnsiTheme="minorHAnsi" w:cstheme="minorHAnsi"/>
          <w:color w:val="201F1E"/>
          <w:sz w:val="22"/>
          <w:szCs w:val="22"/>
          <w:shd w:val="clear" w:color="auto" w:fill="FFFFFF"/>
        </w:rPr>
        <w:t>Organisation</w:t>
      </w:r>
      <w:proofErr w:type="spellEnd"/>
    </w:p>
    <w:p w14:paraId="534BDECC"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NOAA</w:t>
      </w:r>
      <w:r>
        <w:rPr>
          <w:rFonts w:asciiTheme="minorHAnsi" w:hAnsiTheme="minorHAnsi" w:cstheme="minorHAnsi"/>
          <w:color w:val="201F1E"/>
          <w:sz w:val="22"/>
          <w:szCs w:val="22"/>
          <w:shd w:val="clear" w:color="auto" w:fill="FFFFFF"/>
        </w:rPr>
        <w:tab/>
        <w:t>US National Oceanic and Atmospheric Administration</w:t>
      </w:r>
    </w:p>
    <w:p w14:paraId="20AF2A9A" w14:textId="547B6ADD"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OAS</w:t>
      </w:r>
      <w:r>
        <w:rPr>
          <w:rFonts w:asciiTheme="minorHAnsi" w:hAnsiTheme="minorHAnsi" w:cstheme="minorHAnsi"/>
          <w:color w:val="201F1E"/>
          <w:sz w:val="22"/>
          <w:szCs w:val="22"/>
        </w:rPr>
        <w:tab/>
      </w:r>
      <w:proofErr w:type="spellStart"/>
      <w:r>
        <w:rPr>
          <w:rFonts w:asciiTheme="minorHAnsi" w:hAnsiTheme="minorHAnsi" w:cstheme="minorHAnsi"/>
          <w:color w:val="201F1E"/>
          <w:sz w:val="22"/>
          <w:szCs w:val="22"/>
        </w:rPr>
        <w:t>Organisation</w:t>
      </w:r>
      <w:proofErr w:type="spellEnd"/>
      <w:r>
        <w:rPr>
          <w:rFonts w:asciiTheme="minorHAnsi" w:hAnsiTheme="minorHAnsi" w:cstheme="minorHAnsi"/>
          <w:color w:val="201F1E"/>
          <w:sz w:val="22"/>
          <w:szCs w:val="22"/>
        </w:rPr>
        <w:t xml:space="preserve"> of American State</w:t>
      </w:r>
    </w:p>
    <w:p w14:paraId="7B021E66"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OFP</w:t>
      </w:r>
      <w:r>
        <w:rPr>
          <w:rFonts w:asciiTheme="minorHAnsi" w:hAnsiTheme="minorHAnsi" w:cstheme="minorHAnsi"/>
          <w:color w:val="201F1E"/>
          <w:sz w:val="22"/>
          <w:szCs w:val="22"/>
        </w:rPr>
        <w:tab/>
        <w:t>Operational Focal Point</w:t>
      </w:r>
    </w:p>
    <w:p w14:paraId="1B5521B3"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OSS</w:t>
      </w:r>
      <w:r>
        <w:rPr>
          <w:rFonts w:asciiTheme="minorHAnsi" w:hAnsiTheme="minorHAnsi" w:cstheme="minorHAnsi"/>
          <w:color w:val="201F1E"/>
          <w:sz w:val="22"/>
          <w:szCs w:val="22"/>
        </w:rPr>
        <w:tab/>
        <w:t>Sahel and Sahara Observatory</w:t>
      </w:r>
    </w:p>
    <w:p w14:paraId="2BFA8035"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PCU     </w:t>
      </w:r>
      <w:r>
        <w:rPr>
          <w:rFonts w:asciiTheme="minorHAnsi" w:hAnsiTheme="minorHAnsi" w:cstheme="minorHAnsi"/>
          <w:color w:val="201F1E"/>
          <w:sz w:val="22"/>
          <w:szCs w:val="22"/>
          <w:shd w:val="clear" w:color="auto" w:fill="FFFFFF"/>
        </w:rPr>
        <w:tab/>
        <w:t>Project Coordination Unit</w:t>
      </w:r>
    </w:p>
    <w:p w14:paraId="4415433A"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PEMSEA</w:t>
      </w:r>
      <w:r>
        <w:rPr>
          <w:rFonts w:asciiTheme="minorHAnsi" w:hAnsiTheme="minorHAnsi" w:cstheme="minorHAnsi"/>
          <w:color w:val="201F1E"/>
          <w:sz w:val="22"/>
          <w:szCs w:val="22"/>
        </w:rPr>
        <w:tab/>
        <w:t>Partnership for Environmental Management for the Seas od East Asia</w:t>
      </w:r>
    </w:p>
    <w:p w14:paraId="7EC0D6F7"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PIF       </w:t>
      </w:r>
      <w:r>
        <w:rPr>
          <w:rFonts w:asciiTheme="minorHAnsi" w:hAnsiTheme="minorHAnsi" w:cstheme="minorHAnsi"/>
          <w:color w:val="201F1E"/>
          <w:sz w:val="22"/>
          <w:szCs w:val="22"/>
          <w:shd w:val="clear" w:color="auto" w:fill="FFFFFF"/>
        </w:rPr>
        <w:tab/>
        <w:t>Project Identification Form</w:t>
      </w:r>
    </w:p>
    <w:p w14:paraId="4703CC33"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PC       </w:t>
      </w:r>
      <w:r>
        <w:rPr>
          <w:rFonts w:asciiTheme="minorHAnsi" w:hAnsiTheme="minorHAnsi" w:cstheme="minorHAnsi"/>
          <w:color w:val="201F1E"/>
          <w:sz w:val="22"/>
          <w:szCs w:val="22"/>
          <w:shd w:val="clear" w:color="auto" w:fill="FFFFFF"/>
        </w:rPr>
        <w:tab/>
        <w:t>Project Coordinator</w:t>
      </w:r>
    </w:p>
    <w:p w14:paraId="77BD8DC6"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PPG     </w:t>
      </w:r>
      <w:r>
        <w:rPr>
          <w:rFonts w:asciiTheme="minorHAnsi" w:hAnsiTheme="minorHAnsi" w:cstheme="minorHAnsi"/>
          <w:color w:val="201F1E"/>
          <w:sz w:val="22"/>
          <w:szCs w:val="22"/>
          <w:shd w:val="clear" w:color="auto" w:fill="FFFFFF"/>
        </w:rPr>
        <w:tab/>
        <w:t>Project Preparation Grant</w:t>
      </w:r>
    </w:p>
    <w:p w14:paraId="3DF4EF8C"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PSC     </w:t>
      </w:r>
      <w:r>
        <w:rPr>
          <w:rFonts w:asciiTheme="minorHAnsi" w:hAnsiTheme="minorHAnsi" w:cstheme="minorHAnsi"/>
          <w:color w:val="201F1E"/>
          <w:sz w:val="22"/>
          <w:szCs w:val="22"/>
          <w:shd w:val="clear" w:color="auto" w:fill="FFFFFF"/>
        </w:rPr>
        <w:tab/>
        <w:t>Project Steering Committee</w:t>
      </w:r>
    </w:p>
    <w:p w14:paraId="7896A932"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QA       </w:t>
      </w:r>
      <w:r>
        <w:rPr>
          <w:rFonts w:asciiTheme="minorHAnsi" w:hAnsiTheme="minorHAnsi" w:cstheme="minorHAnsi"/>
          <w:color w:val="201F1E"/>
          <w:sz w:val="22"/>
          <w:szCs w:val="22"/>
          <w:shd w:val="clear" w:color="auto" w:fill="FFFFFF"/>
        </w:rPr>
        <w:tab/>
        <w:t>Quality Assurance</w:t>
      </w:r>
    </w:p>
    <w:p w14:paraId="46E5CD1D"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RBO</w:t>
      </w:r>
      <w:r>
        <w:rPr>
          <w:rFonts w:asciiTheme="minorHAnsi" w:hAnsiTheme="minorHAnsi" w:cstheme="minorHAnsi"/>
          <w:color w:val="201F1E"/>
          <w:sz w:val="22"/>
          <w:szCs w:val="22"/>
        </w:rPr>
        <w:tab/>
        <w:t xml:space="preserve">River Basin </w:t>
      </w:r>
      <w:proofErr w:type="spellStart"/>
      <w:r>
        <w:rPr>
          <w:rFonts w:asciiTheme="minorHAnsi" w:hAnsiTheme="minorHAnsi" w:cstheme="minorHAnsi"/>
          <w:color w:val="201F1E"/>
          <w:sz w:val="22"/>
          <w:szCs w:val="22"/>
        </w:rPr>
        <w:t>Organisation</w:t>
      </w:r>
      <w:proofErr w:type="spellEnd"/>
    </w:p>
    <w:p w14:paraId="78FAA560"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RFMO   </w:t>
      </w:r>
      <w:r>
        <w:rPr>
          <w:rFonts w:asciiTheme="minorHAnsi" w:hAnsiTheme="minorHAnsi" w:cstheme="minorHAnsi"/>
          <w:color w:val="201F1E"/>
          <w:sz w:val="22"/>
          <w:szCs w:val="22"/>
          <w:shd w:val="clear" w:color="auto" w:fill="FFFFFF"/>
        </w:rPr>
        <w:tab/>
        <w:t>Regional Fisheries Management Organization</w:t>
      </w:r>
    </w:p>
    <w:p w14:paraId="42A75DE5"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RN</w:t>
      </w:r>
      <w:r>
        <w:rPr>
          <w:rFonts w:asciiTheme="minorHAnsi" w:hAnsiTheme="minorHAnsi" w:cstheme="minorHAnsi"/>
          <w:color w:val="201F1E"/>
          <w:sz w:val="22"/>
          <w:szCs w:val="22"/>
          <w:shd w:val="clear" w:color="auto" w:fill="FFFFFF"/>
        </w:rPr>
        <w:tab/>
        <w:t>Results Note</w:t>
      </w:r>
    </w:p>
    <w:p w14:paraId="29C9E426"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RTA</w:t>
      </w:r>
      <w:r>
        <w:rPr>
          <w:rFonts w:asciiTheme="minorHAnsi" w:hAnsiTheme="minorHAnsi" w:cstheme="minorHAnsi"/>
          <w:color w:val="201F1E"/>
          <w:sz w:val="22"/>
          <w:szCs w:val="22"/>
        </w:rPr>
        <w:tab/>
        <w:t>Regional Technical Advisor</w:t>
      </w:r>
    </w:p>
    <w:p w14:paraId="414243FF"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SADC</w:t>
      </w:r>
      <w:r>
        <w:rPr>
          <w:rFonts w:asciiTheme="minorHAnsi" w:hAnsiTheme="minorHAnsi" w:cstheme="minorHAnsi"/>
          <w:color w:val="201F1E"/>
          <w:sz w:val="22"/>
          <w:szCs w:val="22"/>
        </w:rPr>
        <w:tab/>
        <w:t>Southern African Development Community</w:t>
      </w:r>
    </w:p>
    <w:p w14:paraId="26375E56"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SAMOA</w:t>
      </w:r>
      <w:r>
        <w:rPr>
          <w:rFonts w:asciiTheme="minorHAnsi" w:hAnsiTheme="minorHAnsi" w:cstheme="minorHAnsi"/>
          <w:color w:val="201F1E"/>
          <w:sz w:val="22"/>
          <w:szCs w:val="22"/>
        </w:rPr>
        <w:tab/>
        <w:t>SIDS Accelerated Modalities of Action</w:t>
      </w:r>
    </w:p>
    <w:p w14:paraId="352AD4C5"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SAP     </w:t>
      </w:r>
      <w:r>
        <w:rPr>
          <w:rFonts w:asciiTheme="minorHAnsi" w:hAnsiTheme="minorHAnsi" w:cstheme="minorHAnsi"/>
          <w:color w:val="201F1E"/>
          <w:sz w:val="22"/>
          <w:szCs w:val="22"/>
          <w:shd w:val="clear" w:color="auto" w:fill="FFFFFF"/>
        </w:rPr>
        <w:tab/>
        <w:t xml:space="preserve">Strategic Action </w:t>
      </w:r>
      <w:proofErr w:type="spellStart"/>
      <w:r>
        <w:rPr>
          <w:rFonts w:asciiTheme="minorHAnsi" w:hAnsiTheme="minorHAnsi" w:cstheme="minorHAnsi"/>
          <w:color w:val="201F1E"/>
          <w:sz w:val="22"/>
          <w:szCs w:val="22"/>
          <w:shd w:val="clear" w:color="auto" w:fill="FFFFFF"/>
        </w:rPr>
        <w:t>Programme</w:t>
      </w:r>
      <w:proofErr w:type="spellEnd"/>
    </w:p>
    <w:p w14:paraId="47316700"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SBAA</w:t>
      </w:r>
      <w:r>
        <w:rPr>
          <w:rFonts w:asciiTheme="minorHAnsi" w:hAnsiTheme="minorHAnsi" w:cstheme="minorHAnsi"/>
          <w:color w:val="201F1E"/>
          <w:sz w:val="22"/>
          <w:szCs w:val="22"/>
        </w:rPr>
        <w:tab/>
        <w:t>Standard Basic Assistance Agreement</w:t>
      </w:r>
    </w:p>
    <w:p w14:paraId="4D49583F"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SDG     </w:t>
      </w:r>
      <w:r>
        <w:rPr>
          <w:rFonts w:asciiTheme="minorHAnsi" w:hAnsiTheme="minorHAnsi" w:cstheme="minorHAnsi"/>
          <w:color w:val="201F1E"/>
          <w:sz w:val="22"/>
          <w:szCs w:val="22"/>
          <w:shd w:val="clear" w:color="auto" w:fill="FFFFFF"/>
        </w:rPr>
        <w:tab/>
        <w:t>Sustainable Development Goal</w:t>
      </w:r>
    </w:p>
    <w:p w14:paraId="11CB3C49"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SEAFDEC</w:t>
      </w:r>
      <w:r>
        <w:rPr>
          <w:rFonts w:asciiTheme="minorHAnsi" w:hAnsiTheme="minorHAnsi" w:cstheme="minorHAnsi"/>
          <w:color w:val="201F1E"/>
          <w:sz w:val="22"/>
          <w:szCs w:val="22"/>
          <w:shd w:val="clear" w:color="auto" w:fill="FFFFFF"/>
        </w:rPr>
        <w:tab/>
        <w:t>South East Asian Fisheries Development Center</w:t>
      </w:r>
    </w:p>
    <w:p w14:paraId="3CD4765D"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SEE</w:t>
      </w:r>
      <w:r>
        <w:rPr>
          <w:rFonts w:asciiTheme="minorHAnsi" w:hAnsiTheme="minorHAnsi" w:cstheme="minorHAnsi"/>
          <w:color w:val="201F1E"/>
          <w:sz w:val="22"/>
          <w:szCs w:val="22"/>
          <w:shd w:val="clear" w:color="auto" w:fill="FFFFFF"/>
        </w:rPr>
        <w:tab/>
        <w:t>South Eastern Europe</w:t>
      </w:r>
    </w:p>
    <w:p w14:paraId="3DCDB051"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SESP</w:t>
      </w:r>
      <w:r>
        <w:rPr>
          <w:rFonts w:asciiTheme="minorHAnsi" w:hAnsiTheme="minorHAnsi" w:cstheme="minorHAnsi"/>
          <w:color w:val="201F1E"/>
          <w:sz w:val="22"/>
          <w:szCs w:val="22"/>
          <w:shd w:val="clear" w:color="auto" w:fill="FFFFFF"/>
        </w:rPr>
        <w:tab/>
        <w:t>Social and Environmental Screening Procedure</w:t>
      </w:r>
    </w:p>
    <w:p w14:paraId="16F1E7CC"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SIWI</w:t>
      </w:r>
      <w:r>
        <w:rPr>
          <w:rFonts w:asciiTheme="minorHAnsi" w:hAnsiTheme="minorHAnsi" w:cstheme="minorHAnsi"/>
          <w:color w:val="201F1E"/>
          <w:sz w:val="22"/>
          <w:szCs w:val="22"/>
        </w:rPr>
        <w:tab/>
        <w:t>Stockholm International Water Institute</w:t>
      </w:r>
    </w:p>
    <w:p w14:paraId="595644D1"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SPINCAM</w:t>
      </w:r>
      <w:r>
        <w:rPr>
          <w:rFonts w:asciiTheme="minorHAnsi" w:hAnsiTheme="minorHAnsi" w:cstheme="minorHAnsi"/>
          <w:color w:val="201F1E"/>
          <w:sz w:val="22"/>
          <w:szCs w:val="22"/>
        </w:rPr>
        <w:tab/>
        <w:t>Southeast Pacific Data and Information Network in Support of Integrated Coastal Area Management</w:t>
      </w:r>
    </w:p>
    <w:p w14:paraId="5D9AD93F"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SPREP</w:t>
      </w:r>
      <w:r>
        <w:rPr>
          <w:rFonts w:asciiTheme="minorHAnsi" w:hAnsiTheme="minorHAnsi" w:cstheme="minorHAnsi"/>
          <w:color w:val="201F1E"/>
          <w:sz w:val="22"/>
          <w:szCs w:val="22"/>
        </w:rPr>
        <w:tab/>
        <w:t xml:space="preserve">Secretariat of the Pacific Regional Environment </w:t>
      </w:r>
      <w:proofErr w:type="spellStart"/>
      <w:r>
        <w:rPr>
          <w:rFonts w:asciiTheme="minorHAnsi" w:hAnsiTheme="minorHAnsi" w:cstheme="minorHAnsi"/>
          <w:color w:val="201F1E"/>
          <w:sz w:val="22"/>
          <w:szCs w:val="22"/>
        </w:rPr>
        <w:t>Programme</w:t>
      </w:r>
      <w:proofErr w:type="spellEnd"/>
    </w:p>
    <w:p w14:paraId="188D1F21"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 xml:space="preserve">TDA      </w:t>
      </w:r>
      <w:r>
        <w:rPr>
          <w:rFonts w:asciiTheme="minorHAnsi" w:hAnsiTheme="minorHAnsi" w:cstheme="minorHAnsi"/>
          <w:color w:val="201F1E"/>
          <w:sz w:val="22"/>
          <w:szCs w:val="22"/>
          <w:shd w:val="clear" w:color="auto" w:fill="FFFFFF"/>
        </w:rPr>
        <w:tab/>
        <w:t>Transboundary Diagnostic Analysis</w:t>
      </w:r>
    </w:p>
    <w:p w14:paraId="78EFF546"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TE</w:t>
      </w:r>
      <w:r>
        <w:rPr>
          <w:rFonts w:asciiTheme="minorHAnsi" w:hAnsiTheme="minorHAnsi" w:cstheme="minorHAnsi"/>
          <w:color w:val="201F1E"/>
          <w:sz w:val="22"/>
          <w:szCs w:val="22"/>
        </w:rPr>
        <w:tab/>
        <w:t>Terminal Evaluation</w:t>
      </w:r>
    </w:p>
    <w:p w14:paraId="28A178CA"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TNC</w:t>
      </w:r>
      <w:r>
        <w:rPr>
          <w:rFonts w:asciiTheme="minorHAnsi" w:hAnsiTheme="minorHAnsi" w:cstheme="minorHAnsi"/>
          <w:color w:val="201F1E"/>
          <w:sz w:val="22"/>
          <w:szCs w:val="22"/>
        </w:rPr>
        <w:tab/>
        <w:t>The Nature Conservancy</w:t>
      </w:r>
    </w:p>
    <w:p w14:paraId="55A3A8AF"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TWAP   </w:t>
      </w:r>
      <w:r>
        <w:rPr>
          <w:rFonts w:asciiTheme="minorHAnsi" w:hAnsiTheme="minorHAnsi" w:cstheme="minorHAnsi"/>
          <w:color w:val="201F1E"/>
          <w:sz w:val="22"/>
          <w:szCs w:val="22"/>
          <w:shd w:val="clear" w:color="auto" w:fill="FFFFFF"/>
        </w:rPr>
        <w:tab/>
        <w:t xml:space="preserve">Transboundary Waters Assessment </w:t>
      </w:r>
      <w:proofErr w:type="spellStart"/>
      <w:r>
        <w:rPr>
          <w:rFonts w:asciiTheme="minorHAnsi" w:hAnsiTheme="minorHAnsi" w:cstheme="minorHAnsi"/>
          <w:color w:val="201F1E"/>
          <w:sz w:val="22"/>
          <w:szCs w:val="22"/>
          <w:shd w:val="clear" w:color="auto" w:fill="FFFFFF"/>
        </w:rPr>
        <w:t>Programme</w:t>
      </w:r>
      <w:proofErr w:type="spellEnd"/>
    </w:p>
    <w:p w14:paraId="028B3079"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UNCTAD</w:t>
      </w:r>
      <w:r>
        <w:rPr>
          <w:rFonts w:asciiTheme="minorHAnsi" w:hAnsiTheme="minorHAnsi" w:cstheme="minorHAnsi"/>
          <w:color w:val="201F1E"/>
          <w:sz w:val="22"/>
          <w:szCs w:val="22"/>
          <w:shd w:val="clear" w:color="auto" w:fill="FFFFFF"/>
        </w:rPr>
        <w:tab/>
        <w:t>United Nations Conference on Trade and Development</w:t>
      </w:r>
    </w:p>
    <w:p w14:paraId="30CF3ED7"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UN DESA</w:t>
      </w:r>
      <w:r>
        <w:rPr>
          <w:rFonts w:asciiTheme="minorHAnsi" w:hAnsiTheme="minorHAnsi" w:cstheme="minorHAnsi"/>
          <w:color w:val="201F1E"/>
          <w:sz w:val="22"/>
          <w:szCs w:val="22"/>
        </w:rPr>
        <w:tab/>
        <w:t>United Nations Department of Economic and Social Affairs</w:t>
      </w:r>
    </w:p>
    <w:p w14:paraId="19AA9062"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 xml:space="preserve">UNDAF </w:t>
      </w:r>
      <w:r>
        <w:rPr>
          <w:rFonts w:asciiTheme="minorHAnsi" w:hAnsiTheme="minorHAnsi" w:cstheme="minorHAnsi"/>
          <w:color w:val="201F1E"/>
          <w:sz w:val="22"/>
          <w:szCs w:val="22"/>
          <w:shd w:val="clear" w:color="auto" w:fill="FFFFFF"/>
        </w:rPr>
        <w:tab/>
        <w:t>United Nations Development Assistance Framework</w:t>
      </w:r>
    </w:p>
    <w:p w14:paraId="3F71B4A7"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shd w:val="clear" w:color="auto" w:fill="FFFFFF"/>
        </w:rPr>
        <w:t>UNDP   </w:t>
      </w:r>
      <w:r>
        <w:rPr>
          <w:rFonts w:asciiTheme="minorHAnsi" w:hAnsiTheme="minorHAnsi" w:cstheme="minorHAnsi"/>
          <w:color w:val="201F1E"/>
          <w:sz w:val="22"/>
          <w:szCs w:val="22"/>
          <w:shd w:val="clear" w:color="auto" w:fill="FFFFFF"/>
        </w:rPr>
        <w:tab/>
        <w:t xml:space="preserve">United Nations Development </w:t>
      </w:r>
      <w:proofErr w:type="spellStart"/>
      <w:r>
        <w:rPr>
          <w:rFonts w:asciiTheme="minorHAnsi" w:hAnsiTheme="minorHAnsi" w:cstheme="minorHAnsi"/>
          <w:color w:val="201F1E"/>
          <w:sz w:val="22"/>
          <w:szCs w:val="22"/>
          <w:shd w:val="clear" w:color="auto" w:fill="FFFFFF"/>
        </w:rPr>
        <w:t>Programme</w:t>
      </w:r>
      <w:proofErr w:type="spellEnd"/>
    </w:p>
    <w:p w14:paraId="082C353A"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UNECE</w:t>
      </w:r>
      <w:r>
        <w:rPr>
          <w:rFonts w:asciiTheme="minorHAnsi" w:hAnsiTheme="minorHAnsi" w:cstheme="minorHAnsi"/>
          <w:color w:val="201F1E"/>
          <w:sz w:val="22"/>
          <w:szCs w:val="22"/>
        </w:rPr>
        <w:tab/>
        <w:t>United nations Economic Commission for Europe</w:t>
      </w:r>
    </w:p>
    <w:p w14:paraId="23029B48"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UNEP   </w:t>
      </w:r>
      <w:r>
        <w:rPr>
          <w:rFonts w:asciiTheme="minorHAnsi" w:hAnsiTheme="minorHAnsi" w:cstheme="minorHAnsi"/>
          <w:color w:val="201F1E"/>
          <w:sz w:val="22"/>
          <w:szCs w:val="22"/>
          <w:shd w:val="clear" w:color="auto" w:fill="FFFFFF"/>
        </w:rPr>
        <w:tab/>
        <w:t xml:space="preserve">United Nations Environment </w:t>
      </w:r>
      <w:proofErr w:type="spellStart"/>
      <w:r>
        <w:rPr>
          <w:rFonts w:asciiTheme="minorHAnsi" w:hAnsiTheme="minorHAnsi" w:cstheme="minorHAnsi"/>
          <w:color w:val="201F1E"/>
          <w:sz w:val="22"/>
          <w:szCs w:val="22"/>
          <w:shd w:val="clear" w:color="auto" w:fill="FFFFFF"/>
        </w:rPr>
        <w:t>Programme</w:t>
      </w:r>
      <w:proofErr w:type="spellEnd"/>
    </w:p>
    <w:p w14:paraId="360BEF40"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UNIDO</w:t>
      </w:r>
      <w:r>
        <w:rPr>
          <w:rFonts w:asciiTheme="minorHAnsi" w:hAnsiTheme="minorHAnsi" w:cstheme="minorHAnsi"/>
          <w:color w:val="201F1E"/>
          <w:sz w:val="22"/>
          <w:szCs w:val="22"/>
          <w:shd w:val="clear" w:color="auto" w:fill="FFFFFF"/>
        </w:rPr>
        <w:tab/>
        <w:t xml:space="preserve">United Nations Industrial Development </w:t>
      </w:r>
      <w:proofErr w:type="spellStart"/>
      <w:r>
        <w:rPr>
          <w:rFonts w:asciiTheme="minorHAnsi" w:hAnsiTheme="minorHAnsi" w:cstheme="minorHAnsi"/>
          <w:color w:val="201F1E"/>
          <w:sz w:val="22"/>
          <w:szCs w:val="22"/>
          <w:shd w:val="clear" w:color="auto" w:fill="FFFFFF"/>
        </w:rPr>
        <w:t>Organisation</w:t>
      </w:r>
      <w:proofErr w:type="spellEnd"/>
    </w:p>
    <w:p w14:paraId="02E638C7" w14:textId="77777777" w:rsidR="00674527" w:rsidRDefault="00674527" w:rsidP="00674527">
      <w:pPr>
        <w:ind w:left="1418" w:hanging="1418"/>
        <w:rPr>
          <w:rFonts w:asciiTheme="minorHAnsi" w:hAnsiTheme="minorHAnsi" w:cstheme="minorHAnsi"/>
          <w:color w:val="201F1E"/>
          <w:sz w:val="22"/>
          <w:szCs w:val="22"/>
          <w:shd w:val="clear" w:color="auto" w:fill="FFFFFF"/>
          <w:lang w:val="hr-HR"/>
        </w:rPr>
      </w:pPr>
      <w:r>
        <w:rPr>
          <w:rFonts w:asciiTheme="minorHAnsi" w:hAnsiTheme="minorHAnsi" w:cstheme="minorHAnsi"/>
          <w:color w:val="201F1E"/>
          <w:sz w:val="22"/>
          <w:szCs w:val="22"/>
          <w:shd w:val="clear" w:color="auto" w:fill="FFFFFF"/>
          <w:lang w:val="hr-HR"/>
        </w:rPr>
        <w:t>UNSW</w:t>
      </w:r>
      <w:r>
        <w:rPr>
          <w:rFonts w:asciiTheme="minorHAnsi" w:hAnsiTheme="minorHAnsi" w:cstheme="minorHAnsi"/>
          <w:color w:val="201F1E"/>
          <w:sz w:val="22"/>
          <w:szCs w:val="22"/>
          <w:shd w:val="clear" w:color="auto" w:fill="FFFFFF"/>
          <w:lang w:val="hr-HR"/>
        </w:rPr>
        <w:tab/>
      </w:r>
      <w:r>
        <w:rPr>
          <w:rFonts w:asciiTheme="minorHAnsi" w:hAnsiTheme="minorHAnsi" w:cstheme="minorHAnsi"/>
          <w:color w:val="201F1E"/>
          <w:sz w:val="22"/>
          <w:szCs w:val="22"/>
          <w:shd w:val="clear" w:color="auto" w:fill="FFFFFF"/>
          <w:lang w:val="en-GB"/>
        </w:rPr>
        <w:t>University of New South Wales</w:t>
      </w:r>
    </w:p>
    <w:p w14:paraId="551CEB8E" w14:textId="77777777" w:rsidR="00674527" w:rsidRDefault="00674527" w:rsidP="00674527">
      <w:pPr>
        <w:ind w:left="1418" w:hanging="1418"/>
        <w:rPr>
          <w:rFonts w:asciiTheme="minorHAnsi" w:hAnsiTheme="minorHAnsi" w:cstheme="minorHAnsi"/>
          <w:color w:val="201F1E"/>
          <w:sz w:val="22"/>
          <w:szCs w:val="22"/>
          <w:shd w:val="clear" w:color="auto" w:fill="FFFFFF"/>
        </w:rPr>
      </w:pPr>
      <w:r>
        <w:rPr>
          <w:rFonts w:asciiTheme="minorHAnsi" w:hAnsiTheme="minorHAnsi" w:cstheme="minorHAnsi"/>
          <w:color w:val="201F1E"/>
          <w:sz w:val="22"/>
          <w:szCs w:val="22"/>
          <w:shd w:val="clear" w:color="auto" w:fill="FFFFFF"/>
        </w:rPr>
        <w:t>USGS</w:t>
      </w:r>
      <w:r>
        <w:rPr>
          <w:rFonts w:asciiTheme="minorHAnsi" w:hAnsiTheme="minorHAnsi" w:cstheme="minorHAnsi"/>
          <w:color w:val="201F1E"/>
          <w:sz w:val="22"/>
          <w:szCs w:val="22"/>
          <w:shd w:val="clear" w:color="auto" w:fill="FFFFFF"/>
        </w:rPr>
        <w:tab/>
        <w:t>United States Geological Service</w:t>
      </w:r>
    </w:p>
    <w:p w14:paraId="51858872"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WB</w:t>
      </w:r>
      <w:r>
        <w:rPr>
          <w:rFonts w:asciiTheme="minorHAnsi" w:hAnsiTheme="minorHAnsi" w:cstheme="minorHAnsi"/>
          <w:color w:val="201F1E"/>
          <w:sz w:val="22"/>
          <w:szCs w:val="22"/>
        </w:rPr>
        <w:tab/>
        <w:t>The World Bank</w:t>
      </w:r>
    </w:p>
    <w:p w14:paraId="0AD05070" w14:textId="77777777" w:rsidR="00674527" w:rsidRDefault="00674527" w:rsidP="00674527">
      <w:pPr>
        <w:ind w:left="1418" w:hanging="1418"/>
        <w:rPr>
          <w:rFonts w:asciiTheme="minorHAnsi" w:hAnsiTheme="minorHAnsi" w:cstheme="minorHAnsi"/>
          <w:color w:val="201F1E"/>
          <w:sz w:val="22"/>
          <w:szCs w:val="22"/>
        </w:rPr>
      </w:pPr>
      <w:r>
        <w:rPr>
          <w:rFonts w:asciiTheme="minorHAnsi" w:hAnsiTheme="minorHAnsi" w:cstheme="minorHAnsi"/>
          <w:color w:val="201F1E"/>
          <w:sz w:val="22"/>
          <w:szCs w:val="22"/>
        </w:rPr>
        <w:t>WWAP</w:t>
      </w:r>
      <w:r>
        <w:rPr>
          <w:rFonts w:asciiTheme="minorHAnsi" w:hAnsiTheme="minorHAnsi" w:cstheme="minorHAnsi"/>
          <w:color w:val="201F1E"/>
          <w:sz w:val="22"/>
          <w:szCs w:val="22"/>
        </w:rPr>
        <w:tab/>
        <w:t xml:space="preserve">World water Assessment </w:t>
      </w:r>
      <w:proofErr w:type="spellStart"/>
      <w:r>
        <w:rPr>
          <w:rFonts w:asciiTheme="minorHAnsi" w:hAnsiTheme="minorHAnsi" w:cstheme="minorHAnsi"/>
          <w:color w:val="201F1E"/>
          <w:sz w:val="22"/>
          <w:szCs w:val="22"/>
        </w:rPr>
        <w:t>Programme</w:t>
      </w:r>
      <w:proofErr w:type="spellEnd"/>
      <w:r>
        <w:rPr>
          <w:rFonts w:asciiTheme="minorHAnsi" w:hAnsiTheme="minorHAnsi" w:cstheme="minorHAnsi"/>
          <w:color w:val="201F1E"/>
          <w:sz w:val="22"/>
          <w:szCs w:val="22"/>
        </w:rPr>
        <w:t xml:space="preserve"> of UNESCO</w:t>
      </w:r>
    </w:p>
    <w:p w14:paraId="74AA960D" w14:textId="77777777" w:rsidR="00674527" w:rsidRDefault="00674527" w:rsidP="00674527">
      <w:r>
        <w:rPr>
          <w:rFonts w:asciiTheme="minorHAnsi" w:hAnsiTheme="minorHAnsi" w:cstheme="minorHAnsi"/>
          <w:color w:val="201F1E"/>
          <w:sz w:val="22"/>
          <w:szCs w:val="22"/>
        </w:rPr>
        <w:t>WWF-US</w:t>
      </w:r>
      <w:r>
        <w:rPr>
          <w:rFonts w:asciiTheme="minorHAnsi" w:hAnsiTheme="minorHAnsi" w:cstheme="minorHAnsi"/>
          <w:color w:val="201F1E"/>
          <w:sz w:val="22"/>
          <w:szCs w:val="22"/>
        </w:rPr>
        <w:tab/>
        <w:t>World Wildlife Fund United States</w:t>
      </w:r>
      <w:r>
        <w:rPr>
          <w:color w:val="201F1E"/>
          <w:sz w:val="22"/>
          <w:szCs w:val="22"/>
        </w:rPr>
        <w:br/>
      </w:r>
      <w:r>
        <w:br w:type="page"/>
      </w:r>
    </w:p>
    <w:p w14:paraId="4F4B67DC" w14:textId="77777777" w:rsidR="00674527" w:rsidRDefault="00674527" w:rsidP="00674527">
      <w:pPr>
        <w:pStyle w:val="Heading1"/>
        <w:spacing w:before="0" w:after="0" w:line="268" w:lineRule="auto"/>
        <w:jc w:val="left"/>
        <w:rPr>
          <w:rFonts w:ascii="Calibri" w:eastAsia="SimSun" w:hAnsi="Calibri"/>
        </w:rPr>
      </w:pPr>
      <w:bookmarkStart w:id="2" w:name="_Toc115094367"/>
      <w:r>
        <w:rPr>
          <w:rFonts w:ascii="Calibri" w:eastAsia="SimSun" w:hAnsi="Calibri"/>
        </w:rPr>
        <w:lastRenderedPageBreak/>
        <w:t>Development Challenge</w:t>
      </w:r>
      <w:bookmarkEnd w:id="0"/>
      <w:bookmarkEnd w:id="1"/>
      <w:bookmarkEnd w:id="2"/>
      <w:r>
        <w:rPr>
          <w:rFonts w:ascii="Calibri" w:eastAsia="SimSun" w:hAnsi="Calibri"/>
        </w:rPr>
        <w:t xml:space="preserve"> </w:t>
      </w:r>
    </w:p>
    <w:p w14:paraId="1ADC3592" w14:textId="77777777" w:rsidR="00674527" w:rsidRDefault="00674527" w:rsidP="00674527">
      <w:pPr>
        <w:shd w:val="clear" w:color="auto" w:fill="FFFFFF"/>
        <w:ind w:right="4"/>
        <w:rPr>
          <w:rFonts w:asciiTheme="minorHAnsi" w:hAnsiTheme="minorHAnsi" w:cstheme="minorHAnsi"/>
          <w:color w:val="000000"/>
          <w:sz w:val="22"/>
          <w:szCs w:val="22"/>
        </w:rPr>
      </w:pPr>
    </w:p>
    <w:p w14:paraId="0CFFE2EE" w14:textId="77777777" w:rsidR="00674527" w:rsidRDefault="00674527" w:rsidP="00674527">
      <w:pPr>
        <w:shd w:val="clear" w:color="auto" w:fill="FFFFFF"/>
        <w:ind w:right="4"/>
        <w:jc w:val="both"/>
        <w:rPr>
          <w:rFonts w:asciiTheme="minorHAnsi" w:hAnsiTheme="minorHAnsi" w:cstheme="minorHAnsi"/>
          <w:color w:val="000000"/>
          <w:sz w:val="22"/>
          <w:szCs w:val="22"/>
        </w:rPr>
      </w:pPr>
      <w:r>
        <w:rPr>
          <w:rFonts w:asciiTheme="minorHAnsi" w:hAnsiTheme="minorHAnsi" w:cstheme="minorHAnsi"/>
          <w:color w:val="000000"/>
          <w:sz w:val="22"/>
          <w:szCs w:val="22"/>
        </w:rPr>
        <w:t>After 27 years of GEF investment, significant progress and results have been delivered by the IW focal area. Focusing on transboundary freshwater, the GEF, together with its implementing and executing partners, has made investments in at least 47 river basins, 15 lakes, and 13 aquifers. It has also invested in 23 large marine ecosystems. From those, at least 37 produced transboundary diagnostic analyses and at least 33 ministerially endorsed strategic action programs resulted, many now under implementation. In at least 24 basins, GEF supported existing or catalyzed creation of new joint management bodies (or transboundary commissions). Likewise, at least 15 new basin-wide frameworks resulted. This represents just a fraction of results from GEF investments, which also include significant reductions in agricultural, industrial and municipal wastewater, reduced stress on aquifers, marine protected areas, reduced fishing pressure, reduced invasive species risk, and other types of stress reduction. Most critically, the GEF has been catalytic in transforming water and ocean-related sectors, and the growth of numerous organizations at various scales active in transboundary water management. </w:t>
      </w:r>
    </w:p>
    <w:p w14:paraId="4FB1837A" w14:textId="77777777" w:rsidR="00674527" w:rsidRDefault="00674527" w:rsidP="00674527">
      <w:pPr>
        <w:pStyle w:val="NormalWeb"/>
        <w:rPr>
          <w:rFonts w:ascii="Times New Roman" w:hAnsi="Times New Roman" w:cs="Times New Roman"/>
          <w:lang w:val="hr-HR"/>
        </w:rPr>
      </w:pPr>
      <w:r>
        <w:t>The GEF-7 Programming Directions state that IW:LEARN is the GEF funded cross-agency and multi-actor platform of knowledge exchange and capacity building. This perspective enhances the need for IW:LEARN as a knowledge management project aimed at facilitating partnerships between a range of actors to stimulate conversation and capacity between, and beyond, GEF funded portfolio of projects.</w:t>
      </w:r>
    </w:p>
    <w:p w14:paraId="680DAFF1" w14:textId="77777777" w:rsidR="00674527" w:rsidRDefault="00674527" w:rsidP="00674527">
      <w:pPr>
        <w:pStyle w:val="NormalWeb"/>
        <w:rPr>
          <w:color w:val="auto"/>
        </w:rPr>
      </w:pPr>
      <w:r>
        <w:rPr>
          <w:color w:val="auto"/>
        </w:rPr>
        <w:t xml:space="preserve">GEF IW:LEARN has succeeded to increase knowledge management and sharing of experiences in the context of the IW portfolio. </w:t>
      </w:r>
      <w:r>
        <w:t xml:space="preserve">During the period of its existence, IW:LEARN has grown from an informal network of a few projects and agencies’ staff focused on IW projects to a community of individuals from a few hundred public and private sector organizations, including local, national, and international government and non-government organizations. </w:t>
      </w:r>
    </w:p>
    <w:p w14:paraId="70239B79" w14:textId="77777777" w:rsidR="00674527" w:rsidRDefault="00674527" w:rsidP="00674527">
      <w:pPr>
        <w:shd w:val="clear" w:color="auto" w:fill="FFFFFF"/>
        <w:ind w:right="4"/>
        <w:jc w:val="both"/>
        <w:rPr>
          <w:rFonts w:asciiTheme="minorHAnsi" w:hAnsiTheme="minorHAnsi" w:cstheme="minorHAnsi"/>
          <w:b/>
          <w:color w:val="000000"/>
          <w:sz w:val="22"/>
          <w:szCs w:val="22"/>
        </w:rPr>
      </w:pPr>
      <w:r>
        <w:rPr>
          <w:rFonts w:asciiTheme="minorHAnsi" w:hAnsiTheme="minorHAnsi" w:cstheme="minorHAnsi"/>
          <w:color w:val="000000"/>
          <w:sz w:val="22"/>
          <w:szCs w:val="22"/>
        </w:rPr>
        <w:t xml:space="preserve">IW:LEARN has produced a number of noteworthy results across multiple service lines that foster this community—from coordinating information management through the IW:LEARN website (www.iwlearn.net) and its applications to face-to-face events, including: 37 project </w:t>
      </w:r>
      <w:proofErr w:type="spellStart"/>
      <w:r>
        <w:rPr>
          <w:rFonts w:asciiTheme="minorHAnsi" w:hAnsiTheme="minorHAnsi" w:cstheme="minorHAnsi"/>
          <w:color w:val="000000"/>
          <w:sz w:val="22"/>
          <w:szCs w:val="22"/>
        </w:rPr>
        <w:t>twinnings</w:t>
      </w:r>
      <w:proofErr w:type="spellEnd"/>
      <w:r>
        <w:rPr>
          <w:rFonts w:asciiTheme="minorHAnsi" w:hAnsiTheme="minorHAnsi" w:cstheme="minorHAnsi"/>
          <w:color w:val="000000"/>
          <w:sz w:val="22"/>
          <w:szCs w:val="22"/>
        </w:rPr>
        <w:t xml:space="preserve"> involving 287 beneficiaries from 64 GEF IW projects; 31 training workshops on water management issues and 15 training workshops for building capacity on information and technology issues, with 956 participants representing 151 IW projects; ten regional transboundary dialogues in the Mediterranean and Central American regions; and nine Biennial International Waters Conferences, the signature learning event of the portfolio, bringing together over 1800 stakeholders over the years, averaging about 70 GEF IW projects from 80 countries at each conference. IW:LEARN portfolio programmatic support also includes guidance, publications and other knowledge products and media. IW:LEARN has produced a number of practical manuals and methodologies that have been utilized by IW practitioners (TDA/SAP Methodology; Public Private Partnerships Guidebook; Project Management Manual; Mainstreaming Climate Change Guidance; a series of seven Marine Toolkits). The IW practitioners have responded positively to this effort by participating in large numbers to several respective training courses and using them in developing water management strategies and plans, as well as marine spatial plans. Very often, these manuals have been used in an integrated manner. IW:LEARN also contributes significantly to raising awareness among experts and policy-makers about the GEF IW projects and their outcomes,  thus indirectly also contributing to new investments. In addition, it serves as a linkage to other global processes, frameworks and initiatives on water management as well as transboundary water cooperation. Although IW:LEARN has been providing crucial input that has helped bridge knowledge management and learning gaps in IW investments, </w:t>
      </w:r>
      <w:r>
        <w:rPr>
          <w:rFonts w:asciiTheme="minorHAnsi" w:hAnsiTheme="minorHAnsi" w:cstheme="minorHAnsi"/>
          <w:color w:val="000000"/>
          <w:sz w:val="22"/>
          <w:szCs w:val="22"/>
        </w:rPr>
        <w:lastRenderedPageBreak/>
        <w:t xml:space="preserve">particularly at regional level, which sometimes made role of the respective governments less direct, there is still a need to continue towards such bridging.   </w:t>
      </w:r>
    </w:p>
    <w:p w14:paraId="21105284" w14:textId="77777777" w:rsidR="00674527" w:rsidRDefault="00674527" w:rsidP="00674527">
      <w:pPr>
        <w:ind w:right="4"/>
        <w:jc w:val="both"/>
        <w:rPr>
          <w:rFonts w:asciiTheme="minorHAnsi" w:hAnsiTheme="minorHAnsi" w:cstheme="minorHAnsi"/>
          <w:color w:val="000000"/>
          <w:sz w:val="22"/>
          <w:szCs w:val="22"/>
        </w:rPr>
      </w:pPr>
    </w:p>
    <w:p w14:paraId="0A3A589D" w14:textId="77777777" w:rsidR="00674527" w:rsidRDefault="00674527" w:rsidP="00674527">
      <w:pPr>
        <w:ind w:right="4"/>
        <w:jc w:val="both"/>
        <w:rPr>
          <w:rFonts w:asciiTheme="minorHAnsi" w:hAnsiTheme="minorHAnsi" w:cstheme="minorHAnsi"/>
          <w:color w:val="000000"/>
          <w:sz w:val="22"/>
          <w:szCs w:val="22"/>
        </w:rPr>
      </w:pPr>
      <w:r>
        <w:rPr>
          <w:rFonts w:asciiTheme="minorHAnsi" w:hAnsiTheme="minorHAnsi" w:cstheme="minorHAnsi"/>
          <w:color w:val="000000"/>
          <w:sz w:val="22"/>
          <w:szCs w:val="22"/>
        </w:rPr>
        <w:t>There are still barriers to making the above actions more effective. They include: inadequate level of scientific knowledge as well as unsatisfactory degree of dissemination of scientific results; ineffective integration of scientific knowledge into decision-making and actions (inadequate science-to-policy integration); missing appropriate  institutional arrangements; lack of adequate stakeholder participation; unsustainable financing, in particular because of lack of adequate participation of the business community in solving freshwater and marine resource management problems; and, finally,  inadequate strategic planning and SIDS policy development at the global, regional, national and local levels. It is also worth mentioning that the “GEF 2020: Strategy for the GEF” (in further text: GEF 2020 Strategy) states that “GEF’s engagement with the private sector will be further strengthened. For compelling reasons, the private sector is a high priority in addressing global environmental challenges. The private sector dominates the socioeconomic sphere, and therefore limited public sector resources need to be used most effectively to redirect private sector activities toward environmentally sustainable approaches. Private enterprises, which are the dominant source of economic activity, must be encouraged to pursue commercially viable activities that also generate global environmental benefits.”</w:t>
      </w:r>
    </w:p>
    <w:p w14:paraId="7B663D86" w14:textId="77777777" w:rsidR="00674527" w:rsidRDefault="00674527" w:rsidP="00674527">
      <w:pPr>
        <w:jc w:val="both"/>
        <w:rPr>
          <w:rFonts w:asciiTheme="minorHAnsi" w:hAnsiTheme="minorHAnsi" w:cstheme="minorHAnsi"/>
          <w:b/>
          <w:i/>
        </w:rPr>
      </w:pPr>
    </w:p>
    <w:p w14:paraId="1C532A41" w14:textId="2DACE87F" w:rsidR="00674527" w:rsidRDefault="00674527" w:rsidP="00674527">
      <w:pPr>
        <w:shd w:val="clear" w:color="auto" w:fill="FFFFFF"/>
        <w:ind w:right="-52"/>
        <w:jc w:val="both"/>
        <w:rPr>
          <w:rFonts w:asciiTheme="minorHAnsi" w:hAnsiTheme="minorHAnsi" w:cstheme="minorHAnsi"/>
          <w:sz w:val="22"/>
          <w:szCs w:val="22"/>
        </w:rPr>
      </w:pPr>
      <w:r>
        <w:rPr>
          <w:rFonts w:asciiTheme="minorHAnsi" w:hAnsiTheme="minorHAnsi" w:cstheme="minorHAnsi"/>
          <w:sz w:val="22"/>
          <w:szCs w:val="22"/>
        </w:rPr>
        <w:t>The COVID-19 pandemic that emerged in the middle of the IW:LEARN fifth phase project preparation process has posed a significant challenge because of the unknown temporal trajectory. This situation may cause disruption in the orderly implementation of the project and will require very strict implementation of adaptive management principles. The pandemic might pose risks during project execution to project staff and beneficiary stakeholders. However, it has reinforced the need and relevance for the project’s environmental mandate more than ever, in particular by increasing water, food and energy security for people by fostering healthy freshwater and marine ecosystems. The project will have to consider risks that COVID-19 poses for all of its aspects including availability of technical expertise and capacity including changes in the timelines; stakeholder engagement process, including the mobility of stakeholders; a wider enabling environment including the changing beneficiary government’s short- and medium-term priorities; financing repercussions; as well as consideration of possible future risks or similar crises. Finally, the project will also have to take in consideration eventual opportunities that COVID-19 crisis can provide, in particular positive changes that rationalization of some of the project activities, such as training, meetings, etc., might bring in the future.</w:t>
      </w:r>
    </w:p>
    <w:p w14:paraId="0466AD47" w14:textId="734F59EA" w:rsidR="009508BC" w:rsidRPr="00674527" w:rsidRDefault="00674527" w:rsidP="00674527">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421B6EB" w14:textId="5F55D2E8" w:rsidR="00674527" w:rsidRPr="00674527" w:rsidRDefault="00674527" w:rsidP="00674527">
      <w:pPr>
        <w:pStyle w:val="Heading1"/>
      </w:pPr>
      <w:bookmarkStart w:id="3" w:name="_Toc115094368"/>
      <w:r>
        <w:lastRenderedPageBreak/>
        <w:t>Strategy</w:t>
      </w:r>
      <w:bookmarkEnd w:id="3"/>
    </w:p>
    <w:p w14:paraId="5A4863DE" w14:textId="0B987820" w:rsidR="00674527" w:rsidRPr="00674527" w:rsidRDefault="00674527" w:rsidP="00674527">
      <w:pPr>
        <w:pStyle w:val="Heading2"/>
        <w:rPr>
          <w:rFonts w:asciiTheme="minorHAnsi" w:hAnsiTheme="minorHAnsi" w:cstheme="minorHAnsi"/>
          <w:b/>
          <w:bCs/>
          <w:color w:val="000000" w:themeColor="text1"/>
          <w:sz w:val="28"/>
          <w:szCs w:val="28"/>
        </w:rPr>
      </w:pPr>
      <w:bookmarkStart w:id="4" w:name="_Toc115094369"/>
      <w:r w:rsidRPr="00674527">
        <w:rPr>
          <w:rFonts w:asciiTheme="minorHAnsi" w:hAnsiTheme="minorHAnsi" w:cstheme="minorHAnsi"/>
          <w:b/>
          <w:bCs/>
          <w:color w:val="000000" w:themeColor="text1"/>
          <w:sz w:val="28"/>
          <w:szCs w:val="28"/>
        </w:rPr>
        <w:t>2.1</w:t>
      </w:r>
      <w:r w:rsidRPr="00674527">
        <w:rPr>
          <w:rFonts w:asciiTheme="minorHAnsi" w:hAnsiTheme="minorHAnsi" w:cstheme="minorHAnsi"/>
          <w:b/>
          <w:bCs/>
          <w:color w:val="000000" w:themeColor="text1"/>
          <w:sz w:val="28"/>
          <w:szCs w:val="28"/>
        </w:rPr>
        <w:tab/>
        <w:t>Project rationale</w:t>
      </w:r>
      <w:bookmarkEnd w:id="4"/>
    </w:p>
    <w:p w14:paraId="72B64DFD" w14:textId="77777777" w:rsidR="00674527" w:rsidRPr="00674527" w:rsidRDefault="00674527" w:rsidP="00674527">
      <w:pPr>
        <w:pStyle w:val="NormalWeb"/>
        <w:rPr>
          <w:sz w:val="24"/>
          <w:szCs w:val="24"/>
        </w:rPr>
      </w:pPr>
      <w:r w:rsidRPr="00674527">
        <w:t>The need for a continued strengthening of knowledge management in the context of international waters still exists. Knowledge Management (KM) is the deliberate design and processing of information through the use of tools, structures and procedures with the intent to improve and share the use of information as knowledge, to enable learning, and to represent such in any of three elements of intellectual capital. This has been at the heart of the GEF IW:LEARN activities over the years and will continue in the future as there is a constant need to strengthen and improve KM among the IW projects and a wider community of practice. This begins with the relationship that GEF IW:LEARN project has with the GEF, the projects that are in the GEF pipeline and the GEF agencies that work to operationalize the IW portfolio. Understanding the roles and relationships of the many partners involved in the current phase of IW:LEARN is essential to implementing an effective KM Strategy for the IW portfolio.</w:t>
      </w:r>
      <w:r w:rsidRPr="00674527">
        <w:rPr>
          <w:sz w:val="20"/>
          <w:szCs w:val="20"/>
        </w:rPr>
        <w:t xml:space="preserve"> </w:t>
      </w:r>
    </w:p>
    <w:p w14:paraId="56DADFF7"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t>Proven GEF IW:LEARN approaches but also a suite of new and innovative activities is proposed to facilitate the GEF International Waters Focal Area to implement the GEF7 and GEF8  International Waters Strategy (and prepare for the 9</w:t>
      </w:r>
      <w:r>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GEF Replenishment). IW:LEARN will refine approaches to its traditional “service line” covering a suite of face-to-face training, twinning and partnership building activities, as well as continued focus on information management in the portfolio. Following the impacts of the COVID 19 crisis, the IW:LEARN will adapt to new realities in term of executing capacity building activities, in a short term by replacing, wherever possible, “face-to-face events” with the virtual ones, and in a long-term, by reformulating the entire “service line” based on the positive experiences of the COVID 19 crisis. It will be additionally extended to cater for the need of SIDS, in particular the priorities adopted by GEF: The Blue Economy, Integrated Resource Management from Ridge-to-Reef, Protected Areas, and Climate Resilience. </w:t>
      </w:r>
    </w:p>
    <w:p w14:paraId="25CEE6B7" w14:textId="77777777" w:rsidR="00674527" w:rsidRDefault="00674527" w:rsidP="00674527">
      <w:pPr>
        <w:jc w:val="both"/>
        <w:rPr>
          <w:rFonts w:asciiTheme="minorHAnsi" w:hAnsiTheme="minorHAnsi" w:cstheme="minorHAnsi"/>
          <w:sz w:val="22"/>
          <w:szCs w:val="22"/>
        </w:rPr>
      </w:pPr>
    </w:p>
    <w:p w14:paraId="0D75C81C"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t>GEF IW:LEARN will engage with partners both in the public sector and business community, building partnerships that can lead to new and innovative ways to manage the wealth of transboundary water management knowledge for the benefit of the IW community (composed of IW project coordinators and staff, government officials, local communities, transboundary commissions, non-governmental organizations, the GEF agencies and the business sector) and deliver on the requirements of the focal area strategy in the GEF7 Programmatic Directions as well as support the implementation of GEF8 (starting in 2022).</w:t>
      </w:r>
    </w:p>
    <w:p w14:paraId="7A8A948A" w14:textId="77777777" w:rsidR="00674527" w:rsidRDefault="00674527" w:rsidP="00674527">
      <w:pPr>
        <w:jc w:val="both"/>
        <w:rPr>
          <w:rFonts w:asciiTheme="minorHAnsi" w:hAnsiTheme="minorHAnsi" w:cstheme="minorHAnsi"/>
          <w:sz w:val="22"/>
          <w:szCs w:val="22"/>
        </w:rPr>
      </w:pPr>
    </w:p>
    <w:p w14:paraId="31715F14"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t>In particular, the new IW:LEARN project will continue supporting the core mandate of the GEF International Waters Focal Area to  support transboundary cooperation in shared marine and freshwater ecosystems and assist the project portfolio in achieving long-term benefits. The project’s proposed activities will help the portfolio to implement regionally endorsed SAP priorities, mainstream gender considerations, and stimulate private sector investment. IW:LEARN’s outcome will contribute in particular to two of the three GEF7 IW objectives: (1) Strengthening Blue Economy opportunities, (2) Improve management in Areas Beyond National Jurisdiction and (3) Enhance water security in freshwater ecosystems.  The proposed project will also assist align with proposed GEF8 objectives 1) Accelerate joint action to support Blue Economic Development 2) Advance management in the Areas Beyond National Jurisdiction (ABNJ) and 3) Enhance water security in freshwater ecosystems. The proposed project will also assist the IW portfolio with contributing to the preparation of the 9</w:t>
      </w:r>
      <w:r>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GEF Replenishment. </w:t>
      </w:r>
    </w:p>
    <w:p w14:paraId="6559604C" w14:textId="77777777" w:rsidR="00674527" w:rsidRDefault="00674527" w:rsidP="00674527">
      <w:pPr>
        <w:jc w:val="both"/>
        <w:rPr>
          <w:rFonts w:asciiTheme="minorHAnsi" w:hAnsiTheme="minorHAnsi" w:cstheme="minorHAnsi"/>
          <w:sz w:val="22"/>
          <w:szCs w:val="22"/>
        </w:rPr>
      </w:pPr>
    </w:p>
    <w:p w14:paraId="30D0423D"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Specifically, the project will retain focus on its core objective, towards a more impactful GEF portfolio: facilitating replication of good practice across GEF International Waters projects. However, the IW:LEARN introduces a new thematic area a suite of activities related to the Small Island Developing States (SIDS). Its constituency will be not only the projects that are water-related but also projects and themes across all focal areas in Small Island Developing States, working in collaboration with development partners, supporting the delivery of trainings, information management, providing programmatic guidance and facilitating partnership building. It will leverage outcomes across the focal area, between focal areas especially in SIDS, and in focal area projects from source-to-sea which help the portfolio improve its performance, build partnerships, replicate its success, improve coordination and ultimately improve the management of transboundary ecosystems. </w:t>
      </w:r>
    </w:p>
    <w:p w14:paraId="4089F6F3" w14:textId="77777777" w:rsidR="00674527" w:rsidRDefault="00674527" w:rsidP="00674527">
      <w:pPr>
        <w:jc w:val="both"/>
        <w:rPr>
          <w:rFonts w:asciiTheme="minorHAnsi" w:hAnsiTheme="minorHAnsi" w:cstheme="minorHAnsi"/>
          <w:color w:val="000000"/>
          <w:sz w:val="22"/>
          <w:szCs w:val="22"/>
        </w:rPr>
      </w:pPr>
    </w:p>
    <w:p w14:paraId="07D3AB7C"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t>The project will seek to increase visibility and impacts of GEF interventions and move towards robust integrated management in a source to sea continuum, sharing of portfolio planning and management tools, best practices and solutions; enhancing networking and data sharing; continuing commitment to capacity building and expanding the partnership with the private sector.</w:t>
      </w:r>
    </w:p>
    <w:p w14:paraId="5E667A67" w14:textId="77777777" w:rsidR="00674527" w:rsidRDefault="00674527" w:rsidP="00674527">
      <w:pPr>
        <w:jc w:val="both"/>
        <w:rPr>
          <w:rFonts w:asciiTheme="minorHAnsi" w:hAnsiTheme="minorHAnsi" w:cstheme="minorHAnsi"/>
          <w:sz w:val="22"/>
          <w:szCs w:val="22"/>
        </w:rPr>
      </w:pPr>
    </w:p>
    <w:p w14:paraId="1C72B0C4"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proposed project includes six interrelated and mutually supportive components: </w:t>
      </w:r>
    </w:p>
    <w:p w14:paraId="76F3FF87" w14:textId="77777777" w:rsidR="00674527" w:rsidRDefault="00674527" w:rsidP="00674527">
      <w:pPr>
        <w:jc w:val="both"/>
        <w:rPr>
          <w:rFonts w:asciiTheme="minorHAnsi" w:hAnsiTheme="minorHAnsi" w:cstheme="minorHAnsi"/>
          <w:color w:val="000000"/>
          <w:sz w:val="22"/>
          <w:szCs w:val="22"/>
        </w:rPr>
      </w:pPr>
    </w:p>
    <w:p w14:paraId="099EE451" w14:textId="77777777" w:rsidR="00674527" w:rsidRDefault="00674527" w:rsidP="00674527">
      <w:pPr>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Provide targeted knowledge sharing and results showcasing across projects and development partners (through face-to-face and, increasingly, online dialogue and training) to advance transboundary water management in all IW focal area ecosystems; </w:t>
      </w:r>
    </w:p>
    <w:p w14:paraId="2FA9BE16" w14:textId="77777777" w:rsidR="00674527" w:rsidRDefault="00674527" w:rsidP="00674527">
      <w:pPr>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Support the communication and replication of portfolio results and experiences;</w:t>
      </w:r>
    </w:p>
    <w:p w14:paraId="1DEE107C" w14:textId="77777777" w:rsidR="00674527" w:rsidRDefault="00674527" w:rsidP="00674527">
      <w:pPr>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Deliver inter- and intra-regional coordination and knowledge management across focal areas in Small Island Developing States to improve portfolio performance;</w:t>
      </w:r>
    </w:p>
    <w:p w14:paraId="50FB2B41" w14:textId="77777777" w:rsidR="00674527" w:rsidRDefault="00674527" w:rsidP="00674527">
      <w:pPr>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Deliver support to surface freshwater, groundwater and large marine ecosystem subsets in support of portfolio strategic priorities; and </w:t>
      </w:r>
    </w:p>
    <w:p w14:paraId="4EB73E05" w14:textId="77777777" w:rsidR="00674527" w:rsidRDefault="00674527" w:rsidP="00674527">
      <w:pPr>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Mobilize public and private partnership to enhance long-term sustainability of project interventions</w:t>
      </w:r>
    </w:p>
    <w:p w14:paraId="7345202A" w14:textId="305F4048" w:rsidR="00674527" w:rsidRDefault="00674527" w:rsidP="00674527">
      <w:pPr>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Monitoring and Evaluation</w:t>
      </w:r>
    </w:p>
    <w:p w14:paraId="5131E0B3" w14:textId="093876D5" w:rsidR="00674527" w:rsidRDefault="00674527" w:rsidP="00674527">
      <w:pPr>
        <w:jc w:val="both"/>
        <w:rPr>
          <w:rFonts w:asciiTheme="minorHAnsi" w:hAnsiTheme="minorHAnsi" w:cstheme="minorHAnsi"/>
          <w:color w:val="000000"/>
          <w:sz w:val="22"/>
          <w:szCs w:val="22"/>
        </w:rPr>
      </w:pPr>
    </w:p>
    <w:p w14:paraId="5633730A" w14:textId="77777777" w:rsidR="00151E03" w:rsidRPr="00674527" w:rsidRDefault="00151E03" w:rsidP="00674527">
      <w:pPr>
        <w:jc w:val="both"/>
        <w:rPr>
          <w:rFonts w:asciiTheme="minorHAnsi" w:hAnsiTheme="minorHAnsi" w:cstheme="minorHAnsi"/>
          <w:color w:val="000000"/>
          <w:sz w:val="22"/>
          <w:szCs w:val="22"/>
        </w:rPr>
      </w:pPr>
    </w:p>
    <w:p w14:paraId="120A6D46" w14:textId="11037EB9" w:rsidR="00674527" w:rsidRDefault="00674527" w:rsidP="00674527">
      <w:pPr>
        <w:pStyle w:val="Heading2"/>
        <w:rPr>
          <w:rFonts w:ascii="Calibri" w:hAnsi="Calibri" w:cs="Calibri"/>
          <w:b/>
          <w:bCs/>
          <w:color w:val="000000" w:themeColor="text1"/>
          <w:sz w:val="28"/>
          <w:szCs w:val="28"/>
        </w:rPr>
      </w:pPr>
      <w:bookmarkStart w:id="5" w:name="_Toc115094370"/>
      <w:r w:rsidRPr="00674527">
        <w:rPr>
          <w:rFonts w:ascii="Calibri" w:hAnsi="Calibri" w:cs="Calibri"/>
          <w:b/>
          <w:bCs/>
          <w:color w:val="000000" w:themeColor="text1"/>
          <w:sz w:val="28"/>
          <w:szCs w:val="28"/>
        </w:rPr>
        <w:t>2.2</w:t>
      </w:r>
      <w:r w:rsidRPr="00674527">
        <w:rPr>
          <w:rFonts w:ascii="Calibri" w:hAnsi="Calibri" w:cs="Calibri"/>
          <w:b/>
          <w:bCs/>
          <w:color w:val="000000" w:themeColor="text1"/>
          <w:sz w:val="28"/>
          <w:szCs w:val="28"/>
        </w:rPr>
        <w:tab/>
        <w:t>Main project design considerations</w:t>
      </w:r>
      <w:bookmarkEnd w:id="5"/>
    </w:p>
    <w:p w14:paraId="274F579C" w14:textId="77777777" w:rsidR="00674527" w:rsidRDefault="00674527" w:rsidP="00674527">
      <w:pPr>
        <w:spacing w:before="280" w:after="280"/>
        <w:jc w:val="both"/>
        <w:rPr>
          <w:rFonts w:asciiTheme="minorHAnsi" w:hAnsiTheme="minorHAnsi" w:cstheme="minorHAnsi"/>
          <w:sz w:val="22"/>
          <w:szCs w:val="22"/>
        </w:rPr>
      </w:pPr>
      <w:r>
        <w:rPr>
          <w:rFonts w:asciiTheme="minorHAnsi" w:hAnsiTheme="minorHAnsi" w:cstheme="minorHAnsi"/>
          <w:sz w:val="22"/>
          <w:szCs w:val="22"/>
        </w:rPr>
        <w:t xml:space="preserve">During its next phase, as earlier, IW:LEARN will continue to  link together the main policy processes in relation to the global transboundary waters agenda, primarily through sharing the best practices and experience of the GEF IW global portfolio. The project meets GEF IW strategic long‐term Objective 1 to foster international, multi‐state cooperation on priority transboundary water concerns through more comprehensive, ecosystem‐ based approaches to management, and Objective 2 to </w:t>
      </w:r>
      <w:proofErr w:type="spellStart"/>
      <w:r>
        <w:rPr>
          <w:rFonts w:asciiTheme="minorHAnsi" w:hAnsiTheme="minorHAnsi" w:cstheme="minorHAnsi"/>
          <w:sz w:val="22"/>
          <w:szCs w:val="22"/>
        </w:rPr>
        <w:t>catalyse</w:t>
      </w:r>
      <w:proofErr w:type="spellEnd"/>
      <w:r>
        <w:rPr>
          <w:rFonts w:asciiTheme="minorHAnsi" w:hAnsiTheme="minorHAnsi" w:cstheme="minorHAnsi"/>
          <w:sz w:val="22"/>
          <w:szCs w:val="22"/>
        </w:rPr>
        <w:t xml:space="preserve"> transboundary action addressing water concerns, by assisting countries to utilize the full range of technical assistance, economic, financial, regulatory and institutional reforms that are needed, and in particular by supporting activities that enable countries to learn to work together on their key transboundary concerns, set priorities for joint action; and implement those actions if a political commitment to sustainability is shown. </w:t>
      </w:r>
    </w:p>
    <w:p w14:paraId="29E0BD89" w14:textId="77777777" w:rsidR="00674527" w:rsidRDefault="00674527" w:rsidP="00674527">
      <w:pPr>
        <w:spacing w:before="280" w:after="280"/>
        <w:jc w:val="both"/>
        <w:rPr>
          <w:rFonts w:asciiTheme="minorHAnsi" w:hAnsiTheme="minorHAnsi" w:cstheme="minorHAnsi"/>
          <w:sz w:val="22"/>
          <w:szCs w:val="22"/>
        </w:rPr>
      </w:pPr>
      <w:r>
        <w:rPr>
          <w:rFonts w:asciiTheme="minorHAnsi" w:hAnsiTheme="minorHAnsi" w:cstheme="minorHAnsi"/>
          <w:sz w:val="22"/>
          <w:szCs w:val="22"/>
        </w:rPr>
        <w:t>The project will deliver global environmental benefits by fostering conditions for improved GEF IW project delivery and impact for transboundary water systems per the GEF Operational Strategy. Additionally, it will facilitate inter‐ and intra‐regional adaptive learning processes necessary to accelerate the achievement of water resource‐related targets as prescribed by the Sustainable Development Goals (SDGs), in particular SDG6 and SDG14.</w:t>
      </w:r>
    </w:p>
    <w:p w14:paraId="2DD3FDA6" w14:textId="77777777" w:rsidR="00674527" w:rsidRDefault="00674527" w:rsidP="00674527">
      <w:pPr>
        <w:spacing w:before="280" w:after="280"/>
        <w:jc w:val="both"/>
        <w:rPr>
          <w:rFonts w:asciiTheme="minorHAnsi" w:hAnsiTheme="minorHAnsi" w:cstheme="minorHAnsi"/>
          <w:sz w:val="22"/>
          <w:szCs w:val="22"/>
        </w:rPr>
      </w:pPr>
      <w:r>
        <w:rPr>
          <w:rFonts w:asciiTheme="minorHAnsi" w:hAnsiTheme="minorHAnsi" w:cstheme="minorHAnsi"/>
          <w:sz w:val="22"/>
          <w:szCs w:val="22"/>
        </w:rPr>
        <w:lastRenderedPageBreak/>
        <w:t xml:space="preserve">Building directly on the foundations of the GEF IW portfolio of river, lake, groundwater and large marine ecosystem projects, as well as the last three phases of the GEF IW:LEARN (projects from 1998‐2014 inclusive). The project will raise the profile of transboundary water governance at the international level as a united GEF contribution to make a difference globally on the dialogue for this scale of action involving one‐half the people on the planet and 65% of land area and all ocean area. </w:t>
      </w:r>
    </w:p>
    <w:p w14:paraId="38B68AB8" w14:textId="77777777" w:rsidR="00674527" w:rsidRDefault="00674527" w:rsidP="00674527">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It will establish mechanisms for learning in the key GEF regions. It will aim at </w:t>
      </w:r>
      <w:proofErr w:type="spellStart"/>
      <w:r>
        <w:rPr>
          <w:rFonts w:asciiTheme="minorHAnsi" w:hAnsiTheme="minorHAnsi" w:cstheme="minorHAnsi"/>
          <w:color w:val="000000"/>
          <w:sz w:val="22"/>
          <w:szCs w:val="22"/>
        </w:rPr>
        <w:t>catalysing</w:t>
      </w:r>
      <w:proofErr w:type="spellEnd"/>
      <w:r>
        <w:rPr>
          <w:rFonts w:asciiTheme="minorHAnsi" w:hAnsiTheme="minorHAnsi" w:cstheme="minorHAnsi"/>
          <w:color w:val="000000"/>
          <w:sz w:val="22"/>
          <w:szCs w:val="22"/>
        </w:rPr>
        <w:t xml:space="preserve"> action and enhancing the effectiveness of the GEF International Waters portfolio through the provision of knowledge and the application of innovative techniques. But, in addition, being country-driven is a </w:t>
      </w:r>
      <w:proofErr w:type="spellStart"/>
      <w:r>
        <w:rPr>
          <w:rFonts w:asciiTheme="minorHAnsi" w:hAnsiTheme="minorHAnsi" w:cstheme="minorHAnsi"/>
          <w:i/>
          <w:color w:val="000000"/>
          <w:sz w:val="22"/>
          <w:szCs w:val="22"/>
        </w:rPr>
        <w:t>conditio</w:t>
      </w:r>
      <w:proofErr w:type="spellEnd"/>
      <w:r>
        <w:rPr>
          <w:rFonts w:asciiTheme="minorHAnsi" w:hAnsiTheme="minorHAnsi" w:cstheme="minorHAnsi"/>
          <w:i/>
          <w:color w:val="000000"/>
          <w:sz w:val="22"/>
          <w:szCs w:val="22"/>
        </w:rPr>
        <w:t xml:space="preserve"> sine qua non</w:t>
      </w:r>
      <w:r>
        <w:rPr>
          <w:rFonts w:asciiTheme="minorHAnsi" w:hAnsiTheme="minorHAnsi" w:cstheme="minorHAnsi"/>
          <w:color w:val="000000"/>
          <w:sz w:val="22"/>
          <w:szCs w:val="22"/>
        </w:rPr>
        <w:t xml:space="preserve"> for a successful project implementation of all GEF projects, hence all IW projects assisted by IW:LEARN have the country GEF focal point endorsement. GEF IW:LEARN aims to support and improve the management of GEF IW projects</w:t>
      </w:r>
      <w:r>
        <w:rPr>
          <w:rFonts w:asciiTheme="minorHAnsi" w:hAnsiTheme="minorHAnsi" w:cstheme="minorHAnsi"/>
          <w:color w:val="000000"/>
          <w:sz w:val="36"/>
          <w:szCs w:val="36"/>
          <w:vertAlign w:val="superscript"/>
        </w:rPr>
        <w:t xml:space="preserve"> </w:t>
      </w:r>
      <w:r>
        <w:rPr>
          <w:rFonts w:asciiTheme="minorHAnsi" w:hAnsiTheme="minorHAnsi" w:cstheme="minorHAnsi"/>
          <w:color w:val="000000"/>
          <w:sz w:val="22"/>
          <w:szCs w:val="22"/>
        </w:rPr>
        <w:t xml:space="preserve">and enhance project capacity to address national priorities and plans. The proposed project will support all these various regional, national and local strategies by building networks, creating tools, improving linkages, harvesting best practices and generating knowledge, with a heightened focus in this stage on the SIDS. The project will also feature a scaled‐up approach to fostering regional transboundary cooperation, which focuses on supporting dialogue between international </w:t>
      </w:r>
      <w:proofErr w:type="spellStart"/>
      <w:r>
        <w:rPr>
          <w:rFonts w:asciiTheme="minorHAnsi" w:hAnsiTheme="minorHAnsi" w:cstheme="minorHAnsi"/>
          <w:color w:val="000000"/>
          <w:sz w:val="22"/>
          <w:szCs w:val="22"/>
        </w:rPr>
        <w:t>organisations</w:t>
      </w:r>
      <w:proofErr w:type="spellEnd"/>
      <w:r>
        <w:rPr>
          <w:rFonts w:asciiTheme="minorHAnsi" w:hAnsiTheme="minorHAnsi" w:cstheme="minorHAnsi"/>
          <w:color w:val="000000"/>
          <w:sz w:val="22"/>
          <w:szCs w:val="22"/>
        </w:rPr>
        <w:t xml:space="preserve"> and bodies on transboundary water issues as a trust and confidence building activity. The proposed project will also have a focus on building capacity at the national level through SAP actions and regional workshops. The project will also contribute indirectly to help countries in achieving SDG6 and 14 and related SDGs’ targets. </w:t>
      </w:r>
    </w:p>
    <w:p w14:paraId="4DF47E46" w14:textId="77777777" w:rsidR="00674527" w:rsidRDefault="00674527" w:rsidP="00674527">
      <w:pPr>
        <w:spacing w:before="280" w:after="280"/>
        <w:jc w:val="both"/>
        <w:rPr>
          <w:rFonts w:asciiTheme="minorHAnsi" w:hAnsiTheme="minorHAnsi" w:cstheme="minorHAnsi"/>
          <w:sz w:val="22"/>
          <w:szCs w:val="22"/>
        </w:rPr>
      </w:pPr>
      <w:r>
        <w:rPr>
          <w:rFonts w:asciiTheme="minorHAnsi" w:hAnsiTheme="minorHAnsi" w:cstheme="minorHAnsi"/>
          <w:sz w:val="22"/>
          <w:szCs w:val="22"/>
        </w:rPr>
        <w:t xml:space="preserve">The project will also (through the training provided, workshops, exchanges, twinning etc.) assist the broader IW portfolio meet their commitments to United Nations Development Assistance Framework (UNDAF), Country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Outcomes</w:t>
      </w:r>
      <w:r>
        <w:rPr>
          <w:rFonts w:asciiTheme="minorHAnsi" w:hAnsiTheme="minorHAnsi" w:cstheme="minorHAnsi"/>
        </w:rPr>
        <w:t xml:space="preserve">, </w:t>
      </w:r>
      <w:r>
        <w:rPr>
          <w:rFonts w:asciiTheme="minorHAnsi" w:hAnsiTheme="minorHAnsi" w:cstheme="minorHAnsi"/>
          <w:sz w:val="22"/>
          <w:szCs w:val="22"/>
        </w:rPr>
        <w:t xml:space="preserve">and the promotion of gender mainstreaming and considerations to climate change adaptation. </w:t>
      </w:r>
    </w:p>
    <w:p w14:paraId="4E21420B" w14:textId="77777777" w:rsidR="00674527" w:rsidRPr="00674527" w:rsidRDefault="00674527" w:rsidP="00674527"/>
    <w:p w14:paraId="1C035482" w14:textId="395E665C" w:rsidR="0060142C" w:rsidRPr="0060142C" w:rsidRDefault="0060142C" w:rsidP="0060142C">
      <w:pPr>
        <w:pStyle w:val="Heading2"/>
        <w:rPr>
          <w:rFonts w:asciiTheme="minorHAnsi" w:hAnsiTheme="minorHAnsi" w:cstheme="minorHAnsi"/>
          <w:b/>
          <w:bCs/>
          <w:color w:val="000000" w:themeColor="text1"/>
          <w:sz w:val="28"/>
          <w:szCs w:val="28"/>
        </w:rPr>
      </w:pPr>
      <w:bookmarkStart w:id="6" w:name="_Toc115094371"/>
      <w:r w:rsidRPr="0060142C">
        <w:rPr>
          <w:rFonts w:asciiTheme="minorHAnsi" w:hAnsiTheme="minorHAnsi" w:cstheme="minorHAnsi"/>
          <w:b/>
          <w:bCs/>
          <w:color w:val="000000" w:themeColor="text1"/>
          <w:sz w:val="28"/>
          <w:szCs w:val="28"/>
        </w:rPr>
        <w:t>2.3</w:t>
      </w:r>
      <w:r w:rsidRPr="0060142C">
        <w:rPr>
          <w:rFonts w:asciiTheme="minorHAnsi" w:hAnsiTheme="minorHAnsi" w:cstheme="minorHAnsi"/>
          <w:b/>
          <w:bCs/>
          <w:color w:val="000000" w:themeColor="text1"/>
          <w:sz w:val="28"/>
          <w:szCs w:val="28"/>
        </w:rPr>
        <w:tab/>
        <w:t>Project objectives, outcomes and outputs/activities</w:t>
      </w:r>
      <w:bookmarkEnd w:id="6"/>
    </w:p>
    <w:p w14:paraId="21D7457C" w14:textId="77777777" w:rsidR="0060142C" w:rsidRDefault="0060142C" w:rsidP="0060142C">
      <w:pPr>
        <w:jc w:val="both"/>
        <w:rPr>
          <w:rFonts w:asciiTheme="minorHAnsi" w:hAnsiTheme="minorHAnsi" w:cstheme="minorHAnsi"/>
          <w:sz w:val="22"/>
          <w:szCs w:val="22"/>
        </w:rPr>
      </w:pPr>
    </w:p>
    <w:p w14:paraId="4A77D564" w14:textId="0F754B52" w:rsidR="0060142C" w:rsidRDefault="0060142C" w:rsidP="0060142C">
      <w:pPr>
        <w:jc w:val="both"/>
        <w:rPr>
          <w:rFonts w:asciiTheme="minorHAnsi" w:hAnsiTheme="minorHAnsi" w:cstheme="minorHAnsi"/>
          <w:sz w:val="22"/>
          <w:szCs w:val="22"/>
        </w:rPr>
      </w:pPr>
      <w:r>
        <w:rPr>
          <w:rFonts w:asciiTheme="minorHAnsi" w:hAnsiTheme="minorHAnsi" w:cstheme="minorHAnsi"/>
          <w:sz w:val="22"/>
          <w:szCs w:val="22"/>
        </w:rPr>
        <w:t xml:space="preserve">The overall project’s </w:t>
      </w:r>
      <w:r>
        <w:rPr>
          <w:rFonts w:asciiTheme="minorHAnsi" w:hAnsiTheme="minorHAnsi" w:cstheme="minorHAnsi"/>
          <w:b/>
          <w:sz w:val="22"/>
          <w:szCs w:val="22"/>
        </w:rPr>
        <w:t>objective</w:t>
      </w:r>
      <w:r>
        <w:rPr>
          <w:rFonts w:asciiTheme="minorHAnsi" w:hAnsiTheme="minorHAnsi" w:cstheme="minorHAnsi"/>
          <w:sz w:val="22"/>
          <w:szCs w:val="22"/>
        </w:rPr>
        <w:t xml:space="preserve"> is to move t</w:t>
      </w:r>
      <w:r>
        <w:rPr>
          <w:rFonts w:asciiTheme="minorHAnsi" w:hAnsiTheme="minorHAnsi" w:cstheme="minorHAnsi"/>
          <w:color w:val="000000"/>
          <w:sz w:val="22"/>
          <w:szCs w:val="22"/>
        </w:rPr>
        <w:t>owards a more impactful GEF portfolio through facilitating replication of good practice across GEF International Waters projects, including projects across all focal areas in Small Island Developing States; working in collaboration with development partners; supporting the delivery of training information management, providing programmatic guidance; and facilitating partnership building.</w:t>
      </w:r>
    </w:p>
    <w:p w14:paraId="72423597" w14:textId="77777777" w:rsidR="0060142C" w:rsidRDefault="0060142C" w:rsidP="0060142C">
      <w:pPr>
        <w:jc w:val="both"/>
        <w:rPr>
          <w:rFonts w:asciiTheme="minorHAnsi" w:hAnsiTheme="minorHAnsi" w:cstheme="minorHAnsi"/>
          <w:sz w:val="22"/>
          <w:szCs w:val="22"/>
        </w:rPr>
      </w:pPr>
    </w:p>
    <w:p w14:paraId="710EE102" w14:textId="77777777" w:rsidR="0060142C" w:rsidRDefault="0060142C" w:rsidP="0060142C">
      <w:pPr>
        <w:jc w:val="both"/>
        <w:rPr>
          <w:rFonts w:asciiTheme="minorHAnsi" w:hAnsiTheme="minorHAnsi" w:cstheme="minorHAnsi"/>
          <w:sz w:val="22"/>
          <w:szCs w:val="22"/>
        </w:rPr>
      </w:pPr>
      <w:r>
        <w:rPr>
          <w:rFonts w:asciiTheme="minorHAnsi" w:hAnsiTheme="minorHAnsi" w:cstheme="minorHAnsi"/>
          <w:sz w:val="22"/>
          <w:szCs w:val="22"/>
        </w:rPr>
        <w:t xml:space="preserve">The IW:LEARN will during the next phase deliver the above objective through the accomplishment of seven Outcomes: </w:t>
      </w:r>
    </w:p>
    <w:p w14:paraId="62DAED01" w14:textId="77777777" w:rsidR="0060142C" w:rsidRDefault="0060142C" w:rsidP="0060142C">
      <w:pPr>
        <w:jc w:val="both"/>
        <w:rPr>
          <w:rFonts w:asciiTheme="minorHAnsi" w:hAnsiTheme="minorHAnsi" w:cstheme="minorHAnsi"/>
          <w:sz w:val="22"/>
          <w:szCs w:val="22"/>
        </w:rPr>
      </w:pPr>
    </w:p>
    <w:p w14:paraId="03C33322" w14:textId="77777777" w:rsidR="0060142C" w:rsidRDefault="0060142C" w:rsidP="0060142C">
      <w:pPr>
        <w:numPr>
          <w:ilvl w:val="0"/>
          <w:numId w:val="5"/>
        </w:numPr>
        <w:shd w:val="clear" w:color="auto" w:fill="FFFFFF"/>
        <w:jc w:val="both"/>
        <w:rPr>
          <w:rFonts w:asciiTheme="minorHAnsi" w:hAnsiTheme="minorHAnsi" w:cstheme="minorHAnsi"/>
          <w:color w:val="000000"/>
          <w:sz w:val="22"/>
          <w:szCs w:val="22"/>
          <w:lang w:val="en-GB"/>
        </w:rPr>
      </w:pPr>
      <w:r>
        <w:rPr>
          <w:rFonts w:asciiTheme="minorHAnsi" w:hAnsiTheme="minorHAnsi" w:cstheme="minorHAnsi"/>
          <w:b/>
          <w:color w:val="000000"/>
          <w:sz w:val="22"/>
          <w:szCs w:val="22"/>
        </w:rPr>
        <w:t xml:space="preserve">Outcome 1: </w:t>
      </w:r>
      <w:r>
        <w:rPr>
          <w:rFonts w:asciiTheme="minorHAnsi" w:hAnsiTheme="minorHAnsi" w:cstheme="minorHAnsi"/>
          <w:color w:val="000000"/>
          <w:sz w:val="22"/>
          <w:szCs w:val="22"/>
        </w:rPr>
        <w:t xml:space="preserve">Enhanced portfolio </w:t>
      </w:r>
      <w:r>
        <w:rPr>
          <w:rFonts w:asciiTheme="minorHAnsi" w:hAnsiTheme="minorHAnsi" w:cstheme="minorHAnsi"/>
          <w:color w:val="000000"/>
          <w:sz w:val="22"/>
          <w:szCs w:val="22"/>
          <w:lang w:val="en-GB"/>
        </w:rPr>
        <w:t>and development partner capacity at the national, regional and global levels, and improved portfolio-wide project performance</w:t>
      </w:r>
    </w:p>
    <w:p w14:paraId="728D44D0" w14:textId="77777777" w:rsidR="0060142C" w:rsidRDefault="0060142C" w:rsidP="0060142C">
      <w:pPr>
        <w:numPr>
          <w:ilvl w:val="0"/>
          <w:numId w:val="5"/>
        </w:numPr>
        <w:jc w:val="both"/>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Outcome 2: </w:t>
      </w:r>
      <w:r>
        <w:rPr>
          <w:rFonts w:asciiTheme="minorHAnsi" w:hAnsiTheme="minorHAnsi" w:cstheme="minorHAnsi"/>
          <w:color w:val="000000"/>
          <w:sz w:val="22"/>
          <w:szCs w:val="22"/>
          <w:lang w:val="en-GB"/>
        </w:rPr>
        <w:t>Increased global awareness of GEF results and increased GEF partnerships beyond the portfolio</w:t>
      </w:r>
    </w:p>
    <w:p w14:paraId="3095D8DF" w14:textId="77777777" w:rsidR="0060142C" w:rsidRDefault="0060142C" w:rsidP="0060142C">
      <w:pPr>
        <w:numPr>
          <w:ilvl w:val="0"/>
          <w:numId w:val="5"/>
        </w:numPr>
        <w:shd w:val="clear" w:color="auto" w:fill="FFFFFF"/>
        <w:jc w:val="both"/>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Outcome 3: </w:t>
      </w:r>
      <w:r>
        <w:rPr>
          <w:rFonts w:asciiTheme="minorHAnsi" w:hAnsiTheme="minorHAnsi" w:cstheme="minorHAnsi"/>
          <w:color w:val="000000"/>
          <w:sz w:val="22"/>
          <w:szCs w:val="22"/>
          <w:lang w:val="en-GB"/>
        </w:rPr>
        <w:t>Increased experience sharing and replication of successes within and across the IW portfolio, as well as enhanced understanding beyond the portfolio</w:t>
      </w:r>
    </w:p>
    <w:p w14:paraId="7FADBFD8" w14:textId="77777777" w:rsidR="0060142C" w:rsidRDefault="0060142C" w:rsidP="0060142C">
      <w:pPr>
        <w:numPr>
          <w:ilvl w:val="0"/>
          <w:numId w:val="5"/>
        </w:numPr>
        <w:shd w:val="clear" w:color="auto" w:fill="FFFFFF"/>
        <w:jc w:val="both"/>
        <w:rPr>
          <w:rFonts w:asciiTheme="minorHAnsi" w:hAnsiTheme="minorHAnsi" w:cstheme="minorHAnsi"/>
          <w:color w:val="000000"/>
          <w:sz w:val="22"/>
          <w:szCs w:val="22"/>
          <w:lang w:val="en-GB"/>
        </w:rPr>
      </w:pPr>
      <w:r>
        <w:rPr>
          <w:rFonts w:asciiTheme="minorHAnsi" w:hAnsiTheme="minorHAnsi" w:cstheme="minorHAnsi"/>
          <w:b/>
          <w:color w:val="000000"/>
          <w:sz w:val="22"/>
          <w:szCs w:val="22"/>
          <w:lang w:val="en-GB"/>
        </w:rPr>
        <w:t xml:space="preserve">Outcome 4: </w:t>
      </w:r>
      <w:r>
        <w:rPr>
          <w:rFonts w:asciiTheme="minorHAnsi" w:hAnsiTheme="minorHAnsi" w:cstheme="minorHAnsi"/>
          <w:color w:val="000000"/>
          <w:sz w:val="22"/>
          <w:szCs w:val="22"/>
          <w:lang w:val="en-GB"/>
        </w:rPr>
        <w:t xml:space="preserve">Enhanced global collaboration and communication among Small Island Developing States </w:t>
      </w:r>
    </w:p>
    <w:p w14:paraId="47A5C3B2" w14:textId="77777777" w:rsidR="0060142C" w:rsidRDefault="0060142C" w:rsidP="0060142C">
      <w:pPr>
        <w:numPr>
          <w:ilvl w:val="0"/>
          <w:numId w:val="5"/>
        </w:numPr>
        <w:shd w:val="clear" w:color="auto" w:fill="FFFFFF"/>
        <w:jc w:val="both"/>
        <w:rPr>
          <w:rFonts w:asciiTheme="minorHAnsi" w:hAnsiTheme="minorHAnsi" w:cstheme="minorHAnsi"/>
          <w:color w:val="000000"/>
          <w:sz w:val="22"/>
          <w:szCs w:val="22"/>
        </w:rPr>
      </w:pPr>
      <w:r>
        <w:rPr>
          <w:rFonts w:asciiTheme="minorHAnsi" w:hAnsiTheme="minorHAnsi" w:cstheme="minorHAnsi"/>
          <w:b/>
          <w:color w:val="000000"/>
          <w:sz w:val="22"/>
          <w:szCs w:val="22"/>
          <w:lang w:val="en-GB"/>
        </w:rPr>
        <w:t xml:space="preserve">Outcome 5: </w:t>
      </w:r>
      <w:r>
        <w:rPr>
          <w:rFonts w:asciiTheme="minorHAnsi" w:hAnsiTheme="minorHAnsi" w:cstheme="minorHAnsi"/>
          <w:color w:val="000000"/>
          <w:sz w:val="22"/>
          <w:szCs w:val="22"/>
          <w:lang w:val="en-GB"/>
        </w:rPr>
        <w:t>Improved coordination of GEF projects and participating</w:t>
      </w:r>
      <w:r>
        <w:rPr>
          <w:rFonts w:asciiTheme="minorHAnsi" w:hAnsiTheme="minorHAnsi" w:cstheme="minorHAnsi"/>
          <w:color w:val="000000"/>
          <w:sz w:val="22"/>
          <w:szCs w:val="22"/>
        </w:rPr>
        <w:t xml:space="preserve"> country counterparts in Small Island Developing States across all GEF focal areas and increased achievement of relevant environmental performance targets by project participating countries of GEF IW project interventions </w:t>
      </w:r>
    </w:p>
    <w:p w14:paraId="3D5151D1" w14:textId="77777777" w:rsidR="0060142C" w:rsidRDefault="0060142C" w:rsidP="0060142C">
      <w:pPr>
        <w:numPr>
          <w:ilvl w:val="0"/>
          <w:numId w:val="5"/>
        </w:numPr>
        <w:shd w:val="clear" w:color="auto" w:fill="FFFFFF"/>
        <w:jc w:val="both"/>
        <w:rPr>
          <w:rFonts w:asciiTheme="minorHAnsi" w:hAnsiTheme="minorHAnsi" w:cstheme="minorHAnsi"/>
          <w:color w:val="000000"/>
          <w:sz w:val="22"/>
          <w:szCs w:val="22"/>
        </w:rPr>
      </w:pPr>
      <w:r>
        <w:rPr>
          <w:rFonts w:asciiTheme="minorHAnsi" w:hAnsiTheme="minorHAnsi" w:cstheme="minorHAnsi"/>
          <w:b/>
          <w:color w:val="000000"/>
          <w:sz w:val="22"/>
          <w:szCs w:val="22"/>
        </w:rPr>
        <w:lastRenderedPageBreak/>
        <w:t xml:space="preserve">Outcome 6: </w:t>
      </w:r>
      <w:r>
        <w:rPr>
          <w:rFonts w:asciiTheme="minorHAnsi" w:hAnsiTheme="minorHAnsi" w:cstheme="minorHAnsi"/>
          <w:color w:val="000000"/>
          <w:sz w:val="22"/>
          <w:szCs w:val="22"/>
        </w:rPr>
        <w:t>Improved management of transboundary freshwater and marine ecosystems</w:t>
      </w:r>
    </w:p>
    <w:p w14:paraId="73BC83B5" w14:textId="77777777" w:rsidR="0060142C" w:rsidRDefault="0060142C" w:rsidP="0060142C">
      <w:pPr>
        <w:numPr>
          <w:ilvl w:val="0"/>
          <w:numId w:val="5"/>
        </w:numPr>
        <w:shd w:val="clear" w:color="auto" w:fill="FFFFFF"/>
        <w:jc w:val="both"/>
        <w:rPr>
          <w:rFonts w:asciiTheme="minorHAnsi" w:hAnsiTheme="minorHAnsi" w:cstheme="minorHAnsi"/>
          <w:color w:val="000000"/>
          <w:sz w:val="22"/>
          <w:szCs w:val="22"/>
        </w:rPr>
      </w:pPr>
      <w:r>
        <w:rPr>
          <w:rFonts w:asciiTheme="minorHAnsi" w:hAnsiTheme="minorHAnsi" w:cstheme="minorHAnsi"/>
          <w:b/>
          <w:color w:val="000000"/>
          <w:sz w:val="22"/>
          <w:szCs w:val="22"/>
        </w:rPr>
        <w:t>Outcome 7:</w:t>
      </w:r>
      <w:sdt>
        <w:sdtPr>
          <w:rPr>
            <w:rFonts w:asciiTheme="minorHAnsi" w:hAnsiTheme="minorHAnsi" w:cstheme="minorHAnsi"/>
          </w:rPr>
          <w:tag w:val="goog_rdk_175"/>
          <w:id w:val="-908076861"/>
        </w:sdtPr>
        <w:sdtEndPr/>
        <w:sdtContent>
          <w:r>
            <w:rPr>
              <w:rFonts w:asciiTheme="minorHAnsi" w:hAnsiTheme="minorHAnsi" w:cstheme="minorHAnsi"/>
              <w:b/>
              <w:sz w:val="22"/>
              <w:szCs w:val="22"/>
            </w:rPr>
            <w:t xml:space="preserve"> </w:t>
          </w:r>
        </w:sdtContent>
      </w:sdt>
      <w:r>
        <w:rPr>
          <w:rFonts w:asciiTheme="minorHAnsi" w:hAnsiTheme="minorHAnsi" w:cstheme="minorHAnsi"/>
          <w:color w:val="000000"/>
          <w:sz w:val="22"/>
          <w:szCs w:val="22"/>
        </w:rPr>
        <w:t>Enhanced number of partnerships and resources mobilized for the portfolio</w:t>
      </w:r>
    </w:p>
    <w:p w14:paraId="2215AD38" w14:textId="77777777" w:rsidR="0060142C" w:rsidRDefault="0060142C" w:rsidP="0060142C">
      <w:pPr>
        <w:jc w:val="both"/>
        <w:rPr>
          <w:rFonts w:asciiTheme="minorHAnsi" w:hAnsiTheme="minorHAnsi" w:cstheme="minorHAnsi"/>
          <w:sz w:val="22"/>
          <w:szCs w:val="22"/>
        </w:rPr>
      </w:pPr>
    </w:p>
    <w:p w14:paraId="34A2F790" w14:textId="77777777" w:rsidR="0060142C" w:rsidRDefault="0060142C" w:rsidP="0060142C">
      <w:pPr>
        <w:jc w:val="both"/>
        <w:rPr>
          <w:rFonts w:asciiTheme="minorHAnsi" w:hAnsiTheme="minorHAnsi" w:cstheme="minorHAnsi"/>
          <w:sz w:val="22"/>
          <w:szCs w:val="22"/>
        </w:rPr>
      </w:pPr>
      <w:r>
        <w:rPr>
          <w:rFonts w:asciiTheme="minorHAnsi" w:hAnsiTheme="minorHAnsi" w:cstheme="minorHAnsi"/>
          <w:sz w:val="22"/>
          <w:szCs w:val="22"/>
        </w:rPr>
        <w:t xml:space="preserve">These Outcomes will be delivered through five inter-linked and mutually </w:t>
      </w:r>
      <w:sdt>
        <w:sdtPr>
          <w:rPr>
            <w:rFonts w:asciiTheme="minorHAnsi" w:hAnsiTheme="minorHAnsi" w:cstheme="minorHAnsi"/>
          </w:rPr>
          <w:tag w:val="goog_rdk_178"/>
          <w:id w:val="627592349"/>
        </w:sdtPr>
        <w:sdtEndPr/>
        <w:sdtContent>
          <w:r>
            <w:rPr>
              <w:rFonts w:asciiTheme="minorHAnsi" w:hAnsiTheme="minorHAnsi" w:cstheme="minorHAnsi"/>
              <w:sz w:val="22"/>
              <w:szCs w:val="22"/>
            </w:rPr>
            <w:t>supportive components</w:t>
          </w:r>
        </w:sdtContent>
      </w:sdt>
      <w:r>
        <w:rPr>
          <w:rFonts w:asciiTheme="minorHAnsi" w:hAnsiTheme="minorHAnsi" w:cstheme="minorHAnsi"/>
          <w:sz w:val="22"/>
          <w:szCs w:val="22"/>
        </w:rPr>
        <w:t>:</w:t>
      </w:r>
    </w:p>
    <w:p w14:paraId="6B002E52" w14:textId="77777777" w:rsidR="0060142C" w:rsidRDefault="0060142C" w:rsidP="0060142C">
      <w:pPr>
        <w:jc w:val="both"/>
        <w:rPr>
          <w:rFonts w:asciiTheme="minorHAnsi" w:hAnsiTheme="minorHAnsi" w:cstheme="minorHAnsi"/>
          <w:sz w:val="22"/>
          <w:szCs w:val="22"/>
        </w:rPr>
      </w:pPr>
    </w:p>
    <w:p w14:paraId="00FDE5EC" w14:textId="77777777" w:rsidR="0060142C" w:rsidRDefault="0060142C" w:rsidP="0060142C">
      <w:pPr>
        <w:numPr>
          <w:ilvl w:val="0"/>
          <w:numId w:val="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Component 1: </w:t>
      </w:r>
      <w:r>
        <w:rPr>
          <w:rFonts w:asciiTheme="minorHAnsi" w:hAnsiTheme="minorHAnsi" w:cstheme="minorHAnsi"/>
          <w:color w:val="000000"/>
          <w:sz w:val="22"/>
          <w:szCs w:val="22"/>
        </w:rPr>
        <w:t>Provide Targeted Knowledge Sharing and Results Showcasing Across Projects and Development Partners (Through Face-to-Face Dialogue and Training) to Advance Transboundary Water Management in All IW Focal Area Ecosystems (UNDP implementing all sub-components)</w:t>
      </w:r>
    </w:p>
    <w:p w14:paraId="276A3207" w14:textId="77777777" w:rsidR="0060142C" w:rsidRDefault="0060142C" w:rsidP="0060142C">
      <w:pPr>
        <w:numPr>
          <w:ilvl w:val="0"/>
          <w:numId w:val="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Component 2: </w:t>
      </w:r>
      <w:r>
        <w:rPr>
          <w:rFonts w:asciiTheme="minorHAnsi" w:hAnsiTheme="minorHAnsi" w:cstheme="minorHAnsi"/>
          <w:color w:val="000000"/>
          <w:sz w:val="22"/>
          <w:szCs w:val="22"/>
        </w:rPr>
        <w:t>Support the Communication and Replication of Portfolio Results and Experiences (UNDP implementing all sub-components)</w:t>
      </w:r>
    </w:p>
    <w:p w14:paraId="300DFF3A" w14:textId="77777777" w:rsidR="0060142C" w:rsidRDefault="0060142C" w:rsidP="0060142C">
      <w:pPr>
        <w:numPr>
          <w:ilvl w:val="0"/>
          <w:numId w:val="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Component 3: </w:t>
      </w:r>
      <w:r>
        <w:rPr>
          <w:rFonts w:asciiTheme="minorHAnsi" w:hAnsiTheme="minorHAnsi" w:cstheme="minorHAnsi"/>
          <w:color w:val="000000"/>
          <w:sz w:val="22"/>
          <w:szCs w:val="22"/>
        </w:rPr>
        <w:t>Deliver Intra and Inter-Regional Coordination and Knowledge Management Across Focal Areas in Small Island Developing States to Improve Portfolio Performance (UNEP implementing sub-components 3.1 and 3.4. UNDP 3.2 and 3.3)</w:t>
      </w:r>
    </w:p>
    <w:p w14:paraId="24051A64" w14:textId="77777777" w:rsidR="0060142C" w:rsidRDefault="0060142C" w:rsidP="0060142C">
      <w:pPr>
        <w:numPr>
          <w:ilvl w:val="0"/>
          <w:numId w:val="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Component 4: </w:t>
      </w:r>
      <w:r>
        <w:rPr>
          <w:rFonts w:asciiTheme="minorHAnsi" w:hAnsiTheme="minorHAnsi" w:cstheme="minorHAnsi"/>
          <w:color w:val="000000"/>
          <w:sz w:val="22"/>
          <w:szCs w:val="22"/>
        </w:rPr>
        <w:t>Deliver Support to Surface Freshwater, Groundwater and Large Marine Ecosystem Subsets in Support of Portfolio Strategic Priorities (UNEP implementing 4.3.3, UNDP the rest)</w:t>
      </w:r>
    </w:p>
    <w:p w14:paraId="72D24701" w14:textId="77777777" w:rsidR="0060142C" w:rsidRDefault="0060142C" w:rsidP="0060142C">
      <w:pPr>
        <w:numPr>
          <w:ilvl w:val="0"/>
          <w:numId w:val="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Component 5: </w:t>
      </w:r>
      <w:r>
        <w:rPr>
          <w:rFonts w:asciiTheme="minorHAnsi" w:hAnsiTheme="minorHAnsi" w:cstheme="minorHAnsi"/>
          <w:color w:val="000000"/>
          <w:sz w:val="22"/>
          <w:szCs w:val="22"/>
        </w:rPr>
        <w:t>Mobilize Public and Private Partnership to Enhance Long-term Sustainability of Project Interventions (UNDP implementing all sub-components)</w:t>
      </w:r>
    </w:p>
    <w:p w14:paraId="7589A186" w14:textId="19CD2595" w:rsidR="0060142C" w:rsidRDefault="0060142C" w:rsidP="0060142C"/>
    <w:p w14:paraId="6E277AC6" w14:textId="77777777" w:rsidR="0060142C" w:rsidRPr="0060142C" w:rsidRDefault="0060142C" w:rsidP="0060142C"/>
    <w:p w14:paraId="7B9E003A" w14:textId="573931EF" w:rsidR="0060142C" w:rsidRPr="0060142C" w:rsidRDefault="0060142C" w:rsidP="0060142C">
      <w:pPr>
        <w:pStyle w:val="Heading2"/>
        <w:rPr>
          <w:rFonts w:asciiTheme="minorHAnsi" w:hAnsiTheme="minorHAnsi" w:cstheme="minorHAnsi"/>
          <w:b/>
          <w:bCs/>
          <w:color w:val="000000" w:themeColor="text1"/>
          <w:sz w:val="28"/>
          <w:szCs w:val="28"/>
        </w:rPr>
      </w:pPr>
      <w:bookmarkStart w:id="7" w:name="_Toc115094372"/>
      <w:r w:rsidRPr="0060142C">
        <w:rPr>
          <w:rFonts w:asciiTheme="minorHAnsi" w:hAnsiTheme="minorHAnsi" w:cstheme="minorHAnsi"/>
          <w:b/>
          <w:bCs/>
          <w:color w:val="000000" w:themeColor="text1"/>
          <w:sz w:val="28"/>
          <w:szCs w:val="28"/>
        </w:rPr>
        <w:t>2.4</w:t>
      </w:r>
      <w:r w:rsidRPr="0060142C">
        <w:rPr>
          <w:rFonts w:asciiTheme="minorHAnsi" w:hAnsiTheme="minorHAnsi" w:cstheme="minorHAnsi"/>
          <w:b/>
          <w:bCs/>
          <w:color w:val="000000" w:themeColor="text1"/>
          <w:sz w:val="28"/>
          <w:szCs w:val="28"/>
        </w:rPr>
        <w:tab/>
        <w:t>The Theory of Change: from outcomes to impacts</w:t>
      </w:r>
      <w:bookmarkEnd w:id="7"/>
    </w:p>
    <w:p w14:paraId="301A171F" w14:textId="77777777" w:rsidR="0060142C" w:rsidRDefault="0060142C" w:rsidP="0060142C">
      <w:pPr>
        <w:spacing w:before="280" w:after="280"/>
        <w:jc w:val="both"/>
        <w:rPr>
          <w:rFonts w:asciiTheme="minorHAnsi" w:hAnsiTheme="minorHAnsi" w:cstheme="minorHAnsi"/>
          <w:sz w:val="22"/>
          <w:szCs w:val="22"/>
        </w:rPr>
      </w:pPr>
      <w:r>
        <w:rPr>
          <w:rFonts w:asciiTheme="minorHAnsi" w:hAnsiTheme="minorHAnsi" w:cstheme="minorHAnsi"/>
          <w:sz w:val="22"/>
          <w:szCs w:val="22"/>
        </w:rPr>
        <w:t xml:space="preserve">The essential logic of the Theory of Change developed for the IW:LEARN is taken to mean the process and product of developing an explicit account of how and why an </w:t>
      </w:r>
      <w:r>
        <w:rPr>
          <w:rFonts w:asciiTheme="minorHAnsi" w:hAnsiTheme="minorHAnsi" w:cstheme="minorHAnsi"/>
          <w:b/>
          <w:sz w:val="22"/>
          <w:szCs w:val="22"/>
        </w:rPr>
        <w:t xml:space="preserve">intervention </w:t>
      </w:r>
      <w:r>
        <w:rPr>
          <w:rFonts w:asciiTheme="minorHAnsi" w:hAnsiTheme="minorHAnsi" w:cstheme="minorHAnsi"/>
          <w:sz w:val="22"/>
          <w:szCs w:val="22"/>
        </w:rPr>
        <w:t xml:space="preserve">is expected to achieve its intended </w:t>
      </w:r>
      <w:r>
        <w:rPr>
          <w:rFonts w:asciiTheme="minorHAnsi" w:hAnsiTheme="minorHAnsi" w:cstheme="minorHAnsi"/>
          <w:b/>
          <w:sz w:val="22"/>
          <w:szCs w:val="22"/>
        </w:rPr>
        <w:t xml:space="preserve">outcomes </w:t>
      </w:r>
      <w:r>
        <w:rPr>
          <w:rFonts w:asciiTheme="minorHAnsi" w:hAnsiTheme="minorHAnsi" w:cstheme="minorHAnsi"/>
          <w:sz w:val="22"/>
          <w:szCs w:val="22"/>
        </w:rPr>
        <w:t xml:space="preserve">and impact </w:t>
      </w:r>
      <w:r>
        <w:rPr>
          <w:rFonts w:asciiTheme="minorHAnsi" w:hAnsiTheme="minorHAnsi" w:cstheme="minorHAnsi"/>
          <w:b/>
          <w:sz w:val="22"/>
          <w:szCs w:val="22"/>
        </w:rPr>
        <w:t>goal</w:t>
      </w:r>
      <w:r>
        <w:rPr>
          <w:rFonts w:asciiTheme="minorHAnsi" w:hAnsiTheme="minorHAnsi" w:cstheme="minorHAnsi"/>
          <w:sz w:val="22"/>
          <w:szCs w:val="22"/>
        </w:rPr>
        <w:t xml:space="preserve">, based on outlining a set of key </w:t>
      </w:r>
      <w:r>
        <w:rPr>
          <w:rFonts w:asciiTheme="minorHAnsi" w:hAnsiTheme="minorHAnsi" w:cstheme="minorHAnsi"/>
          <w:b/>
          <w:sz w:val="22"/>
          <w:szCs w:val="22"/>
        </w:rPr>
        <w:t xml:space="preserve">causal pathways </w:t>
      </w:r>
      <w:r>
        <w:rPr>
          <w:rFonts w:asciiTheme="minorHAnsi" w:hAnsiTheme="minorHAnsi" w:cstheme="minorHAnsi"/>
          <w:sz w:val="22"/>
          <w:szCs w:val="22"/>
        </w:rPr>
        <w:t xml:space="preserve">arising from the </w:t>
      </w:r>
      <w:r>
        <w:rPr>
          <w:rFonts w:asciiTheme="minorHAnsi" w:hAnsiTheme="minorHAnsi" w:cstheme="minorHAnsi"/>
          <w:b/>
          <w:sz w:val="22"/>
          <w:szCs w:val="22"/>
        </w:rPr>
        <w:t xml:space="preserve">outputs </w:t>
      </w:r>
      <w:r>
        <w:rPr>
          <w:rFonts w:asciiTheme="minorHAnsi" w:hAnsiTheme="minorHAnsi" w:cstheme="minorHAnsi"/>
          <w:sz w:val="22"/>
          <w:szCs w:val="22"/>
        </w:rPr>
        <w:t>of the intervention. Figure 1 explains that logic.</w:t>
      </w:r>
    </w:p>
    <w:p w14:paraId="73F5DCDF" w14:textId="77777777" w:rsidR="0060142C" w:rsidRDefault="0060142C" w:rsidP="0060142C">
      <w:pPr>
        <w:spacing w:before="280" w:after="280"/>
        <w:jc w:val="both"/>
        <w:rPr>
          <w:rFonts w:asciiTheme="minorHAnsi" w:hAnsiTheme="minorHAnsi" w:cstheme="minorHAnsi"/>
          <w:sz w:val="22"/>
          <w:szCs w:val="22"/>
        </w:rPr>
      </w:pPr>
      <w:r>
        <w:rPr>
          <w:rFonts w:asciiTheme="minorHAnsi" w:hAnsiTheme="minorHAnsi" w:cstheme="minorHAnsi"/>
          <w:sz w:val="22"/>
          <w:szCs w:val="22"/>
        </w:rPr>
        <w:t xml:space="preserve">The theory of change below neatly captures the significant added-value of the proposed IW:LEARN project. The outputs of this project will generate outcomes that strengthen the governance and management capacity for transboundary water ecosystems. This ultimate outcome rests on the broad service line of activities captured in IW:LEARN's basic structure, which rest on a combination of knowledge management, partnership building, data and information management and programmatic guidance services. These leverage the outcomes indicated in the Figure. The absence of IW:LEARN would mean no entity would be acting to generate the outputs indicated in the theory of change. No project would support coordination </w:t>
      </w:r>
      <w:proofErr w:type="spellStart"/>
      <w:r>
        <w:rPr>
          <w:rFonts w:asciiTheme="minorHAnsi" w:hAnsiTheme="minorHAnsi" w:cstheme="minorHAnsi"/>
          <w:sz w:val="22"/>
          <w:szCs w:val="22"/>
        </w:rPr>
        <w:t>accross</w:t>
      </w:r>
      <w:proofErr w:type="spellEnd"/>
      <w:r>
        <w:rPr>
          <w:rFonts w:asciiTheme="minorHAnsi" w:hAnsiTheme="minorHAnsi" w:cstheme="minorHAnsi"/>
          <w:sz w:val="22"/>
          <w:szCs w:val="22"/>
        </w:rPr>
        <w:t xml:space="preserve"> ecosystems with projects implemented by different Agencies and along the source-to-sea continuum of linked freshwater and marine projects. </w:t>
      </w:r>
    </w:p>
    <w:p w14:paraId="483D8A3F" w14:textId="5A915E77" w:rsidR="0060142C" w:rsidRDefault="0060142C" w:rsidP="0060142C">
      <w:pPr>
        <w:jc w:val="both"/>
        <w:rPr>
          <w:rFonts w:asciiTheme="minorHAnsi" w:hAnsiTheme="minorHAnsi" w:cstheme="minorHAnsi"/>
          <w:sz w:val="22"/>
          <w:szCs w:val="22"/>
        </w:rPr>
      </w:pPr>
      <w:r>
        <w:rPr>
          <w:rFonts w:asciiTheme="minorHAnsi" w:hAnsiTheme="minorHAnsi" w:cstheme="minorHAnsi"/>
          <w:sz w:val="22"/>
          <w:szCs w:val="22"/>
        </w:rPr>
        <w:t>Each of IW:LEARN’s stakeholders has varying contributions and needs to engage with IW:LEARN for information and knowledge pertaining to IW.  Moreover, it is this collection and coordination of varying needs that give GEF IW:LEARN a value-added quality in serving this community. IW:LEARN functions as a relay hub of knowledge management by pulling, pushing, and transforming knowledge content; by matching supply with demand, and in providing specific services to and connecting a broadening community of practice.  It pursues this through an ever-expanding web presence, search and management of content, tools and services, and it helps to connect practitioners across projects, themes and regions through project twinning exercises to share specific know-how and experiences, regional dialogues and through the GEF Biennial International Waters Conference.</w:t>
      </w:r>
    </w:p>
    <w:p w14:paraId="15E1F2D2" w14:textId="182D11DF" w:rsidR="0060142C" w:rsidRDefault="0060142C" w:rsidP="0060142C">
      <w:pPr>
        <w:jc w:val="both"/>
        <w:rPr>
          <w:rFonts w:asciiTheme="minorHAnsi" w:hAnsiTheme="minorHAnsi" w:cstheme="minorHAnsi"/>
          <w:sz w:val="22"/>
          <w:szCs w:val="22"/>
        </w:rPr>
      </w:pPr>
    </w:p>
    <w:p w14:paraId="642B2527" w14:textId="0A6FD804" w:rsidR="00151E03" w:rsidRDefault="00151E03" w:rsidP="0060142C">
      <w:pPr>
        <w:jc w:val="both"/>
      </w:pPr>
    </w:p>
    <w:p w14:paraId="7FBEC9F2" w14:textId="77777777" w:rsidR="00151E03" w:rsidRDefault="00151E03">
      <w:pPr>
        <w:spacing w:after="160" w:line="259" w:lineRule="auto"/>
      </w:pPr>
      <w:r>
        <w:br w:type="page"/>
      </w:r>
    </w:p>
    <w:p w14:paraId="1209E135" w14:textId="77777777" w:rsidR="00151E03" w:rsidRDefault="00151E03" w:rsidP="00151E03">
      <w:pPr>
        <w:spacing w:after="160" w:line="259" w:lineRule="auto"/>
        <w:rPr>
          <w:rFonts w:asciiTheme="minorHAnsi" w:hAnsiTheme="minorHAnsi" w:cstheme="minorHAnsi"/>
          <w:sz w:val="22"/>
          <w:szCs w:val="22"/>
        </w:rPr>
        <w:sectPr w:rsidR="00151E03">
          <w:footerReference w:type="default" r:id="rId11"/>
          <w:pgSz w:w="11906" w:h="16838"/>
          <w:pgMar w:top="1440" w:right="1440" w:bottom="1440" w:left="1440" w:header="708" w:footer="708" w:gutter="0"/>
          <w:cols w:space="708"/>
          <w:docGrid w:linePitch="360"/>
        </w:sectPr>
      </w:pPr>
    </w:p>
    <w:p w14:paraId="06F92378" w14:textId="17DBD219" w:rsidR="0075012D" w:rsidRDefault="0075012D" w:rsidP="00151E03">
      <w:pPr>
        <w:spacing w:after="160" w:line="259" w:lineRule="auto"/>
        <w:jc w:val="center"/>
        <w:rPr>
          <w:rFonts w:asciiTheme="minorHAnsi" w:hAnsiTheme="minorHAnsi" w:cstheme="minorHAnsi"/>
          <w:sz w:val="22"/>
          <w:szCs w:val="22"/>
        </w:rPr>
      </w:pPr>
      <w:r>
        <w:rPr>
          <w:noProof/>
        </w:rPr>
        <w:lastRenderedPageBreak/>
        <w:drawing>
          <wp:inline distT="0" distB="0" distL="0" distR="0" wp14:anchorId="6717BCB5" wp14:editId="5A81CDF4">
            <wp:extent cx="822960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2"/>
                    <a:srcRect t="1224" b="8435"/>
                    <a:stretch/>
                  </pic:blipFill>
                  <pic:spPr bwMode="auto">
                    <a:xfrm>
                      <a:off x="0" y="0"/>
                      <a:ext cx="8229600" cy="4924425"/>
                    </a:xfrm>
                    <a:prstGeom prst="rect">
                      <a:avLst/>
                    </a:prstGeom>
                    <a:ln>
                      <a:noFill/>
                    </a:ln>
                    <a:extLst>
                      <a:ext uri="{53640926-AAD7-44D8-BBD7-CCE9431645EC}">
                        <a14:shadowObscured xmlns:a14="http://schemas.microsoft.com/office/drawing/2010/main"/>
                      </a:ext>
                    </a:extLst>
                  </pic:spPr>
                </pic:pic>
              </a:graphicData>
            </a:graphic>
          </wp:inline>
        </w:drawing>
      </w:r>
    </w:p>
    <w:p w14:paraId="2011742A" w14:textId="5A97A747" w:rsidR="00151E03" w:rsidRDefault="00151E03" w:rsidP="00151E03">
      <w:pPr>
        <w:spacing w:after="160" w:line="259" w:lineRule="auto"/>
        <w:jc w:val="center"/>
        <w:rPr>
          <w:rFonts w:asciiTheme="minorHAnsi" w:hAnsiTheme="minorHAnsi" w:cstheme="minorHAnsi"/>
          <w:sz w:val="22"/>
          <w:szCs w:val="22"/>
        </w:rPr>
        <w:sectPr w:rsidR="00151E03" w:rsidSect="00151E03">
          <w:pgSz w:w="16838" w:h="11906" w:orient="landscape" w:code="9"/>
          <w:pgMar w:top="1440" w:right="1440" w:bottom="1440" w:left="1440" w:header="706" w:footer="706" w:gutter="0"/>
          <w:cols w:space="708"/>
          <w:docGrid w:linePitch="360"/>
        </w:sectPr>
      </w:pPr>
      <w:r w:rsidRPr="00151E03">
        <w:rPr>
          <w:rFonts w:asciiTheme="minorHAnsi" w:hAnsiTheme="minorHAnsi" w:cstheme="minorHAnsi"/>
          <w:sz w:val="22"/>
          <w:szCs w:val="22"/>
        </w:rPr>
        <w:t xml:space="preserve">Figure 1: Theory of Change </w:t>
      </w:r>
    </w:p>
    <w:p w14:paraId="3B6D9E9E" w14:textId="0478A432" w:rsidR="00151E03" w:rsidRPr="00151E03" w:rsidRDefault="00151E03" w:rsidP="00151E03">
      <w:pPr>
        <w:spacing w:after="160" w:line="259" w:lineRule="auto"/>
        <w:jc w:val="center"/>
        <w:rPr>
          <w:rFonts w:asciiTheme="minorHAnsi" w:hAnsiTheme="minorHAnsi" w:cstheme="minorHAnsi"/>
        </w:rPr>
      </w:pPr>
      <w:r w:rsidRPr="00151E03">
        <w:rPr>
          <w:rFonts w:asciiTheme="minorHAnsi" w:hAnsiTheme="minorHAnsi" w:cstheme="minorHAnsi"/>
        </w:rPr>
        <w:lastRenderedPageBreak/>
        <w:br w:type="page"/>
      </w:r>
    </w:p>
    <w:p w14:paraId="6A00987D" w14:textId="77777777" w:rsidR="0060142C" w:rsidRPr="0060142C" w:rsidRDefault="0060142C" w:rsidP="0060142C">
      <w:pPr>
        <w:jc w:val="both"/>
      </w:pPr>
    </w:p>
    <w:p w14:paraId="56047633" w14:textId="4E6828A5" w:rsidR="0075012D" w:rsidRPr="0075012D" w:rsidRDefault="0075012D" w:rsidP="00520EC0">
      <w:pPr>
        <w:pStyle w:val="Heading1"/>
      </w:pPr>
      <w:bookmarkStart w:id="8" w:name="_Toc115094373"/>
      <w:r w:rsidRPr="0075012D">
        <w:t>R</w:t>
      </w:r>
      <w:r w:rsidR="00520EC0">
        <w:t>esults and partnerships</w:t>
      </w:r>
      <w:bookmarkEnd w:id="8"/>
    </w:p>
    <w:p w14:paraId="04377911" w14:textId="6E5F28A7" w:rsidR="0075012D" w:rsidRPr="0075012D" w:rsidRDefault="0075012D" w:rsidP="0075012D">
      <w:pPr>
        <w:pStyle w:val="Heading2"/>
        <w:rPr>
          <w:rFonts w:asciiTheme="minorHAnsi" w:hAnsiTheme="minorHAnsi" w:cstheme="minorHAnsi"/>
          <w:b/>
          <w:bCs/>
          <w:color w:val="000000" w:themeColor="text1"/>
          <w:sz w:val="32"/>
          <w:szCs w:val="32"/>
        </w:rPr>
      </w:pPr>
      <w:bookmarkStart w:id="9" w:name="_Toc115094374"/>
      <w:r w:rsidRPr="0075012D">
        <w:rPr>
          <w:rFonts w:asciiTheme="minorHAnsi" w:hAnsiTheme="minorHAnsi" w:cstheme="minorHAnsi"/>
          <w:b/>
          <w:bCs/>
          <w:color w:val="000000" w:themeColor="text1"/>
          <w:sz w:val="32"/>
          <w:szCs w:val="32"/>
        </w:rPr>
        <w:t>3.1.</w:t>
      </w:r>
      <w:r w:rsidRPr="0075012D">
        <w:rPr>
          <w:rFonts w:asciiTheme="minorHAnsi" w:hAnsiTheme="minorHAnsi" w:cstheme="minorHAnsi"/>
          <w:b/>
          <w:bCs/>
          <w:color w:val="000000" w:themeColor="text1"/>
          <w:sz w:val="32"/>
          <w:szCs w:val="32"/>
        </w:rPr>
        <w:tab/>
        <w:t>Expected results</w:t>
      </w:r>
      <w:bookmarkEnd w:id="9"/>
    </w:p>
    <w:p w14:paraId="53A790BE" w14:textId="77777777" w:rsidR="0075012D" w:rsidRPr="0075012D" w:rsidRDefault="0075012D" w:rsidP="0075012D"/>
    <w:p w14:paraId="14531DC8" w14:textId="09655086" w:rsidR="0032322D" w:rsidRPr="0032322D" w:rsidRDefault="0032322D" w:rsidP="0032322D">
      <w:pPr>
        <w:pStyle w:val="Heading3"/>
        <w:rPr>
          <w:rFonts w:asciiTheme="minorHAnsi" w:hAnsiTheme="minorHAnsi" w:cstheme="minorHAnsi"/>
          <w:b/>
          <w:bCs/>
          <w:color w:val="000000" w:themeColor="text1"/>
          <w:u w:val="single"/>
        </w:rPr>
      </w:pPr>
      <w:bookmarkStart w:id="10" w:name="_Toc115094375"/>
      <w:r w:rsidRPr="0032322D">
        <w:rPr>
          <w:rFonts w:asciiTheme="minorHAnsi" w:hAnsiTheme="minorHAnsi" w:cstheme="minorHAnsi"/>
          <w:b/>
          <w:bCs/>
          <w:color w:val="000000" w:themeColor="text1"/>
          <w:u w:val="single"/>
        </w:rPr>
        <w:t>Component 1</w:t>
      </w:r>
      <w:r w:rsidR="00F439E2">
        <w:rPr>
          <w:rFonts w:asciiTheme="minorHAnsi" w:hAnsiTheme="minorHAnsi" w:cstheme="minorHAnsi"/>
          <w:b/>
          <w:bCs/>
          <w:color w:val="000000" w:themeColor="text1"/>
          <w:u w:val="single"/>
        </w:rPr>
        <w:t xml:space="preserve">: </w:t>
      </w:r>
      <w:r w:rsidR="00F439E2" w:rsidRPr="00F439E2">
        <w:rPr>
          <w:rFonts w:asciiTheme="minorHAnsi" w:hAnsiTheme="minorHAnsi" w:cstheme="minorHAnsi"/>
          <w:b/>
          <w:bCs/>
          <w:color w:val="000000" w:themeColor="text1"/>
          <w:u w:val="single"/>
        </w:rPr>
        <w:t>Provide Targeted Knowledge Sharing and Results Showcasing Across Projects and Development Partners (Through Face-to-Face Dialogue and Training) to Advance Transboundary Water Management in All IW Focal Area Ecosystems</w:t>
      </w:r>
      <w:bookmarkEnd w:id="10"/>
    </w:p>
    <w:p w14:paraId="411CC9FA" w14:textId="77777777" w:rsidR="0032322D" w:rsidRDefault="0032322D" w:rsidP="0032322D">
      <w:pPr>
        <w:jc w:val="both"/>
        <w:rPr>
          <w:rFonts w:asciiTheme="minorHAnsi" w:hAnsiTheme="minorHAnsi" w:cstheme="minorHAnsi"/>
          <w:color w:val="000000"/>
          <w:sz w:val="22"/>
          <w:szCs w:val="22"/>
          <w:u w:val="single"/>
        </w:rPr>
      </w:pPr>
    </w:p>
    <w:p w14:paraId="087D5CEE"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The project proposes to enhance portfolio capacity building at the local, regional and global levels, to establish effective portfolio-wide dialogue opportunities for south-to-south learning through a suite of programs and events and to increase awareness, scalability, replication and sustainability of GEF IW projects. </w:t>
      </w:r>
    </w:p>
    <w:p w14:paraId="4C62D985" w14:textId="77777777" w:rsidR="0032322D" w:rsidRDefault="0032322D" w:rsidP="0032322D">
      <w:pPr>
        <w:jc w:val="both"/>
        <w:rPr>
          <w:rFonts w:asciiTheme="minorHAnsi" w:hAnsiTheme="minorHAnsi" w:cstheme="minorHAnsi"/>
          <w:sz w:val="22"/>
          <w:szCs w:val="22"/>
        </w:rPr>
      </w:pPr>
    </w:p>
    <w:p w14:paraId="073FB2F7"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First, this component will feature the 10</w:t>
      </w:r>
      <w:r>
        <w:rPr>
          <w:rFonts w:asciiTheme="minorHAnsi" w:hAnsiTheme="minorHAnsi" w:cstheme="minorHAnsi"/>
          <w:sz w:val="22"/>
          <w:szCs w:val="22"/>
          <w:vertAlign w:val="superscript"/>
        </w:rPr>
        <w:t>th</w:t>
      </w:r>
      <w:r>
        <w:rPr>
          <w:rFonts w:asciiTheme="minorHAnsi" w:hAnsiTheme="minorHAnsi" w:cstheme="minorHAnsi"/>
          <w:sz w:val="22"/>
          <w:szCs w:val="22"/>
        </w:rPr>
        <w:t xml:space="preserve"> and 11</w:t>
      </w:r>
      <w:r>
        <w:rPr>
          <w:rFonts w:asciiTheme="minorHAnsi" w:hAnsiTheme="minorHAnsi" w:cstheme="minorHAnsi"/>
          <w:sz w:val="22"/>
          <w:szCs w:val="22"/>
          <w:vertAlign w:val="superscript"/>
        </w:rPr>
        <w:t>th</w:t>
      </w:r>
      <w:r>
        <w:rPr>
          <w:rFonts w:asciiTheme="minorHAnsi" w:hAnsiTheme="minorHAnsi" w:cstheme="minorHAnsi"/>
          <w:sz w:val="22"/>
          <w:szCs w:val="22"/>
        </w:rPr>
        <w:t xml:space="preserve"> GEF Biennial International Waters Conferences to share practical experience, apply evolving policies and procedures, address emerging priorities and improve overall project performance covering all water systems. Second, Component 2 will </w:t>
      </w:r>
      <w:proofErr w:type="spellStart"/>
      <w:r>
        <w:rPr>
          <w:rFonts w:asciiTheme="minorHAnsi" w:hAnsiTheme="minorHAnsi" w:cstheme="minorHAnsi"/>
          <w:sz w:val="22"/>
          <w:szCs w:val="22"/>
        </w:rPr>
        <w:t>centre</w:t>
      </w:r>
      <w:proofErr w:type="spellEnd"/>
      <w:r>
        <w:rPr>
          <w:rFonts w:asciiTheme="minorHAnsi" w:hAnsiTheme="minorHAnsi" w:cstheme="minorHAnsi"/>
          <w:sz w:val="22"/>
          <w:szCs w:val="22"/>
        </w:rPr>
        <w:t xml:space="preserve"> on regional and global training through a blended learning approach (online and face to face) on cross-cutting topics. Third, the project will facilitate iterative and ad-hoc twinning exchanges, covering iterative face-to-face learning missions between GEF IW projects and their selected partners (institutions with demonstrated excellence in water and ocean management). Finally, this component will facilitate the participation of the GEF International Waters Portfolio in key global and regional dialogue processes with GEF IW:LEARN as an </w:t>
      </w:r>
      <w:proofErr w:type="spellStart"/>
      <w:r>
        <w:rPr>
          <w:rFonts w:asciiTheme="minorHAnsi" w:hAnsiTheme="minorHAnsi" w:cstheme="minorHAnsi"/>
          <w:sz w:val="22"/>
          <w:szCs w:val="22"/>
        </w:rPr>
        <w:t>organising</w:t>
      </w:r>
      <w:proofErr w:type="spellEnd"/>
      <w:r>
        <w:rPr>
          <w:rFonts w:asciiTheme="minorHAnsi" w:hAnsiTheme="minorHAnsi" w:cstheme="minorHAnsi"/>
          <w:sz w:val="22"/>
          <w:szCs w:val="22"/>
        </w:rPr>
        <w:t xml:space="preserve"> partner and support the GEF Secretariat through promotion of the GEF International Waters Portfolio’s work. </w:t>
      </w:r>
    </w:p>
    <w:p w14:paraId="31C15392" w14:textId="77777777" w:rsidR="0032322D" w:rsidRDefault="0032322D" w:rsidP="0032322D">
      <w:pPr>
        <w:jc w:val="both"/>
        <w:rPr>
          <w:rFonts w:asciiTheme="minorHAnsi" w:hAnsiTheme="minorHAnsi" w:cstheme="minorHAnsi"/>
          <w:sz w:val="22"/>
          <w:szCs w:val="22"/>
        </w:rPr>
      </w:pPr>
    </w:p>
    <w:p w14:paraId="60AFD776"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Outputs under this component are primarily aimed at building the capacity of GEF International Waters Projects and development partners with the aim of strengthening the impact of their project implementation. Outputs such as the International Waters Conferences and Regional Dialogues will benefit the entire GEF IW portfolio of stakeholders (GEF Secretariat, the GEF agencies, external executing agencies, Convention and Basin Commission Secretariats, and managers of GEF projects).</w:t>
      </w:r>
    </w:p>
    <w:p w14:paraId="54E9B863" w14:textId="77777777" w:rsidR="0032322D" w:rsidRDefault="0032322D" w:rsidP="0032322D">
      <w:pPr>
        <w:jc w:val="both"/>
        <w:rPr>
          <w:rFonts w:asciiTheme="minorHAnsi" w:hAnsiTheme="minorHAnsi" w:cstheme="minorHAnsi"/>
          <w:sz w:val="22"/>
          <w:szCs w:val="22"/>
        </w:rPr>
      </w:pPr>
    </w:p>
    <w:p w14:paraId="255384BC"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Four Sub-components are foreseen under Component 1:</w:t>
      </w:r>
    </w:p>
    <w:p w14:paraId="1017E0D0" w14:textId="77777777" w:rsidR="0032322D" w:rsidRDefault="0032322D" w:rsidP="0032322D">
      <w:pPr>
        <w:jc w:val="both"/>
        <w:rPr>
          <w:rFonts w:asciiTheme="minorHAnsi" w:hAnsiTheme="minorHAnsi" w:cstheme="minorHAnsi"/>
          <w:sz w:val="22"/>
          <w:szCs w:val="22"/>
        </w:rPr>
      </w:pPr>
    </w:p>
    <w:p w14:paraId="7F184E18" w14:textId="77777777" w:rsidR="0032322D" w:rsidRDefault="0032322D" w:rsidP="0032322D">
      <w:pPr>
        <w:numPr>
          <w:ilvl w:val="0"/>
          <w:numId w:val="7"/>
        </w:numPr>
        <w:shd w:val="clear" w:color="auto" w:fill="FFFFFF"/>
        <w:spacing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1.1:</w:t>
      </w:r>
      <w:r>
        <w:rPr>
          <w:rFonts w:asciiTheme="minorHAnsi" w:hAnsiTheme="minorHAnsi" w:cstheme="minorHAnsi"/>
          <w:color w:val="000000"/>
          <w:sz w:val="22"/>
          <w:szCs w:val="22"/>
        </w:rPr>
        <w:t xml:space="preserve"> GEF Biennial International Waters Conferences 10 and 11 for GEF wide portfolio of IW projects and other relevant partners</w:t>
      </w:r>
      <w:sdt>
        <w:sdtPr>
          <w:rPr>
            <w:rFonts w:asciiTheme="minorHAnsi" w:hAnsiTheme="minorHAnsi" w:cstheme="minorHAnsi"/>
          </w:rPr>
          <w:tag w:val="goog_rdk_182"/>
          <w:id w:val="2096199787"/>
        </w:sdtPr>
        <w:sdtEndPr/>
        <w:sdtContent>
          <w:r>
            <w:rPr>
              <w:rFonts w:asciiTheme="minorHAnsi" w:hAnsiTheme="minorHAnsi" w:cstheme="minorHAnsi"/>
              <w:sz w:val="22"/>
              <w:szCs w:val="22"/>
            </w:rPr>
            <w:t>;</w:t>
          </w:r>
        </w:sdtContent>
      </w:sdt>
    </w:p>
    <w:p w14:paraId="6278FA4F" w14:textId="77777777" w:rsidR="0032322D" w:rsidRDefault="0032322D" w:rsidP="0032322D">
      <w:pPr>
        <w:numPr>
          <w:ilvl w:val="0"/>
          <w:numId w:val="7"/>
        </w:numPr>
        <w:shd w:val="clear" w:color="auto" w:fill="FFFFFF"/>
        <w:spacing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1.2:</w:t>
      </w:r>
      <w:r>
        <w:rPr>
          <w:rFonts w:asciiTheme="minorHAnsi" w:hAnsiTheme="minorHAnsi" w:cstheme="minorHAnsi"/>
          <w:color w:val="000000"/>
          <w:sz w:val="22"/>
          <w:szCs w:val="22"/>
        </w:rPr>
        <w:t xml:space="preserve"> Regional training workshops for GEF IW projects &amp; development partners on cross-cutting themes and key outputs from selected GEF portfolio methodology projects, delivered by partner learning network</w:t>
      </w:r>
      <w:sdt>
        <w:sdtPr>
          <w:rPr>
            <w:rFonts w:asciiTheme="minorHAnsi" w:hAnsiTheme="minorHAnsi" w:cstheme="minorHAnsi"/>
          </w:rPr>
          <w:tag w:val="goog_rdk_183"/>
          <w:id w:val="-160702433"/>
        </w:sdtPr>
        <w:sdtEndPr/>
        <w:sdtContent>
          <w:r>
            <w:rPr>
              <w:rFonts w:asciiTheme="minorHAnsi" w:hAnsiTheme="minorHAnsi" w:cstheme="minorHAnsi"/>
              <w:sz w:val="22"/>
              <w:szCs w:val="22"/>
            </w:rPr>
            <w:t>;</w:t>
          </w:r>
        </w:sdtContent>
      </w:sdt>
      <w:r>
        <w:rPr>
          <w:rFonts w:asciiTheme="minorHAnsi" w:hAnsiTheme="minorHAnsi" w:cstheme="minorHAnsi"/>
          <w:color w:val="000000"/>
          <w:sz w:val="22"/>
          <w:szCs w:val="22"/>
        </w:rPr>
        <w:t xml:space="preserve"> </w:t>
      </w:r>
    </w:p>
    <w:p w14:paraId="562791D3" w14:textId="77777777" w:rsidR="0032322D" w:rsidRDefault="0032322D" w:rsidP="0032322D">
      <w:pPr>
        <w:numPr>
          <w:ilvl w:val="0"/>
          <w:numId w:val="7"/>
        </w:numPr>
        <w:shd w:val="clear" w:color="auto" w:fill="FFFFFF"/>
        <w:spacing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1.3:</w:t>
      </w:r>
      <w:r>
        <w:rPr>
          <w:rFonts w:asciiTheme="minorHAnsi" w:hAnsiTheme="minorHAnsi" w:cstheme="minorHAnsi"/>
          <w:color w:val="000000"/>
          <w:sz w:val="22"/>
          <w:szCs w:val="22"/>
        </w:rPr>
        <w:t xml:space="preserve"> Structured and iterative twinning exchange program between projects and institutions with demonstrated excellence in water and ocean management</w:t>
      </w:r>
      <w:sdt>
        <w:sdtPr>
          <w:rPr>
            <w:rFonts w:asciiTheme="minorHAnsi" w:hAnsiTheme="minorHAnsi" w:cstheme="minorHAnsi"/>
          </w:rPr>
          <w:tag w:val="goog_rdk_184"/>
          <w:id w:val="1602378329"/>
        </w:sdtPr>
        <w:sdtEndPr/>
        <w:sdtContent>
          <w:r>
            <w:rPr>
              <w:rFonts w:asciiTheme="minorHAnsi" w:hAnsiTheme="minorHAnsi" w:cstheme="minorHAnsi"/>
              <w:sz w:val="22"/>
              <w:szCs w:val="22"/>
            </w:rPr>
            <w:t>; and</w:t>
          </w:r>
        </w:sdtContent>
      </w:sdt>
      <w:r>
        <w:rPr>
          <w:rFonts w:asciiTheme="minorHAnsi" w:hAnsiTheme="minorHAnsi" w:cstheme="minorHAnsi"/>
          <w:color w:val="000000"/>
          <w:sz w:val="22"/>
          <w:szCs w:val="22"/>
        </w:rPr>
        <w:t xml:space="preserve"> </w:t>
      </w:r>
    </w:p>
    <w:p w14:paraId="47121F6C" w14:textId="77777777" w:rsidR="0032322D" w:rsidRDefault="0032322D" w:rsidP="0032322D">
      <w:pPr>
        <w:numPr>
          <w:ilvl w:val="0"/>
          <w:numId w:val="7"/>
        </w:numPr>
        <w:spacing w:after="160"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1.4:</w:t>
      </w:r>
      <w:r>
        <w:rPr>
          <w:rFonts w:asciiTheme="minorHAnsi" w:hAnsiTheme="minorHAnsi" w:cstheme="minorHAnsi"/>
          <w:color w:val="000000"/>
          <w:sz w:val="22"/>
          <w:szCs w:val="22"/>
        </w:rPr>
        <w:t xml:space="preserve"> Participation in key global and regional dialogue processes to showcase GEF IW results, build partnerships and facilitate cooperation</w:t>
      </w:r>
      <w:sdt>
        <w:sdtPr>
          <w:rPr>
            <w:rFonts w:asciiTheme="minorHAnsi" w:hAnsiTheme="minorHAnsi" w:cstheme="minorHAnsi"/>
          </w:rPr>
          <w:tag w:val="goog_rdk_185"/>
          <w:id w:val="1614480454"/>
        </w:sdtPr>
        <w:sdtEndPr/>
        <w:sdtContent>
          <w:r>
            <w:rPr>
              <w:rFonts w:asciiTheme="minorHAnsi" w:hAnsiTheme="minorHAnsi" w:cstheme="minorHAnsi"/>
              <w:color w:val="000000"/>
              <w:sz w:val="22"/>
              <w:szCs w:val="22"/>
            </w:rPr>
            <w:t>.</w:t>
          </w:r>
        </w:sdtContent>
      </w:sdt>
    </w:p>
    <w:p w14:paraId="1D4C4EEC" w14:textId="77777777" w:rsidR="0032322D" w:rsidRDefault="0032322D" w:rsidP="0032322D">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Short-term constraints on travel and group gatherings, probably to take effect during the first year of the project’s implementation, are being considered and on-line or remote learning and other communication options will be </w:t>
      </w:r>
      <w:proofErr w:type="spellStart"/>
      <w:r>
        <w:rPr>
          <w:rFonts w:asciiTheme="minorHAnsi" w:hAnsiTheme="minorHAnsi" w:cstheme="minorHAnsi"/>
          <w:sz w:val="22"/>
          <w:szCs w:val="22"/>
        </w:rPr>
        <w:t>utilised</w:t>
      </w:r>
      <w:proofErr w:type="spellEnd"/>
      <w:r>
        <w:rPr>
          <w:rFonts w:asciiTheme="minorHAnsi" w:hAnsiTheme="minorHAnsi" w:cstheme="minorHAnsi"/>
          <w:sz w:val="22"/>
          <w:szCs w:val="22"/>
        </w:rPr>
        <w:t xml:space="preserve"> where necessary, adjusting some of the equipment related costs to ensure equal opportunity to all beneficiaries. </w:t>
      </w:r>
    </w:p>
    <w:p w14:paraId="0B76DFA5" w14:textId="3A1C19AE" w:rsidR="0032322D" w:rsidRPr="0032322D" w:rsidRDefault="0032322D" w:rsidP="0032322D"/>
    <w:p w14:paraId="67183D8E" w14:textId="7D446207" w:rsidR="0032322D" w:rsidRPr="0032322D" w:rsidRDefault="0032322D" w:rsidP="0032322D">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Sub-component 1.1</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GEF Biennial International Waters Conferences 10 and 11 for GEF wide portfolio of IW projects and other relevant partners (UNDP)</w:t>
      </w:r>
    </w:p>
    <w:p w14:paraId="755C941C" w14:textId="77777777" w:rsidR="0032322D" w:rsidRDefault="0032322D" w:rsidP="0032322D">
      <w:pPr>
        <w:rPr>
          <w:rFonts w:asciiTheme="minorHAnsi" w:hAnsiTheme="minorHAnsi" w:cstheme="minorHAnsi"/>
          <w:b/>
          <w:sz w:val="22"/>
          <w:szCs w:val="22"/>
        </w:rPr>
      </w:pPr>
    </w:p>
    <w:p w14:paraId="7BAAF6AC" w14:textId="77777777" w:rsidR="0032322D" w:rsidRDefault="0032322D" w:rsidP="0032322D">
      <w:pPr>
        <w:shd w:val="clear" w:color="auto" w:fill="E7E6E6"/>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68C6121A" w14:textId="77777777" w:rsidR="0032322D" w:rsidRDefault="0032322D" w:rsidP="0032322D">
      <w:pPr>
        <w:shd w:val="clear" w:color="auto" w:fill="E7E6E6"/>
        <w:rPr>
          <w:rFonts w:asciiTheme="minorHAnsi" w:hAnsiTheme="minorHAnsi" w:cstheme="minorHAnsi"/>
          <w:sz w:val="22"/>
          <w:szCs w:val="22"/>
        </w:rPr>
      </w:pPr>
    </w:p>
    <w:p w14:paraId="11B165C3" w14:textId="77777777" w:rsidR="0032322D" w:rsidRDefault="0032322D" w:rsidP="0032322D">
      <w:pPr>
        <w:shd w:val="clear" w:color="auto" w:fill="E7E6E6"/>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1.1 is: GEF Biennial International Waters Conference 10 and 11</w:t>
      </w:r>
    </w:p>
    <w:p w14:paraId="5D99960C" w14:textId="77777777" w:rsidR="0032322D" w:rsidRDefault="0032322D" w:rsidP="0032322D">
      <w:pPr>
        <w:shd w:val="clear" w:color="auto" w:fill="E7E6E6"/>
        <w:rPr>
          <w:rFonts w:asciiTheme="minorHAnsi" w:hAnsiTheme="minorHAnsi" w:cstheme="minorHAnsi"/>
          <w:sz w:val="22"/>
          <w:szCs w:val="22"/>
        </w:rPr>
      </w:pPr>
    </w:p>
    <w:p w14:paraId="681E2AA4" w14:textId="77777777" w:rsidR="0032322D" w:rsidRDefault="0032322D" w:rsidP="0032322D">
      <w:pPr>
        <w:shd w:val="clear" w:color="auto" w:fill="E7E6E6"/>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1.1 is: </w:t>
      </w:r>
    </w:p>
    <w:p w14:paraId="6856BF13" w14:textId="77777777" w:rsidR="0032322D" w:rsidRDefault="0032322D" w:rsidP="0032322D">
      <w:pPr>
        <w:shd w:val="clear" w:color="auto" w:fill="E7E6E6"/>
        <w:rPr>
          <w:rFonts w:asciiTheme="minorHAnsi" w:hAnsiTheme="minorHAnsi" w:cstheme="minorHAnsi"/>
          <w:sz w:val="22"/>
          <w:szCs w:val="22"/>
        </w:rPr>
      </w:pPr>
    </w:p>
    <w:p w14:paraId="62ED3283" w14:textId="77777777" w:rsidR="0032322D" w:rsidRDefault="0032322D" w:rsidP="0032322D">
      <w:pPr>
        <w:shd w:val="clear" w:color="auto" w:fill="E7E6E6"/>
        <w:rPr>
          <w:rFonts w:asciiTheme="minorHAnsi" w:hAnsiTheme="minorHAnsi" w:cstheme="minorHAnsi"/>
          <w:sz w:val="22"/>
          <w:szCs w:val="22"/>
        </w:rPr>
      </w:pPr>
      <w:r>
        <w:rPr>
          <w:rFonts w:asciiTheme="minorHAnsi" w:hAnsiTheme="minorHAnsi" w:cstheme="minorHAnsi"/>
          <w:sz w:val="22"/>
          <w:szCs w:val="22"/>
        </w:rPr>
        <w:t>Enhanced portfolio and partner capacity at the regional and global levels, and portfolio-wide dialogue opportunities for increased transboundary cooperation</w:t>
      </w:r>
    </w:p>
    <w:p w14:paraId="40B7BA09" w14:textId="77777777" w:rsidR="0032322D" w:rsidRDefault="0032322D" w:rsidP="0032322D">
      <w:pPr>
        <w:shd w:val="clear" w:color="auto" w:fill="E7E6E6"/>
        <w:rPr>
          <w:rFonts w:asciiTheme="minorHAnsi" w:hAnsiTheme="minorHAnsi" w:cstheme="minorHAnsi"/>
          <w:b/>
          <w:sz w:val="22"/>
          <w:szCs w:val="22"/>
        </w:rPr>
      </w:pPr>
    </w:p>
    <w:p w14:paraId="6368BB11" w14:textId="77777777" w:rsidR="0032322D" w:rsidRDefault="0032322D" w:rsidP="0032322D">
      <w:pPr>
        <w:shd w:val="clear" w:color="auto" w:fill="E7E6E6"/>
        <w:rPr>
          <w:rFonts w:asciiTheme="minorHAnsi" w:hAnsiTheme="minorHAnsi" w:cstheme="minorHAnsi"/>
          <w:b/>
          <w:sz w:val="22"/>
          <w:szCs w:val="22"/>
        </w:rPr>
      </w:pPr>
      <w:r>
        <w:rPr>
          <w:rFonts w:asciiTheme="minorHAnsi" w:hAnsiTheme="minorHAnsi" w:cstheme="minorHAnsi"/>
          <w:b/>
          <w:sz w:val="22"/>
          <w:szCs w:val="22"/>
        </w:rPr>
        <w:t>The overall costs for Component 1: GEF Grant USD 1,717,200</w:t>
      </w:r>
    </w:p>
    <w:p w14:paraId="43DD662C" w14:textId="77777777" w:rsidR="0032322D" w:rsidRDefault="0032322D" w:rsidP="0032322D">
      <w:pPr>
        <w:shd w:val="clear" w:color="auto" w:fill="E7E6E6"/>
        <w:rPr>
          <w:rFonts w:asciiTheme="minorHAnsi" w:hAnsiTheme="minorHAnsi" w:cstheme="minorHAnsi"/>
          <w:b/>
          <w:sz w:val="22"/>
          <w:szCs w:val="22"/>
        </w:rPr>
      </w:pPr>
    </w:p>
    <w:p w14:paraId="1FA58E83" w14:textId="77777777" w:rsidR="0032322D" w:rsidRDefault="0032322D" w:rsidP="0032322D">
      <w:pPr>
        <w:shd w:val="clear" w:color="auto" w:fill="E7E6E6"/>
        <w:rPr>
          <w:rFonts w:asciiTheme="minorHAnsi" w:hAnsiTheme="minorHAnsi" w:cstheme="minorHAnsi"/>
          <w:b/>
          <w:sz w:val="22"/>
          <w:szCs w:val="22"/>
        </w:rPr>
      </w:pPr>
      <w:r>
        <w:rPr>
          <w:rFonts w:asciiTheme="minorHAnsi" w:hAnsiTheme="minorHAnsi" w:cstheme="minorHAnsi"/>
          <w:b/>
          <w:sz w:val="22"/>
          <w:szCs w:val="22"/>
        </w:rPr>
        <w:t xml:space="preserve">This sub-component links to the following sub-components: </w:t>
      </w:r>
      <w:r>
        <w:rPr>
          <w:rFonts w:asciiTheme="minorHAnsi" w:hAnsiTheme="minorHAnsi" w:cstheme="minorHAnsi"/>
          <w:sz w:val="22"/>
          <w:szCs w:val="22"/>
        </w:rPr>
        <w:t>All</w:t>
      </w:r>
    </w:p>
    <w:p w14:paraId="2D58F9FA" w14:textId="77777777" w:rsidR="0032322D" w:rsidRDefault="0032322D" w:rsidP="0032322D">
      <w:pPr>
        <w:rPr>
          <w:rFonts w:asciiTheme="minorHAnsi" w:hAnsiTheme="minorHAnsi" w:cstheme="minorHAnsi"/>
          <w:sz w:val="22"/>
          <w:szCs w:val="22"/>
        </w:rPr>
      </w:pPr>
    </w:p>
    <w:p w14:paraId="497AC31D"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The GEF Biennial International Waters Conference (IWC) is the signature event of the GEF IW portfolio. Since 2000, it has progressed from a portfolio-wide stock-taking exercise to an active portfolio-wide learning and experience-sharing meeting. The 300 participants (from about 70 active GEF IW projects and 80 countries, and including GEF project coordinators and their staff, government representatives, staff from the 18 GEF Agencies and other international institutions and non-governmental organizations, and the private sector) use the IWC to come together to share practical experience, address emerging priorities, learn to apply evolving procedures and policies, and build capacity to improve overall project performance.</w:t>
      </w:r>
    </w:p>
    <w:p w14:paraId="059BFA78" w14:textId="77777777" w:rsidR="0032322D" w:rsidRDefault="0032322D" w:rsidP="0032322D">
      <w:pPr>
        <w:jc w:val="both"/>
        <w:rPr>
          <w:rFonts w:asciiTheme="minorHAnsi" w:hAnsiTheme="minorHAnsi" w:cstheme="minorHAnsi"/>
          <w:sz w:val="22"/>
          <w:szCs w:val="22"/>
        </w:rPr>
      </w:pPr>
    </w:p>
    <w:p w14:paraId="4BE47348"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The nine IWCs have brought together over 2,000 attendees at each conference.  In addition, a </w:t>
      </w:r>
      <w:sdt>
        <w:sdtPr>
          <w:rPr>
            <w:rFonts w:asciiTheme="minorHAnsi" w:hAnsiTheme="minorHAnsi" w:cstheme="minorHAnsi"/>
          </w:rPr>
          <w:tag w:val="goog_rdk_186"/>
          <w:id w:val="754167333"/>
          <w:showingPlcHdr/>
        </w:sdtPr>
        <w:sdtEndPr/>
        <w:sdtContent>
          <w:r>
            <w:rPr>
              <w:rFonts w:asciiTheme="minorHAnsi" w:hAnsiTheme="minorHAnsi" w:cstheme="minorHAnsi"/>
            </w:rPr>
            <w:t xml:space="preserve">     </w:t>
          </w:r>
        </w:sdtContent>
      </w:sdt>
      <w:sdt>
        <w:sdtPr>
          <w:rPr>
            <w:rFonts w:asciiTheme="minorHAnsi" w:hAnsiTheme="minorHAnsi" w:cstheme="minorHAnsi"/>
          </w:rPr>
          <w:tag w:val="goog_rdk_187"/>
          <w:id w:val="643856658"/>
        </w:sdtPr>
        <w:sdtEndPr/>
        <w:sdtContent>
          <w:r>
            <w:rPr>
              <w:rFonts w:asciiTheme="minorHAnsi" w:hAnsiTheme="minorHAnsi" w:cstheme="minorHAnsi"/>
              <w:sz w:val="22"/>
              <w:szCs w:val="22"/>
            </w:rPr>
            <w:t>two-day</w:t>
          </w:r>
        </w:sdtContent>
      </w:sdt>
      <w:r>
        <w:rPr>
          <w:rFonts w:asciiTheme="minorHAnsi" w:hAnsiTheme="minorHAnsi" w:cstheme="minorHAnsi"/>
          <w:sz w:val="22"/>
          <w:szCs w:val="22"/>
        </w:rPr>
        <w:t xml:space="preserve"> capacity building workshop, on a topic of portfolio wide significance, precedes the conference.  An impressive 88% of IWC participants affirm that IWCs are relevant to their work. Moreover, more than half of all IWC participants have reported that an IWC has helped them form new partnerships that help them advance their project goals.</w:t>
      </w:r>
    </w:p>
    <w:p w14:paraId="16277902" w14:textId="77777777" w:rsidR="0032322D" w:rsidRDefault="0032322D" w:rsidP="0032322D">
      <w:pPr>
        <w:jc w:val="both"/>
        <w:rPr>
          <w:rFonts w:asciiTheme="minorHAnsi" w:hAnsiTheme="minorHAnsi" w:cstheme="minorHAnsi"/>
          <w:sz w:val="22"/>
          <w:szCs w:val="22"/>
        </w:rPr>
      </w:pPr>
    </w:p>
    <w:p w14:paraId="035A1221"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The project will continue with an interactive learning format, pioneered during the 4th GEF IWC in Cape Town. The 10th and 11th GEF IWCs are expected to convene at least 300 stakeholders each. Both IWCs will feature an innovation marketplace, extensive opportunities for focused learning on scientific and technical innovations, interaction with the GEF Secretariat, GEF agencies and executing agencies on policies, procedures and project management, as well as ample time for the participant-directed workshops, peer-to-peer project advising sessions and real-time video reflections. The conference will be utilized to highlight GEF IW projects contributions to ecosystem-based management and sustainable development targets. The conference will also serve as the primary venue to showcase results from the project’s other component activities. </w:t>
      </w:r>
    </w:p>
    <w:p w14:paraId="31762BA5" w14:textId="77777777" w:rsidR="0032322D" w:rsidRDefault="0032322D" w:rsidP="0032322D">
      <w:pPr>
        <w:jc w:val="both"/>
        <w:rPr>
          <w:rFonts w:asciiTheme="minorHAnsi" w:hAnsiTheme="minorHAnsi" w:cstheme="minorHAnsi"/>
          <w:sz w:val="22"/>
          <w:szCs w:val="22"/>
        </w:rPr>
      </w:pPr>
    </w:p>
    <w:p w14:paraId="1D752080"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Importantly, the IWCs will be a pivotal part of a cycle of learning, organized and delivered in conjunction with the IW:LEARN partnership. Each IWC will be preceded by preparation and engagement of stakeholders through online interactions and training. During each, IWC, practical learning opportunities will be facilitated for participants by the partners. Each IWC will then be followed up through learning activities such as global/regional targeted workshops (Activity 1.2) and project twinning exchanges (Activity 1.3), that go deeper into the needs for transboundary management identified at the IWCs.  </w:t>
      </w:r>
    </w:p>
    <w:p w14:paraId="316C93E3" w14:textId="77777777" w:rsidR="0032322D" w:rsidRDefault="0032322D" w:rsidP="0032322D">
      <w:pPr>
        <w:jc w:val="both"/>
        <w:rPr>
          <w:rFonts w:asciiTheme="minorHAnsi" w:hAnsiTheme="minorHAnsi" w:cstheme="minorHAnsi"/>
          <w:sz w:val="22"/>
          <w:szCs w:val="22"/>
        </w:rPr>
      </w:pPr>
    </w:p>
    <w:p w14:paraId="2D722696"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The general objectives of each GEF Biennial International Waters Conference are to:</w:t>
      </w:r>
    </w:p>
    <w:p w14:paraId="0F3F0809" w14:textId="77777777" w:rsidR="0032322D" w:rsidRDefault="0032322D" w:rsidP="0032322D">
      <w:pPr>
        <w:jc w:val="both"/>
        <w:rPr>
          <w:rFonts w:asciiTheme="minorHAnsi" w:hAnsiTheme="minorHAnsi" w:cstheme="minorHAnsi"/>
          <w:sz w:val="22"/>
          <w:szCs w:val="22"/>
        </w:rPr>
      </w:pPr>
    </w:p>
    <w:p w14:paraId="0023F5F3" w14:textId="77777777" w:rsidR="0032322D" w:rsidRDefault="0032322D" w:rsidP="0032322D">
      <w:pPr>
        <w:numPr>
          <w:ilvl w:val="0"/>
          <w:numId w:val="8"/>
        </w:numPr>
        <w:jc w:val="both"/>
        <w:rPr>
          <w:rFonts w:asciiTheme="minorHAnsi" w:hAnsiTheme="minorHAnsi" w:cstheme="minorHAnsi"/>
          <w:color w:val="000000"/>
          <w:sz w:val="22"/>
          <w:szCs w:val="22"/>
        </w:rPr>
      </w:pPr>
      <w:r>
        <w:rPr>
          <w:rFonts w:asciiTheme="minorHAnsi" w:hAnsiTheme="minorHAnsi" w:cstheme="minorHAnsi"/>
          <w:color w:val="000000"/>
          <w:sz w:val="22"/>
          <w:szCs w:val="22"/>
        </w:rPr>
        <w:t>Facilitate cross-sectoral and portfolio-wide learning and experience sharing, with the idea that good practices and successful approaches/results are identified and replicated leading to improved project performance;</w:t>
      </w:r>
    </w:p>
    <w:p w14:paraId="7E9F12FC" w14:textId="77777777" w:rsidR="0032322D" w:rsidRDefault="0032322D" w:rsidP="0032322D">
      <w:pPr>
        <w:numPr>
          <w:ilvl w:val="0"/>
          <w:numId w:val="8"/>
        </w:numPr>
        <w:jc w:val="both"/>
        <w:rPr>
          <w:rFonts w:asciiTheme="minorHAnsi" w:hAnsiTheme="minorHAnsi" w:cstheme="minorHAnsi"/>
          <w:color w:val="000000"/>
          <w:sz w:val="22"/>
          <w:szCs w:val="22"/>
        </w:rPr>
      </w:pPr>
      <w:r>
        <w:rPr>
          <w:rFonts w:asciiTheme="minorHAnsi" w:hAnsiTheme="minorHAnsi" w:cstheme="minorHAnsi"/>
          <w:color w:val="000000"/>
          <w:sz w:val="22"/>
          <w:szCs w:val="22"/>
        </w:rPr>
        <w:t>Solicit advice from the existing IW portfolio on burning issues and support active IW projects to apply evolving GEF policies, procedures, and for results-based management to project implementation;</w:t>
      </w:r>
      <w:sdt>
        <w:sdtPr>
          <w:rPr>
            <w:rFonts w:asciiTheme="minorHAnsi" w:hAnsiTheme="minorHAnsi" w:cstheme="minorHAnsi"/>
          </w:rPr>
          <w:tag w:val="goog_rdk_190"/>
          <w:id w:val="-1472972246"/>
        </w:sdtPr>
        <w:sdtEndPr/>
        <w:sdtContent>
          <w:r>
            <w:rPr>
              <w:rFonts w:asciiTheme="minorHAnsi" w:hAnsiTheme="minorHAnsi" w:cstheme="minorHAnsi"/>
              <w:color w:val="000000"/>
              <w:sz w:val="22"/>
              <w:szCs w:val="22"/>
            </w:rPr>
            <w:t xml:space="preserve"> and</w:t>
          </w:r>
        </w:sdtContent>
      </w:sdt>
    </w:p>
    <w:p w14:paraId="37A85817" w14:textId="77777777" w:rsidR="0032322D" w:rsidRDefault="0032322D" w:rsidP="0032322D">
      <w:pPr>
        <w:numPr>
          <w:ilvl w:val="0"/>
          <w:numId w:val="8"/>
        </w:numPr>
        <w:jc w:val="both"/>
        <w:rPr>
          <w:rFonts w:asciiTheme="minorHAnsi" w:hAnsiTheme="minorHAnsi" w:cstheme="minorHAnsi"/>
          <w:color w:val="000000"/>
          <w:sz w:val="22"/>
          <w:szCs w:val="22"/>
        </w:rPr>
      </w:pPr>
      <w:r>
        <w:rPr>
          <w:rFonts w:asciiTheme="minorHAnsi" w:hAnsiTheme="minorHAnsi" w:cstheme="minorHAnsi"/>
          <w:color w:val="000000"/>
          <w:sz w:val="22"/>
          <w:szCs w:val="22"/>
        </w:rPr>
        <w:t>Assist in building participant capacity in key management and technical areas, determined by the IWC Steering Committee during project implementation.</w:t>
      </w:r>
    </w:p>
    <w:p w14:paraId="50484D09" w14:textId="77777777" w:rsidR="0032322D" w:rsidRDefault="0032322D" w:rsidP="0032322D">
      <w:pPr>
        <w:jc w:val="both"/>
        <w:rPr>
          <w:rFonts w:asciiTheme="minorHAnsi" w:hAnsiTheme="minorHAnsi" w:cstheme="minorHAnsi"/>
          <w:sz w:val="22"/>
          <w:szCs w:val="22"/>
        </w:rPr>
      </w:pPr>
    </w:p>
    <w:p w14:paraId="00C03494"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It is expected that this sub-component will contribute to the component outcome by enhancing portfolio and partner capacity, as well as creating portfolio-wide dialogue opportunities through the face-to-face learning and knowledge exchange events offered. </w:t>
      </w:r>
    </w:p>
    <w:p w14:paraId="68ADD13A" w14:textId="77777777" w:rsidR="0032322D" w:rsidRDefault="0032322D" w:rsidP="0032322D">
      <w:pPr>
        <w:jc w:val="both"/>
        <w:rPr>
          <w:rFonts w:asciiTheme="minorHAnsi" w:hAnsiTheme="minorHAnsi" w:cstheme="minorHAnsi"/>
          <w:sz w:val="22"/>
          <w:szCs w:val="22"/>
        </w:rPr>
      </w:pPr>
    </w:p>
    <w:p w14:paraId="6F409880"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Sub-component 1.1 is comprised of two activities:</w:t>
      </w:r>
    </w:p>
    <w:p w14:paraId="1C276A87" w14:textId="77777777" w:rsidR="0032322D" w:rsidRDefault="0032322D" w:rsidP="0032322D">
      <w:pPr>
        <w:jc w:val="both"/>
        <w:rPr>
          <w:rFonts w:asciiTheme="minorHAnsi" w:hAnsiTheme="minorHAnsi" w:cstheme="minorHAnsi"/>
          <w:sz w:val="22"/>
          <w:szCs w:val="22"/>
        </w:rPr>
      </w:pPr>
    </w:p>
    <w:p w14:paraId="2F2E729E" w14:textId="77777777" w:rsidR="0032322D" w:rsidRDefault="0032322D" w:rsidP="0032322D">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1.1.1: Tenth GEF Biennial International Waters Conference</w:t>
      </w:r>
      <w:sdt>
        <w:sdtPr>
          <w:rPr>
            <w:rFonts w:asciiTheme="minorHAnsi" w:hAnsiTheme="minorHAnsi" w:cstheme="minorHAnsi"/>
          </w:rPr>
          <w:tag w:val="goog_rdk_193"/>
          <w:id w:val="-630476557"/>
        </w:sdtPr>
        <w:sdtEndPr/>
        <w:sdtContent>
          <w:r>
            <w:rPr>
              <w:rFonts w:asciiTheme="minorHAnsi" w:hAnsiTheme="minorHAnsi" w:cstheme="minorHAnsi"/>
              <w:sz w:val="22"/>
              <w:szCs w:val="22"/>
            </w:rPr>
            <w:t>; and</w:t>
          </w:r>
        </w:sdtContent>
      </w:sdt>
    </w:p>
    <w:p w14:paraId="23EFEC5F" w14:textId="77777777" w:rsidR="0032322D" w:rsidRDefault="0032322D" w:rsidP="0032322D">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1.1.2: Eleventh GEF Biennial International Waters Conference</w:t>
      </w:r>
      <w:sdt>
        <w:sdtPr>
          <w:rPr>
            <w:rFonts w:asciiTheme="minorHAnsi" w:hAnsiTheme="minorHAnsi" w:cstheme="minorHAnsi"/>
          </w:rPr>
          <w:tag w:val="goog_rdk_194"/>
          <w:id w:val="-1022173172"/>
        </w:sdtPr>
        <w:sdtEndPr/>
        <w:sdtContent>
          <w:r>
            <w:rPr>
              <w:rFonts w:asciiTheme="minorHAnsi" w:hAnsiTheme="minorHAnsi" w:cstheme="minorHAnsi"/>
              <w:sz w:val="22"/>
              <w:szCs w:val="22"/>
            </w:rPr>
            <w:t>.</w:t>
          </w:r>
        </w:sdtContent>
      </w:sdt>
    </w:p>
    <w:p w14:paraId="464BAB3D" w14:textId="77777777" w:rsidR="0032322D" w:rsidRDefault="0032322D" w:rsidP="0032322D">
      <w:pPr>
        <w:jc w:val="both"/>
        <w:rPr>
          <w:rFonts w:asciiTheme="minorHAnsi" w:hAnsiTheme="minorHAnsi" w:cstheme="minorHAnsi"/>
          <w:b/>
          <w:sz w:val="22"/>
          <w:szCs w:val="22"/>
        </w:rPr>
      </w:pPr>
    </w:p>
    <w:p w14:paraId="5FF51BE0"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The PCU will lead the IWC preparation and coordinate amongst partners (project partners, IW Task force, GEF, other non-project partners and host and regional country organizations). The IWC’s agenda will be organized together with the GEF Secretariat, the agencies of the GEF IW Task Force and the project’s partners.</w:t>
      </w:r>
    </w:p>
    <w:p w14:paraId="593B3C9C" w14:textId="77777777" w:rsidR="0032322D" w:rsidRDefault="0032322D" w:rsidP="0032322D">
      <w:pPr>
        <w:jc w:val="both"/>
        <w:rPr>
          <w:rFonts w:asciiTheme="minorHAnsi" w:hAnsiTheme="minorHAnsi" w:cstheme="minorHAnsi"/>
          <w:sz w:val="22"/>
          <w:szCs w:val="22"/>
        </w:rPr>
      </w:pPr>
    </w:p>
    <w:sdt>
      <w:sdtPr>
        <w:rPr>
          <w:rFonts w:asciiTheme="minorHAnsi" w:hAnsiTheme="minorHAnsi" w:cstheme="minorHAnsi"/>
        </w:rPr>
        <w:tag w:val="goog_rdk_216"/>
        <w:id w:val="1993207981"/>
      </w:sdtPr>
      <w:sdtEndPr/>
      <w:sdtContent>
        <w:p w14:paraId="50911D83" w14:textId="77777777" w:rsidR="0032322D" w:rsidRDefault="00F57A55" w:rsidP="0032322D">
          <w:pPr>
            <w:jc w:val="both"/>
            <w:rPr>
              <w:rFonts w:asciiTheme="minorHAnsi" w:hAnsiTheme="minorHAnsi" w:cstheme="minorHAnsi"/>
              <w:sz w:val="22"/>
              <w:szCs w:val="22"/>
            </w:rPr>
          </w:pPr>
          <w:sdt>
            <w:sdtPr>
              <w:rPr>
                <w:rFonts w:asciiTheme="minorHAnsi" w:hAnsiTheme="minorHAnsi" w:cstheme="minorHAnsi"/>
              </w:rPr>
              <w:tag w:val="goog_rdk_215"/>
              <w:id w:val="-2022691117"/>
            </w:sdtPr>
            <w:sdtEndPr/>
            <w:sdtContent>
              <w:r w:rsidR="0032322D">
                <w:rPr>
                  <w:rFonts w:asciiTheme="minorHAnsi" w:hAnsiTheme="minorHAnsi" w:cstheme="minorHAnsi"/>
                  <w:sz w:val="22"/>
                  <w:szCs w:val="22"/>
                </w:rPr>
                <w:t>The following partners and service providers have been identified to provide support to the execution of the IWC10:</w:t>
              </w:r>
            </w:sdtContent>
          </w:sdt>
        </w:p>
      </w:sdtContent>
    </w:sdt>
    <w:sdt>
      <w:sdtPr>
        <w:rPr>
          <w:rFonts w:asciiTheme="minorHAnsi" w:hAnsiTheme="minorHAnsi" w:cstheme="minorHAnsi"/>
        </w:rPr>
        <w:tag w:val="goog_rdk_218"/>
        <w:id w:val="-1734765833"/>
      </w:sdtPr>
      <w:sdtEndPr/>
      <w:sdtContent>
        <w:p w14:paraId="6A26198E" w14:textId="77777777" w:rsidR="0032322D" w:rsidRDefault="00F57A55" w:rsidP="0032322D">
          <w:pPr>
            <w:jc w:val="both"/>
            <w:rPr>
              <w:rFonts w:asciiTheme="minorHAnsi" w:hAnsiTheme="minorHAnsi" w:cstheme="minorHAnsi"/>
              <w:sz w:val="22"/>
              <w:szCs w:val="22"/>
            </w:rPr>
          </w:pPr>
          <w:sdt>
            <w:sdtPr>
              <w:rPr>
                <w:rFonts w:asciiTheme="minorHAnsi" w:hAnsiTheme="minorHAnsi" w:cstheme="minorHAnsi"/>
              </w:rPr>
              <w:tag w:val="goog_rdk_217"/>
              <w:id w:val="1820922168"/>
              <w:showingPlcHdr/>
            </w:sdtPr>
            <w:sdtEndPr/>
            <w:sdtContent>
              <w:r w:rsidR="0032322D">
                <w:rPr>
                  <w:rFonts w:asciiTheme="minorHAnsi" w:hAnsiTheme="minorHAnsi" w:cstheme="minorHAnsi"/>
                </w:rPr>
                <w:t xml:space="preserve">     </w:t>
              </w:r>
            </w:sdtContent>
          </w:sdt>
        </w:p>
      </w:sdtContent>
    </w:sdt>
    <w:sdt>
      <w:sdtPr>
        <w:rPr>
          <w:rFonts w:asciiTheme="minorHAnsi" w:hAnsiTheme="minorHAnsi" w:cstheme="minorHAnsi"/>
        </w:rPr>
        <w:tag w:val="goog_rdk_222"/>
        <w:id w:val="-270481940"/>
      </w:sdtPr>
      <w:sdtEndPr/>
      <w:sdtContent>
        <w:p w14:paraId="52AF5D29" w14:textId="77777777" w:rsidR="0032322D" w:rsidRDefault="00F57A55" w:rsidP="0032322D">
          <w:pPr>
            <w:numPr>
              <w:ilvl w:val="0"/>
              <w:numId w:val="10"/>
            </w:numPr>
            <w:jc w:val="both"/>
            <w:rPr>
              <w:rFonts w:asciiTheme="minorHAnsi" w:hAnsiTheme="minorHAnsi" w:cstheme="minorHAnsi"/>
              <w:color w:val="000000"/>
              <w:sz w:val="22"/>
              <w:szCs w:val="22"/>
            </w:rPr>
          </w:pPr>
          <w:sdt>
            <w:sdtPr>
              <w:rPr>
                <w:rFonts w:asciiTheme="minorHAnsi" w:hAnsiTheme="minorHAnsi" w:cstheme="minorHAnsi"/>
              </w:rPr>
              <w:tag w:val="goog_rdk_219"/>
              <w:id w:val="1563747252"/>
            </w:sdtPr>
            <w:sdtEndPr/>
            <w:sdtContent>
              <w:r w:rsidR="0032322D">
                <w:rPr>
                  <w:rFonts w:asciiTheme="minorHAnsi" w:hAnsiTheme="minorHAnsi" w:cstheme="minorHAnsi"/>
                  <w:color w:val="000000"/>
                  <w:sz w:val="22"/>
                  <w:szCs w:val="22"/>
                </w:rPr>
                <w:t>T</w:t>
              </w:r>
              <w:sdt>
                <w:sdtPr>
                  <w:rPr>
                    <w:rFonts w:asciiTheme="minorHAnsi" w:hAnsiTheme="minorHAnsi" w:cstheme="minorHAnsi"/>
                  </w:rPr>
                  <w:tag w:val="goog_rdk_220"/>
                  <w:id w:val="-564344222"/>
                </w:sdtPr>
                <w:sdtEndPr/>
                <w:sdtContent>
                  <w:r w:rsidR="0032322D">
                    <w:rPr>
                      <w:rFonts w:asciiTheme="minorHAnsi" w:eastAsia="Calibri" w:hAnsiTheme="minorHAnsi" w:cstheme="minorHAnsi"/>
                      <w:color w:val="000000"/>
                      <w:sz w:val="22"/>
                      <w:szCs w:val="22"/>
                    </w:rPr>
                    <w:t>he Development Bank of South America (CAF)</w:t>
                  </w:r>
                </w:sdtContent>
              </w:sdt>
              <w:r w:rsidR="0032322D">
                <w:rPr>
                  <w:rFonts w:asciiTheme="minorHAnsi" w:hAnsiTheme="minorHAnsi" w:cstheme="minorHAnsi"/>
                  <w:color w:val="000000"/>
                  <w:sz w:val="22"/>
                  <w:szCs w:val="22"/>
                </w:rPr>
                <w:t>, which will</w:t>
              </w:r>
              <w:sdt>
                <w:sdtPr>
                  <w:rPr>
                    <w:rFonts w:asciiTheme="minorHAnsi" w:hAnsiTheme="minorHAnsi" w:cstheme="minorHAnsi"/>
                  </w:rPr>
                  <w:tag w:val="goog_rdk_221"/>
                  <w:id w:val="2092897586"/>
                </w:sdtPr>
                <w:sdtEndPr/>
                <w:sdtContent>
                  <w:r w:rsidR="0032322D">
                    <w:rPr>
                      <w:rFonts w:asciiTheme="minorHAnsi" w:eastAsia="Calibri" w:hAnsiTheme="minorHAnsi" w:cstheme="minorHAnsi"/>
                      <w:color w:val="000000"/>
                      <w:sz w:val="22"/>
                      <w:szCs w:val="22"/>
                    </w:rPr>
                    <w:t xml:space="preserve"> host the pre-conference workshop at their facilities</w:t>
                  </w:r>
                </w:sdtContent>
              </w:sdt>
              <w:r w:rsidR="0032322D">
                <w:rPr>
                  <w:rFonts w:asciiTheme="minorHAnsi" w:hAnsiTheme="minorHAnsi" w:cstheme="minorHAnsi"/>
                  <w:color w:val="000000"/>
                  <w:sz w:val="22"/>
                  <w:szCs w:val="22"/>
                </w:rPr>
                <w:t>; and</w:t>
              </w:r>
            </w:sdtContent>
          </w:sdt>
        </w:p>
      </w:sdtContent>
    </w:sdt>
    <w:sdt>
      <w:sdtPr>
        <w:rPr>
          <w:rFonts w:asciiTheme="minorHAnsi" w:hAnsiTheme="minorHAnsi" w:cstheme="minorHAnsi"/>
        </w:rPr>
        <w:tag w:val="goog_rdk_225"/>
        <w:id w:val="1822456965"/>
      </w:sdtPr>
      <w:sdtEndPr/>
      <w:sdtContent>
        <w:sdt>
          <w:sdtPr>
            <w:rPr>
              <w:rFonts w:asciiTheme="minorHAnsi" w:hAnsiTheme="minorHAnsi" w:cstheme="minorHAnsi"/>
            </w:rPr>
            <w:tag w:val="goog_rdk_223"/>
            <w:id w:val="1160276166"/>
          </w:sdtPr>
          <w:sdtEndPr/>
          <w:sdtContent>
            <w:p w14:paraId="2C95E269" w14:textId="77777777" w:rsidR="0032322D" w:rsidRDefault="0032322D" w:rsidP="0032322D">
              <w:pPr>
                <w:numPr>
                  <w:ilvl w:val="0"/>
                  <w:numId w:val="10"/>
                </w:numPr>
                <w:jc w:val="both"/>
                <w:rPr>
                  <w:rFonts w:asciiTheme="minorHAnsi" w:hAnsiTheme="minorHAnsi" w:cstheme="minorHAnsi"/>
                  <w:color w:val="000000"/>
                  <w:sz w:val="22"/>
                  <w:szCs w:val="22"/>
                </w:rPr>
              </w:pPr>
              <w:r>
                <w:rPr>
                  <w:rFonts w:asciiTheme="minorHAnsi" w:hAnsiTheme="minorHAnsi" w:cstheme="minorHAnsi"/>
                  <w:sz w:val="22"/>
                  <w:szCs w:val="22"/>
                </w:rPr>
                <w:t>The Inter-American Development Bank (IDB), which will support the agenda development, introduction of case studies, hosting of a networking event and support to the technical site visit program.</w:t>
              </w:r>
            </w:p>
            <w:p w14:paraId="0D1B9AEF" w14:textId="77777777" w:rsidR="0032322D" w:rsidRDefault="0032322D" w:rsidP="0032322D">
              <w:pPr>
                <w:numPr>
                  <w:ilvl w:val="0"/>
                  <w:numId w:val="10"/>
                </w:numPr>
                <w:jc w:val="both"/>
                <w:rPr>
                  <w:rFonts w:asciiTheme="minorHAnsi" w:hAnsiTheme="minorHAnsi" w:cstheme="minorHAnsi"/>
                  <w:color w:val="000000"/>
                  <w:sz w:val="22"/>
                  <w:szCs w:val="22"/>
                </w:rPr>
              </w:pPr>
              <w:r>
                <w:rPr>
                  <w:rFonts w:asciiTheme="minorHAnsi" w:hAnsiTheme="minorHAnsi" w:cstheme="minorHAnsi"/>
                  <w:sz w:val="22"/>
                  <w:szCs w:val="22"/>
                </w:rPr>
                <w:t>The Organization of American States (OAS) will support the coordination of the IWC10.</w:t>
              </w:r>
            </w:p>
            <w:p w14:paraId="77136C8E" w14:textId="77777777" w:rsidR="0032322D" w:rsidRDefault="0032322D" w:rsidP="0032322D">
              <w:pPr>
                <w:numPr>
                  <w:ilvl w:val="0"/>
                  <w:numId w:val="10"/>
                </w:numPr>
                <w:jc w:val="both"/>
                <w:rPr>
                  <w:rFonts w:asciiTheme="minorHAnsi" w:hAnsiTheme="minorHAnsi" w:cstheme="minorHAnsi"/>
                  <w:color w:val="000000"/>
                  <w:sz w:val="22"/>
                  <w:szCs w:val="22"/>
                </w:rPr>
              </w:pPr>
              <w:r>
                <w:rPr>
                  <w:rFonts w:asciiTheme="minorHAnsi" w:hAnsiTheme="minorHAnsi" w:cstheme="minorHAnsi"/>
                  <w:sz w:val="22"/>
                  <w:szCs w:val="22"/>
                </w:rPr>
                <w:t>IOC-UNESCO will support the coordination of the IWC10.</w:t>
              </w:r>
              <w:sdt>
                <w:sdtPr>
                  <w:rPr>
                    <w:rFonts w:asciiTheme="minorHAnsi" w:hAnsiTheme="minorHAnsi" w:cstheme="minorHAnsi"/>
                  </w:rPr>
                  <w:tag w:val="goog_rdk_224"/>
                  <w:id w:val="-582840851"/>
                </w:sdtPr>
                <w:sdtEndPr/>
                <w:sdtContent/>
              </w:sdt>
            </w:p>
          </w:sdtContent>
        </w:sdt>
      </w:sdtContent>
    </w:sdt>
    <w:p w14:paraId="3F388A75" w14:textId="77777777" w:rsidR="0032322D" w:rsidRDefault="0032322D" w:rsidP="0032322D">
      <w:pPr>
        <w:jc w:val="both"/>
        <w:rPr>
          <w:rFonts w:asciiTheme="minorHAnsi" w:hAnsiTheme="minorHAnsi" w:cstheme="minorHAnsi"/>
          <w:sz w:val="22"/>
          <w:szCs w:val="22"/>
        </w:rPr>
      </w:pPr>
    </w:p>
    <w:p w14:paraId="7724828B"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The partners for the IWC 11 will be determined at a later stage.</w:t>
      </w:r>
    </w:p>
    <w:p w14:paraId="4EB0F8BE" w14:textId="77777777" w:rsidR="0032322D" w:rsidRDefault="0032322D" w:rsidP="0032322D">
      <w:pPr>
        <w:jc w:val="both"/>
        <w:rPr>
          <w:rFonts w:asciiTheme="minorHAnsi" w:hAnsiTheme="minorHAnsi" w:cstheme="minorHAnsi"/>
          <w:color w:val="000000"/>
          <w:sz w:val="22"/>
          <w:szCs w:val="22"/>
        </w:rPr>
      </w:pPr>
    </w:p>
    <w:p w14:paraId="764380BD" w14:textId="77777777" w:rsidR="0032322D" w:rsidRDefault="0032322D" w:rsidP="0032322D">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GEF increment will support the conference budget, as well as </w:t>
      </w:r>
      <w:sdt>
        <w:sdtPr>
          <w:rPr>
            <w:rFonts w:asciiTheme="minorHAnsi" w:hAnsiTheme="minorHAnsi" w:cstheme="minorHAnsi"/>
          </w:rPr>
          <w:tag w:val="goog_rdk_192"/>
          <w:id w:val="-1412694239"/>
        </w:sdtPr>
        <w:sdtEndPr/>
        <w:sdtContent>
          <w:r>
            <w:rPr>
              <w:rFonts w:asciiTheme="minorHAnsi" w:hAnsiTheme="minorHAnsi" w:cstheme="minorHAnsi"/>
              <w:color w:val="000000"/>
              <w:sz w:val="22"/>
              <w:szCs w:val="22"/>
            </w:rPr>
            <w:t>catalyzing</w:t>
          </w:r>
        </w:sdtContent>
      </w:sdt>
      <w:r>
        <w:rPr>
          <w:rFonts w:asciiTheme="minorHAnsi" w:hAnsiTheme="minorHAnsi" w:cstheme="minorHAnsi"/>
          <w:color w:val="000000"/>
          <w:sz w:val="22"/>
          <w:szCs w:val="22"/>
        </w:rPr>
        <w:t xml:space="preserve"> additional resources from partners. Some resources will be generated in the form of host‐country support. The project will engage with regional organizations from the conference locations. </w:t>
      </w:r>
    </w:p>
    <w:p w14:paraId="16AECC32" w14:textId="77777777" w:rsidR="0032322D" w:rsidRDefault="0032322D" w:rsidP="0032322D">
      <w:pPr>
        <w:jc w:val="both"/>
        <w:rPr>
          <w:rFonts w:asciiTheme="minorHAnsi" w:hAnsiTheme="minorHAnsi" w:cstheme="minorHAnsi"/>
          <w:sz w:val="22"/>
          <w:szCs w:val="22"/>
        </w:rPr>
      </w:pPr>
    </w:p>
    <w:p w14:paraId="4ADC659E"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All partners of GEF IW:LEARN will contribute to sessions and the success of the International Waters Conferences. </w:t>
      </w:r>
    </w:p>
    <w:p w14:paraId="1E31D971" w14:textId="77777777" w:rsidR="0032322D" w:rsidRPr="0032322D" w:rsidRDefault="0032322D" w:rsidP="0032322D"/>
    <w:p w14:paraId="6936C9BF" w14:textId="46F44B35" w:rsidR="0032322D" w:rsidRPr="0032322D" w:rsidRDefault="0032322D" w:rsidP="0032322D">
      <w:pPr>
        <w:pStyle w:val="Heading5"/>
        <w:rPr>
          <w:rFonts w:asciiTheme="minorHAnsi" w:hAnsiTheme="minorHAnsi" w:cstheme="minorHAnsi"/>
          <w:b/>
          <w:bCs/>
          <w:color w:val="000000" w:themeColor="text1"/>
          <w:sz w:val="22"/>
          <w:szCs w:val="22"/>
        </w:rPr>
      </w:pPr>
      <w:r w:rsidRPr="0032322D">
        <w:rPr>
          <w:rFonts w:asciiTheme="minorHAnsi" w:hAnsiTheme="minorHAnsi" w:cstheme="minorHAnsi"/>
          <w:b/>
          <w:bCs/>
          <w:color w:val="000000" w:themeColor="text1"/>
          <w:sz w:val="22"/>
          <w:szCs w:val="22"/>
        </w:rPr>
        <w:t>Activity 1.1.1: Tenth GEF Biennial International Waters Conference</w:t>
      </w:r>
    </w:p>
    <w:p w14:paraId="17375BAB" w14:textId="77777777" w:rsidR="0032322D" w:rsidRDefault="00F57A55" w:rsidP="0032322D">
      <w:pPr>
        <w:jc w:val="both"/>
        <w:rPr>
          <w:rFonts w:asciiTheme="minorHAnsi" w:eastAsia="Calibri" w:hAnsiTheme="minorHAnsi" w:cstheme="minorHAnsi"/>
          <w:sz w:val="22"/>
          <w:szCs w:val="22"/>
        </w:rPr>
      </w:pPr>
      <w:sdt>
        <w:sdtPr>
          <w:rPr>
            <w:rFonts w:asciiTheme="minorHAnsi" w:hAnsiTheme="minorHAnsi" w:cstheme="minorHAnsi"/>
          </w:rPr>
          <w:tag w:val="goog_rdk_196"/>
          <w:id w:val="-901284042"/>
        </w:sdtPr>
        <w:sdtEndPr/>
        <w:sdtContent>
          <w:sdt>
            <w:sdtPr>
              <w:rPr>
                <w:rFonts w:asciiTheme="minorHAnsi" w:hAnsiTheme="minorHAnsi" w:cstheme="minorHAnsi"/>
              </w:rPr>
              <w:tag w:val="goog_rdk_197"/>
              <w:id w:val="157124316"/>
            </w:sdtPr>
            <w:sdtEndPr/>
            <w:sdtContent>
              <w:r w:rsidR="0032322D">
                <w:rPr>
                  <w:rFonts w:asciiTheme="minorHAnsi" w:eastAsia="Calibri" w:hAnsiTheme="minorHAnsi" w:cstheme="minorHAnsi"/>
                  <w:color w:val="201F1E"/>
                  <w:sz w:val="22"/>
                  <w:szCs w:val="22"/>
                </w:rPr>
                <w:t>The 10</w:t>
              </w:r>
            </w:sdtContent>
          </w:sdt>
          <w:sdt>
            <w:sdtPr>
              <w:rPr>
                <w:rFonts w:asciiTheme="minorHAnsi" w:hAnsiTheme="minorHAnsi" w:cstheme="minorHAnsi"/>
              </w:rPr>
              <w:tag w:val="goog_rdk_198"/>
              <w:id w:val="56909958"/>
            </w:sdtPr>
            <w:sdtEndPr/>
            <w:sdtContent>
              <w:r w:rsidR="0032322D">
                <w:rPr>
                  <w:rFonts w:asciiTheme="minorHAnsi" w:eastAsia="Calibri" w:hAnsiTheme="minorHAnsi" w:cstheme="minorHAnsi"/>
                  <w:color w:val="201F1E"/>
                  <w:sz w:val="22"/>
                  <w:szCs w:val="22"/>
                  <w:vertAlign w:val="superscript"/>
                </w:rPr>
                <w:t>th</w:t>
              </w:r>
            </w:sdtContent>
          </w:sdt>
          <w:sdt>
            <w:sdtPr>
              <w:rPr>
                <w:rFonts w:asciiTheme="minorHAnsi" w:hAnsiTheme="minorHAnsi" w:cstheme="minorHAnsi"/>
              </w:rPr>
              <w:tag w:val="goog_rdk_199"/>
              <w:id w:val="1268515440"/>
            </w:sdtPr>
            <w:sdtEndPr/>
            <w:sdtContent>
              <w:r w:rsidR="0032322D">
                <w:rPr>
                  <w:rFonts w:asciiTheme="minorHAnsi" w:eastAsia="Calibri" w:hAnsiTheme="minorHAnsi" w:cstheme="minorHAnsi"/>
                  <w:color w:val="201F1E"/>
                  <w:sz w:val="22"/>
                  <w:szCs w:val="22"/>
                </w:rPr>
                <w:t xml:space="preserve"> IWC will be held in Uruguay with the support of the Government. </w:t>
              </w:r>
            </w:sdtContent>
          </w:sdt>
          <w:r w:rsidR="0032322D">
            <w:rPr>
              <w:rFonts w:asciiTheme="minorHAnsi" w:hAnsiTheme="minorHAnsi" w:cstheme="minorHAnsi"/>
              <w:color w:val="201F1E"/>
              <w:sz w:val="22"/>
              <w:szCs w:val="22"/>
            </w:rPr>
            <w:t>Uruguay is a</w:t>
          </w:r>
          <w:sdt>
            <w:sdtPr>
              <w:rPr>
                <w:rFonts w:asciiTheme="minorHAnsi" w:hAnsiTheme="minorHAnsi" w:cstheme="minorHAnsi"/>
              </w:rPr>
              <w:tag w:val="goog_rdk_200"/>
              <w:id w:val="-627551545"/>
            </w:sdtPr>
            <w:sdtEndPr/>
            <w:sdtContent>
              <w:r w:rsidR="0032322D">
                <w:rPr>
                  <w:rFonts w:asciiTheme="minorHAnsi" w:eastAsia="Calibri" w:hAnsiTheme="minorHAnsi" w:cstheme="minorHAnsi"/>
                  <w:color w:val="201F1E"/>
                  <w:sz w:val="22"/>
                  <w:szCs w:val="22"/>
                </w:rPr>
                <w:t xml:space="preserve"> well-known country in the </w:t>
              </w:r>
            </w:sdtContent>
          </w:sdt>
          <w:r w:rsidR="0032322D">
            <w:rPr>
              <w:rFonts w:asciiTheme="minorHAnsi" w:hAnsiTheme="minorHAnsi" w:cstheme="minorHAnsi"/>
              <w:color w:val="201F1E"/>
              <w:sz w:val="22"/>
              <w:szCs w:val="22"/>
            </w:rPr>
            <w:t xml:space="preserve">scope of </w:t>
          </w:r>
          <w:sdt>
            <w:sdtPr>
              <w:rPr>
                <w:rFonts w:asciiTheme="minorHAnsi" w:hAnsiTheme="minorHAnsi" w:cstheme="minorHAnsi"/>
              </w:rPr>
              <w:tag w:val="goog_rdk_201"/>
              <w:id w:val="-528953847"/>
            </w:sdtPr>
            <w:sdtEndPr/>
            <w:sdtContent>
              <w:r w:rsidR="0032322D">
                <w:rPr>
                  <w:rFonts w:asciiTheme="minorHAnsi" w:eastAsia="Calibri" w:hAnsiTheme="minorHAnsi" w:cstheme="minorHAnsi"/>
                  <w:color w:val="201F1E"/>
                  <w:sz w:val="22"/>
                  <w:szCs w:val="22"/>
                </w:rPr>
                <w:t xml:space="preserve">International Waters, as </w:t>
              </w:r>
            </w:sdtContent>
          </w:sdt>
          <w:r w:rsidR="0032322D">
            <w:rPr>
              <w:rFonts w:asciiTheme="minorHAnsi" w:hAnsiTheme="minorHAnsi" w:cstheme="minorHAnsi"/>
              <w:color w:val="201F1E"/>
              <w:sz w:val="22"/>
              <w:szCs w:val="22"/>
            </w:rPr>
            <w:t>it is</w:t>
          </w:r>
          <w:sdt>
            <w:sdtPr>
              <w:rPr>
                <w:rFonts w:asciiTheme="minorHAnsi" w:hAnsiTheme="minorHAnsi" w:cstheme="minorHAnsi"/>
              </w:rPr>
              <w:tag w:val="goog_rdk_202"/>
              <w:id w:val="-1789959597"/>
            </w:sdtPr>
            <w:sdtEndPr/>
            <w:sdtContent>
              <w:r w:rsidR="0032322D">
                <w:rPr>
                  <w:rFonts w:asciiTheme="minorHAnsi" w:eastAsia="Calibri" w:hAnsiTheme="minorHAnsi" w:cstheme="minorHAnsi"/>
                  <w:color w:val="201F1E"/>
                  <w:sz w:val="22"/>
                  <w:szCs w:val="22"/>
                </w:rPr>
                <w:t xml:space="preserve"> located within the Plata Basin, home to 130 million people from Argentina, Brazil, Paraguay, Bolivia and Uruguay.  The GEF has been present in Uruguay </w:t>
              </w:r>
              <w:r w:rsidR="0032322D">
                <w:rPr>
                  <w:rFonts w:asciiTheme="minorHAnsi" w:eastAsia="Calibri" w:hAnsiTheme="minorHAnsi" w:cstheme="minorHAnsi"/>
                  <w:color w:val="201F1E"/>
                  <w:sz w:val="22"/>
                  <w:szCs w:val="22"/>
                </w:rPr>
                <w:lastRenderedPageBreak/>
                <w:t>since its first funding cycle, and there are a number of GEF project experiences there for the GEF IW portfolio to learn from, including from projects dedicated to sustainably managing the Rio de La Plata and its Maritime Front (shared with Argentina) and protecting the Guarani Aquifer System (shared with Argentina, Brazil and Paraguay), and the latest approved project in the Laguna Merin (</w:t>
              </w:r>
            </w:sdtContent>
          </w:sdt>
          <w:r w:rsidR="0032322D">
            <w:rPr>
              <w:rFonts w:asciiTheme="minorHAnsi" w:hAnsiTheme="minorHAnsi" w:cstheme="minorHAnsi"/>
              <w:color w:val="201F1E"/>
              <w:sz w:val="22"/>
              <w:szCs w:val="22"/>
            </w:rPr>
            <w:t>s</w:t>
          </w:r>
          <w:sdt>
            <w:sdtPr>
              <w:rPr>
                <w:rFonts w:asciiTheme="minorHAnsi" w:hAnsiTheme="minorHAnsi" w:cstheme="minorHAnsi"/>
              </w:rPr>
              <w:tag w:val="goog_rdk_203"/>
              <w:id w:val="1366406997"/>
            </w:sdtPr>
            <w:sdtEndPr/>
            <w:sdtContent>
              <w:r w:rsidR="0032322D">
                <w:rPr>
                  <w:rFonts w:asciiTheme="minorHAnsi" w:eastAsia="Calibri" w:hAnsiTheme="minorHAnsi" w:cstheme="minorHAnsi"/>
                  <w:color w:val="201F1E"/>
                  <w:sz w:val="22"/>
                  <w:szCs w:val="22"/>
                </w:rPr>
                <w:t xml:space="preserve">hared with </w:t>
              </w:r>
            </w:sdtContent>
          </w:sdt>
          <w:r w:rsidR="0032322D">
            <w:rPr>
              <w:rFonts w:asciiTheme="minorHAnsi" w:hAnsiTheme="minorHAnsi" w:cstheme="minorHAnsi"/>
              <w:color w:val="201F1E"/>
              <w:sz w:val="22"/>
              <w:szCs w:val="22"/>
            </w:rPr>
            <w:t>Brazil</w:t>
          </w:r>
          <w:sdt>
            <w:sdtPr>
              <w:rPr>
                <w:rFonts w:asciiTheme="minorHAnsi" w:hAnsiTheme="minorHAnsi" w:cstheme="minorHAnsi"/>
              </w:rPr>
              <w:tag w:val="goog_rdk_204"/>
              <w:id w:val="-1372836632"/>
            </w:sdtPr>
            <w:sdtEndPr/>
            <w:sdtContent>
              <w:r w:rsidR="0032322D">
                <w:rPr>
                  <w:rFonts w:asciiTheme="minorHAnsi" w:eastAsia="Calibri" w:hAnsiTheme="minorHAnsi" w:cstheme="minorHAnsi"/>
                  <w:color w:val="201F1E"/>
                  <w:sz w:val="22"/>
                  <w:szCs w:val="22"/>
                </w:rPr>
                <w:t>). The project will partner with the agencies present in the region (OAS, IDB, UNEP, FAO, UNESCO and others) to bring together a world class event.</w:t>
              </w:r>
            </w:sdtContent>
          </w:sdt>
          <w:sdt>
            <w:sdtPr>
              <w:rPr>
                <w:rFonts w:asciiTheme="minorHAnsi" w:hAnsiTheme="minorHAnsi" w:cstheme="minorHAnsi"/>
              </w:rPr>
              <w:tag w:val="goog_rdk_205"/>
              <w:id w:val="551812495"/>
            </w:sdtPr>
            <w:sdtEndPr/>
            <w:sdtContent/>
          </w:sdt>
        </w:sdtContent>
      </w:sdt>
    </w:p>
    <w:sdt>
      <w:sdtPr>
        <w:rPr>
          <w:rFonts w:asciiTheme="minorHAnsi" w:hAnsiTheme="minorHAnsi" w:cstheme="minorHAnsi"/>
        </w:rPr>
        <w:tag w:val="goog_rdk_213"/>
        <w:id w:val="167149318"/>
      </w:sdtPr>
      <w:sdtEndPr/>
      <w:sdtContent>
        <w:p w14:paraId="41C47B06" w14:textId="77777777" w:rsidR="0032322D" w:rsidRDefault="00F57A55" w:rsidP="0032322D">
          <w:pPr>
            <w:jc w:val="both"/>
            <w:rPr>
              <w:rFonts w:asciiTheme="minorHAnsi" w:hAnsiTheme="minorHAnsi" w:cstheme="minorHAnsi"/>
              <w:sz w:val="22"/>
              <w:szCs w:val="22"/>
            </w:rPr>
          </w:pPr>
          <w:sdt>
            <w:sdtPr>
              <w:rPr>
                <w:rFonts w:asciiTheme="minorHAnsi" w:hAnsiTheme="minorHAnsi" w:cstheme="minorHAnsi"/>
              </w:rPr>
              <w:tag w:val="goog_rdk_208"/>
              <w:id w:val="628439925"/>
            </w:sdtPr>
            <w:sdtEndPr/>
            <w:sdtContent>
              <w:sdt>
                <w:sdtPr>
                  <w:rPr>
                    <w:rFonts w:asciiTheme="minorHAnsi" w:hAnsiTheme="minorHAnsi" w:cstheme="minorHAnsi"/>
                  </w:rPr>
                  <w:tag w:val="goog_rdk_209"/>
                  <w:id w:val="257954638"/>
                  <w:showingPlcHdr/>
                </w:sdtPr>
                <w:sdtEndPr/>
                <w:sdtContent>
                  <w:r w:rsidR="0032322D">
                    <w:rPr>
                      <w:rFonts w:asciiTheme="minorHAnsi" w:hAnsiTheme="minorHAnsi" w:cstheme="minorHAnsi"/>
                    </w:rPr>
                    <w:t xml:space="preserve">     </w:t>
                  </w:r>
                </w:sdtContent>
              </w:sdt>
            </w:sdtContent>
          </w:sdt>
          <w:sdt>
            <w:sdtPr>
              <w:rPr>
                <w:rFonts w:asciiTheme="minorHAnsi" w:hAnsiTheme="minorHAnsi" w:cstheme="minorHAnsi"/>
              </w:rPr>
              <w:tag w:val="goog_rdk_212"/>
              <w:id w:val="1385286106"/>
              <w:showingPlcHdr/>
            </w:sdtPr>
            <w:sdtEndPr/>
            <w:sdtContent>
              <w:r w:rsidR="0032322D">
                <w:rPr>
                  <w:rFonts w:asciiTheme="minorHAnsi" w:hAnsiTheme="minorHAnsi" w:cstheme="minorHAnsi"/>
                </w:rPr>
                <w:t xml:space="preserve">     </w:t>
              </w:r>
            </w:sdtContent>
          </w:sdt>
        </w:p>
      </w:sdtContent>
    </w:sdt>
    <w:p w14:paraId="24F6140F" w14:textId="1036A703" w:rsidR="0032322D" w:rsidRP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In view of the COVID-19 pandemics, the IWC 10, which is by necessity a face-to-face event, may not take place during the first year of the project’s implementation as envisaged. However, the preparatory activities for the conference should be organized using the on-line and remote communications options. </w:t>
      </w:r>
    </w:p>
    <w:p w14:paraId="07D08BE5" w14:textId="77777777" w:rsidR="0032322D" w:rsidRPr="0032322D" w:rsidRDefault="0032322D" w:rsidP="0032322D"/>
    <w:p w14:paraId="66937F52" w14:textId="1D7AFBC5" w:rsidR="0032322D" w:rsidRDefault="0032322D" w:rsidP="0032322D">
      <w:pPr>
        <w:pStyle w:val="Heading5"/>
        <w:rPr>
          <w:rFonts w:asciiTheme="minorHAnsi" w:hAnsiTheme="minorHAnsi" w:cstheme="minorHAnsi"/>
          <w:b/>
          <w:bCs/>
          <w:color w:val="000000" w:themeColor="text1"/>
          <w:sz w:val="22"/>
          <w:szCs w:val="22"/>
        </w:rPr>
      </w:pPr>
      <w:bookmarkStart w:id="11" w:name="_Hlk114843208"/>
      <w:r w:rsidRPr="0032322D">
        <w:rPr>
          <w:rFonts w:asciiTheme="minorHAnsi" w:hAnsiTheme="minorHAnsi" w:cstheme="minorHAnsi"/>
          <w:b/>
          <w:bCs/>
          <w:color w:val="000000" w:themeColor="text1"/>
          <w:sz w:val="22"/>
          <w:szCs w:val="22"/>
        </w:rPr>
        <w:t>Activity 1.1.2: Eleventh GEF Biennial International Waters Conference</w:t>
      </w:r>
    </w:p>
    <w:bookmarkEnd w:id="11"/>
    <w:p w14:paraId="12198917" w14:textId="1BB1D876" w:rsidR="0032322D" w:rsidRP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The 11</w:t>
      </w:r>
      <w:r>
        <w:rPr>
          <w:rFonts w:asciiTheme="minorHAnsi" w:hAnsiTheme="minorHAnsi" w:cstheme="minorHAnsi"/>
          <w:sz w:val="22"/>
          <w:szCs w:val="22"/>
          <w:vertAlign w:val="superscript"/>
        </w:rPr>
        <w:t>th</w:t>
      </w:r>
      <w:r>
        <w:rPr>
          <w:rFonts w:asciiTheme="minorHAnsi" w:hAnsiTheme="minorHAnsi" w:cstheme="minorHAnsi"/>
          <w:sz w:val="22"/>
          <w:szCs w:val="22"/>
        </w:rPr>
        <w:t xml:space="preserve"> GEF Biennial IWC will take place during the third year of the project.  Possible locations will be examined and discussed during project implementation.</w:t>
      </w:r>
    </w:p>
    <w:p w14:paraId="2700059C" w14:textId="10C9ED74" w:rsidR="0032322D" w:rsidRDefault="0032322D" w:rsidP="0032322D"/>
    <w:p w14:paraId="2DA732AA" w14:textId="77777777" w:rsidR="0032322D" w:rsidRPr="0032322D" w:rsidRDefault="0032322D" w:rsidP="0032322D"/>
    <w:p w14:paraId="46E3EEF7" w14:textId="71F5AB2F" w:rsidR="0032322D" w:rsidRDefault="0032322D" w:rsidP="0032322D">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Sub-component 1.</w:t>
      </w:r>
      <w:r>
        <w:rPr>
          <w:rFonts w:asciiTheme="minorHAnsi" w:hAnsiTheme="minorHAnsi" w:cstheme="minorHAnsi"/>
          <w:b/>
          <w:bCs/>
          <w:i w:val="0"/>
          <w:iCs w:val="0"/>
          <w:color w:val="000000" w:themeColor="text1"/>
        </w:rPr>
        <w:t>2</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Regional training workshops for GEF IW projects and development partners on cross-cutting themes and key outputs from selected GEF portfolio methodology projects, delivered by partner learning network (UNDP)</w:t>
      </w:r>
    </w:p>
    <w:p w14:paraId="05270017" w14:textId="77777777" w:rsidR="0032322D" w:rsidRDefault="0032322D" w:rsidP="0032322D">
      <w:pPr>
        <w:jc w:val="both"/>
        <w:rPr>
          <w:rFonts w:asciiTheme="minorHAnsi" w:hAnsiTheme="minorHAnsi" w:cstheme="minorHAnsi"/>
          <w:b/>
          <w:sz w:val="22"/>
          <w:szCs w:val="22"/>
        </w:rPr>
      </w:pPr>
    </w:p>
    <w:p w14:paraId="443B1C04" w14:textId="77777777" w:rsidR="0032322D" w:rsidRDefault="0032322D" w:rsidP="0032322D">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2AAE9EFE" w14:textId="77777777" w:rsidR="0032322D" w:rsidRDefault="0032322D" w:rsidP="0032322D">
      <w:pPr>
        <w:shd w:val="clear" w:color="auto" w:fill="E7E6E6"/>
        <w:jc w:val="both"/>
        <w:rPr>
          <w:rFonts w:asciiTheme="minorHAnsi" w:hAnsiTheme="minorHAnsi" w:cstheme="minorHAnsi"/>
          <w:sz w:val="22"/>
          <w:szCs w:val="22"/>
        </w:rPr>
      </w:pPr>
    </w:p>
    <w:p w14:paraId="08165270"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1.2 is:</w:t>
      </w:r>
    </w:p>
    <w:p w14:paraId="5B655632" w14:textId="77777777" w:rsidR="0032322D" w:rsidRDefault="0032322D" w:rsidP="0032322D">
      <w:pPr>
        <w:shd w:val="clear" w:color="auto" w:fill="E7E6E6"/>
        <w:jc w:val="both"/>
        <w:rPr>
          <w:rFonts w:asciiTheme="minorHAnsi" w:hAnsiTheme="minorHAnsi" w:cstheme="minorHAnsi"/>
          <w:sz w:val="22"/>
          <w:szCs w:val="22"/>
        </w:rPr>
      </w:pPr>
    </w:p>
    <w:p w14:paraId="59A8AF41"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Structured regional training workshops for GEF IW projects and their partners, delivered by a strengthened learning network</w:t>
      </w:r>
    </w:p>
    <w:p w14:paraId="37582A74" w14:textId="77777777" w:rsidR="0032322D" w:rsidRDefault="0032322D" w:rsidP="0032322D">
      <w:pPr>
        <w:shd w:val="clear" w:color="auto" w:fill="E7E6E6"/>
        <w:jc w:val="both"/>
        <w:rPr>
          <w:rFonts w:asciiTheme="minorHAnsi" w:hAnsiTheme="minorHAnsi" w:cstheme="minorHAnsi"/>
          <w:sz w:val="22"/>
          <w:szCs w:val="22"/>
        </w:rPr>
      </w:pPr>
    </w:p>
    <w:p w14:paraId="4C6175D0"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1.2 is:</w:t>
      </w:r>
    </w:p>
    <w:p w14:paraId="51F185F4" w14:textId="77777777" w:rsidR="0032322D" w:rsidRDefault="0032322D" w:rsidP="0032322D">
      <w:pPr>
        <w:shd w:val="clear" w:color="auto" w:fill="E7E6E6"/>
        <w:jc w:val="both"/>
        <w:rPr>
          <w:rFonts w:asciiTheme="minorHAnsi" w:hAnsiTheme="minorHAnsi" w:cstheme="minorHAnsi"/>
          <w:sz w:val="22"/>
          <w:szCs w:val="22"/>
        </w:rPr>
      </w:pPr>
    </w:p>
    <w:p w14:paraId="39ACAFDE"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Enhanced portfolio capacity at the regional and global levels, and portfolio-wide dialogue opportunities for increased transboundary cooperation</w:t>
      </w:r>
    </w:p>
    <w:p w14:paraId="30E3A367" w14:textId="77777777" w:rsidR="0032322D" w:rsidRDefault="0032322D" w:rsidP="0032322D">
      <w:pPr>
        <w:shd w:val="clear" w:color="auto" w:fill="E7E6E6"/>
        <w:jc w:val="both"/>
        <w:rPr>
          <w:rFonts w:asciiTheme="minorHAnsi" w:hAnsiTheme="minorHAnsi" w:cstheme="minorHAnsi"/>
          <w:b/>
          <w:sz w:val="22"/>
          <w:szCs w:val="22"/>
        </w:rPr>
      </w:pPr>
    </w:p>
    <w:p w14:paraId="28007266" w14:textId="77777777" w:rsidR="0032322D" w:rsidRDefault="0032322D" w:rsidP="0032322D">
      <w:pPr>
        <w:shd w:val="clear" w:color="auto" w:fill="E7E6E6"/>
        <w:rPr>
          <w:rFonts w:asciiTheme="minorHAnsi" w:hAnsiTheme="minorHAnsi" w:cstheme="minorHAnsi"/>
          <w:b/>
          <w:sz w:val="22"/>
          <w:szCs w:val="22"/>
        </w:rPr>
      </w:pPr>
      <w:r>
        <w:rPr>
          <w:rFonts w:asciiTheme="minorHAnsi" w:hAnsiTheme="minorHAnsi" w:cstheme="minorHAnsi"/>
          <w:b/>
          <w:sz w:val="22"/>
          <w:szCs w:val="22"/>
        </w:rPr>
        <w:t>The overall costs for Component 1: GEF Grant USD 1,717,200</w:t>
      </w:r>
    </w:p>
    <w:p w14:paraId="34316D93" w14:textId="77777777" w:rsidR="0032322D" w:rsidRDefault="0032322D" w:rsidP="0032322D">
      <w:pPr>
        <w:shd w:val="clear" w:color="auto" w:fill="E7E6E6"/>
        <w:jc w:val="both"/>
        <w:rPr>
          <w:rFonts w:asciiTheme="minorHAnsi" w:hAnsiTheme="minorHAnsi" w:cstheme="minorHAnsi"/>
          <w:b/>
          <w:sz w:val="22"/>
          <w:szCs w:val="22"/>
        </w:rPr>
      </w:pPr>
    </w:p>
    <w:p w14:paraId="674574EB" w14:textId="77777777" w:rsidR="0032322D" w:rsidRDefault="0032322D" w:rsidP="0032322D">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 xml:space="preserve">This sub-component links to the following sub-components: </w:t>
      </w:r>
    </w:p>
    <w:p w14:paraId="6EA35760" w14:textId="77777777" w:rsidR="0032322D" w:rsidRDefault="0032322D" w:rsidP="0032322D">
      <w:pPr>
        <w:shd w:val="clear" w:color="auto" w:fill="E7E6E6"/>
        <w:jc w:val="both"/>
        <w:rPr>
          <w:rFonts w:asciiTheme="minorHAnsi" w:hAnsiTheme="minorHAnsi" w:cstheme="minorHAnsi"/>
          <w:sz w:val="22"/>
          <w:szCs w:val="22"/>
        </w:rPr>
      </w:pPr>
    </w:p>
    <w:p w14:paraId="0B5BEF52"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2.2: Support to the use of information technology platforms to establish project websites and for improved management of information by GEF projects</w:t>
      </w:r>
    </w:p>
    <w:p w14:paraId="60F8D090" w14:textId="77777777" w:rsidR="0032322D" w:rsidRDefault="0032322D" w:rsidP="0032322D">
      <w:pPr>
        <w:shd w:val="clear" w:color="auto" w:fill="E7E6E6"/>
        <w:jc w:val="both"/>
        <w:rPr>
          <w:rFonts w:asciiTheme="minorHAnsi" w:hAnsiTheme="minorHAnsi" w:cstheme="minorHAnsi"/>
          <w:sz w:val="22"/>
          <w:szCs w:val="22"/>
        </w:rPr>
      </w:pPr>
    </w:p>
    <w:p w14:paraId="446611DC"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2.3: Hands-on communications and project visualization training, including support to the production of Experience Notes, for improved project storytelling, data packaging and focal area thematic review publications.</w:t>
      </w:r>
    </w:p>
    <w:p w14:paraId="1AC7EDD4" w14:textId="77777777" w:rsidR="0032322D" w:rsidRDefault="0032322D" w:rsidP="0032322D">
      <w:pPr>
        <w:shd w:val="clear" w:color="auto" w:fill="E7E6E6"/>
        <w:jc w:val="both"/>
        <w:rPr>
          <w:rFonts w:asciiTheme="minorHAnsi" w:hAnsiTheme="minorHAnsi" w:cstheme="minorHAnsi"/>
          <w:sz w:val="22"/>
          <w:szCs w:val="22"/>
        </w:rPr>
      </w:pPr>
    </w:p>
    <w:p w14:paraId="02FBADBE"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3.3: Training courses and other capacity-strengthening guidance developed on cross-cutting topics of relevance to SIDS</w:t>
      </w:r>
    </w:p>
    <w:p w14:paraId="0C450FB1" w14:textId="77777777" w:rsidR="0032322D" w:rsidRDefault="0032322D" w:rsidP="0032322D">
      <w:pPr>
        <w:shd w:val="clear" w:color="auto" w:fill="E7E6E6"/>
        <w:jc w:val="both"/>
        <w:rPr>
          <w:rFonts w:asciiTheme="minorHAnsi" w:hAnsiTheme="minorHAnsi" w:cstheme="minorHAnsi"/>
          <w:sz w:val="22"/>
          <w:szCs w:val="22"/>
        </w:rPr>
      </w:pPr>
    </w:p>
    <w:p w14:paraId="5077BF96" w14:textId="77777777" w:rsidR="0032322D" w:rsidRDefault="0032322D" w:rsidP="0032322D">
      <w:pPr>
        <w:shd w:val="clear" w:color="auto" w:fill="E7E6E6"/>
        <w:jc w:val="both"/>
        <w:rPr>
          <w:rFonts w:asciiTheme="minorHAnsi" w:hAnsiTheme="minorHAnsi" w:cstheme="minorHAnsi"/>
          <w:sz w:val="22"/>
          <w:szCs w:val="22"/>
        </w:rPr>
      </w:pPr>
      <w:r>
        <w:rPr>
          <w:rFonts w:asciiTheme="minorHAnsi" w:hAnsiTheme="minorHAnsi" w:cstheme="minorHAnsi"/>
          <w:sz w:val="22"/>
          <w:szCs w:val="22"/>
        </w:rPr>
        <w:t>4.3: Training and capacity building activities in support of marine spatial planning as a tool for strengthening blue economy opportunities</w:t>
      </w:r>
    </w:p>
    <w:p w14:paraId="1CFDB680" w14:textId="77777777" w:rsidR="0032322D" w:rsidRDefault="0032322D" w:rsidP="0032322D">
      <w:pPr>
        <w:shd w:val="clear" w:color="auto" w:fill="E7E6E6"/>
        <w:jc w:val="both"/>
        <w:rPr>
          <w:rFonts w:asciiTheme="minorHAnsi" w:hAnsiTheme="minorHAnsi" w:cstheme="minorHAnsi"/>
          <w:sz w:val="22"/>
          <w:szCs w:val="22"/>
        </w:rPr>
      </w:pPr>
    </w:p>
    <w:p w14:paraId="4C4F0EF6" w14:textId="77777777" w:rsidR="0032322D" w:rsidRDefault="0032322D" w:rsidP="0032322D">
      <w:pPr>
        <w:shd w:val="clear" w:color="auto" w:fill="E7E6E6"/>
        <w:jc w:val="both"/>
        <w:rPr>
          <w:rFonts w:asciiTheme="minorHAnsi" w:hAnsiTheme="minorHAnsi" w:cstheme="minorHAnsi"/>
          <w:b/>
          <w:sz w:val="22"/>
          <w:szCs w:val="22"/>
        </w:rPr>
      </w:pPr>
      <w:r>
        <w:rPr>
          <w:rFonts w:asciiTheme="minorHAnsi" w:hAnsiTheme="minorHAnsi" w:cstheme="minorHAnsi"/>
          <w:sz w:val="22"/>
          <w:szCs w:val="22"/>
        </w:rPr>
        <w:lastRenderedPageBreak/>
        <w:t>5.3: Training support to portfolio on attracting sustainable financing to address SAP investment priorities</w:t>
      </w:r>
    </w:p>
    <w:p w14:paraId="0FFDD1A1" w14:textId="77777777" w:rsidR="0032322D" w:rsidRDefault="0032322D" w:rsidP="0032322D">
      <w:pPr>
        <w:jc w:val="both"/>
        <w:rPr>
          <w:rFonts w:asciiTheme="minorHAnsi" w:hAnsiTheme="minorHAnsi" w:cstheme="minorHAnsi"/>
          <w:b/>
          <w:sz w:val="22"/>
          <w:szCs w:val="22"/>
        </w:rPr>
      </w:pPr>
    </w:p>
    <w:p w14:paraId="175FD44C"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One of the main value-added services of the GEF IW:LEARN project is the cross-fertilization between projects and their partners that occurs through global and regional face-to-face targeted learning.  To date, IW:LEARN has conducted 31 workshops for more than 956 beneficiaries from some 151 GEF International Waters projects. During the fourth phase of IW:LEARN, workshops on economic valuation, gender mainstreaming, private sector engagement, conjunctive management, legal and institutional frameworks, spatial data </w:t>
      </w:r>
      <w:proofErr w:type="spellStart"/>
      <w:r>
        <w:rPr>
          <w:rFonts w:asciiTheme="minorHAnsi" w:hAnsiTheme="minorHAnsi" w:cstheme="minorHAnsi"/>
          <w:sz w:val="22"/>
          <w:szCs w:val="22"/>
        </w:rPr>
        <w:t>visualisation</w:t>
      </w:r>
      <w:proofErr w:type="spellEnd"/>
      <w:r>
        <w:rPr>
          <w:rFonts w:asciiTheme="minorHAnsi" w:hAnsiTheme="minorHAnsi" w:cstheme="minorHAnsi"/>
          <w:sz w:val="22"/>
          <w:szCs w:val="22"/>
        </w:rPr>
        <w:t xml:space="preserve">, benefit sharing, and water stewardship were delivered to 184 beneficiaries from 46 GEF IW projects and their stakeholders. These targeted workshops provided a means to strengthen the capacity of projects and partners in the region, and also provided an environment for networking and sharing of experiences both during and after the events had concluded. In parallel, the GEF LME:LEARN project facilitated both online and face-to-face training on Marine Spatial Planning (MSP) and Ocean Governance, directly targeting GEF funded marine and coastal projects (including the Large Marine Ecosystems). As a result of an effective blended learning approach to these topics, the Ocean Governance course reached 45 participants from 22 countries through the face-to-face training while the online component engaged 102 participants worldwide. The Marine Spatial Planning Course served 64 participants from 25 countries during the face-to-face workshops, with the online component reached 191 participants globally. Furthermore, this course has now been adapted for use by the MSP Global project which is a joint initiative by UNESCO’s Intergovernmental Oceanographic Commission (IOC-UNESCO) and the European Commission’s Directorate-General for Maritime Affairs and Fisheries (DG MARE). </w:t>
      </w:r>
    </w:p>
    <w:p w14:paraId="52603409" w14:textId="77777777" w:rsidR="0032322D" w:rsidRDefault="0032322D" w:rsidP="0032322D">
      <w:pPr>
        <w:jc w:val="both"/>
        <w:rPr>
          <w:rFonts w:asciiTheme="minorHAnsi" w:hAnsiTheme="minorHAnsi" w:cstheme="minorHAnsi"/>
          <w:sz w:val="22"/>
          <w:szCs w:val="22"/>
        </w:rPr>
      </w:pPr>
    </w:p>
    <w:p w14:paraId="4FB92199"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During this phase, GEF IW:LEARN will identify appropriate partners and/or regional institutions/</w:t>
      </w:r>
      <w:proofErr w:type="spellStart"/>
      <w:r>
        <w:rPr>
          <w:rFonts w:asciiTheme="minorHAnsi" w:hAnsiTheme="minorHAnsi" w:cstheme="minorHAnsi"/>
          <w:sz w:val="22"/>
          <w:szCs w:val="22"/>
        </w:rPr>
        <w:t>centres</w:t>
      </w:r>
      <w:proofErr w:type="spellEnd"/>
      <w:r>
        <w:rPr>
          <w:rFonts w:asciiTheme="minorHAnsi" w:hAnsiTheme="minorHAnsi" w:cstheme="minorHAnsi"/>
          <w:sz w:val="22"/>
          <w:szCs w:val="22"/>
        </w:rPr>
        <w:t xml:space="preserve"> of excellence to deliver thematic capacity-strengthening workshops and project/partner roundtables. Workshops will be conducted in collaboration with GEF IW projects, all of whom should have demonstrated experience in the selected topics and can effectively develop training modules for blended learning specifically for the GEF IW Portfolio context.  </w:t>
      </w:r>
    </w:p>
    <w:p w14:paraId="0C4ACCBE" w14:textId="77777777" w:rsidR="0032322D" w:rsidRDefault="0032322D" w:rsidP="0032322D">
      <w:pPr>
        <w:jc w:val="both"/>
        <w:rPr>
          <w:rFonts w:asciiTheme="minorHAnsi" w:hAnsiTheme="minorHAnsi" w:cstheme="minorHAnsi"/>
          <w:sz w:val="22"/>
          <w:szCs w:val="22"/>
        </w:rPr>
      </w:pPr>
    </w:p>
    <w:p w14:paraId="2C9D468D"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According to the IW project portfolio surveys conducted from 2018-2020, the GEF IW portfolio requested training on topics such as Water Conflict Prevention and Management, Nature Based Solutions, Project Communication, Data and Information Management, and TDA-SAP Process. The selection of c the cross-cutting topics with benefits to both the freshwater and marine projects of the International Waters portfolio) were selected for training in this phase of the project (see Activity 1.2.1). In addition, the topics such as Project Communications, Mainstreaming Blue Economy, as well as Financing the Implementation of the SAP and Attracting Investment will be addressed in Component 2, Component 4 and Component 5 respectively.  </w:t>
      </w:r>
    </w:p>
    <w:p w14:paraId="28A86B89" w14:textId="77777777" w:rsidR="0032322D" w:rsidRDefault="0032322D" w:rsidP="0032322D">
      <w:pPr>
        <w:jc w:val="both"/>
        <w:rPr>
          <w:rFonts w:asciiTheme="minorHAnsi" w:hAnsiTheme="minorHAnsi" w:cstheme="minorHAnsi"/>
          <w:sz w:val="22"/>
          <w:szCs w:val="22"/>
        </w:rPr>
      </w:pPr>
    </w:p>
    <w:p w14:paraId="60323837" w14:textId="77777777" w:rsidR="0032322D" w:rsidRDefault="0032322D" w:rsidP="0032322D">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During the project implementation, the specific nature of these training workshops and the final list of training themes will be determined through the development of a training strategy to ensure the uniform quality of the capacity development delivered through GEF IW:LEARN and to improve monitoring and evaluation of the activity. Drawing on experience from the previous phases of the GEF LME:LEARN project, the development of a training strategy will not only influence the quality of the training products developed, but ensure that the content is relevant to the focal area and could be appropriately adapted to its jargon. </w:t>
      </w:r>
    </w:p>
    <w:p w14:paraId="01A380D5" w14:textId="77777777" w:rsidR="0032322D" w:rsidRDefault="0032322D" w:rsidP="0032322D">
      <w:pPr>
        <w:jc w:val="both"/>
        <w:rPr>
          <w:rFonts w:asciiTheme="minorHAnsi" w:hAnsiTheme="minorHAnsi" w:cstheme="minorHAnsi"/>
          <w:sz w:val="22"/>
          <w:szCs w:val="22"/>
        </w:rPr>
      </w:pPr>
    </w:p>
    <w:p w14:paraId="78921F9A"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This sub-component has the following objectives:</w:t>
      </w:r>
    </w:p>
    <w:p w14:paraId="18D347F1" w14:textId="77777777" w:rsidR="0032322D" w:rsidRDefault="0032322D" w:rsidP="0032322D">
      <w:pPr>
        <w:jc w:val="both"/>
        <w:rPr>
          <w:rFonts w:asciiTheme="minorHAnsi" w:hAnsiTheme="minorHAnsi" w:cstheme="minorHAnsi"/>
          <w:sz w:val="22"/>
          <w:szCs w:val="22"/>
        </w:rPr>
      </w:pPr>
    </w:p>
    <w:p w14:paraId="7C7BA444" w14:textId="77777777" w:rsidR="0032322D" w:rsidRDefault="0032322D" w:rsidP="0032322D">
      <w:pPr>
        <w:numPr>
          <w:ilvl w:val="0"/>
          <w:numId w:val="11"/>
        </w:numPr>
        <w:jc w:val="both"/>
        <w:rPr>
          <w:rFonts w:asciiTheme="minorHAnsi" w:hAnsiTheme="minorHAnsi" w:cstheme="minorHAnsi"/>
          <w:color w:val="000000"/>
          <w:sz w:val="22"/>
          <w:szCs w:val="22"/>
        </w:rPr>
      </w:pPr>
      <w:r>
        <w:rPr>
          <w:rFonts w:asciiTheme="minorHAnsi" w:hAnsiTheme="minorHAnsi" w:cstheme="minorHAnsi"/>
          <w:color w:val="000000"/>
          <w:sz w:val="22"/>
          <w:szCs w:val="22"/>
        </w:rPr>
        <w:t>Strengthen the capacity of GEF project coordination units and their partner institutions in priority thematic areas, either globally or regionally;</w:t>
      </w:r>
      <w:sdt>
        <w:sdtPr>
          <w:rPr>
            <w:rFonts w:asciiTheme="minorHAnsi" w:hAnsiTheme="minorHAnsi" w:cstheme="minorHAnsi"/>
          </w:rPr>
          <w:tag w:val="goog_rdk_228"/>
          <w:id w:val="1474940330"/>
        </w:sdtPr>
        <w:sdtEndPr/>
        <w:sdtContent>
          <w:r>
            <w:rPr>
              <w:rFonts w:asciiTheme="minorHAnsi" w:hAnsiTheme="minorHAnsi" w:cstheme="minorHAnsi"/>
              <w:color w:val="000000"/>
              <w:sz w:val="22"/>
              <w:szCs w:val="22"/>
            </w:rPr>
            <w:t xml:space="preserve"> and</w:t>
          </w:r>
        </w:sdtContent>
      </w:sdt>
    </w:p>
    <w:p w14:paraId="2E59BBFE" w14:textId="77777777" w:rsidR="0032322D" w:rsidRDefault="0032322D" w:rsidP="0032322D">
      <w:pPr>
        <w:numPr>
          <w:ilvl w:val="0"/>
          <w:numId w:val="11"/>
        </w:numPr>
        <w:jc w:val="both"/>
        <w:rPr>
          <w:rFonts w:asciiTheme="minorHAnsi" w:hAnsiTheme="minorHAnsi" w:cstheme="minorHAnsi"/>
          <w:color w:val="000000"/>
          <w:sz w:val="22"/>
          <w:szCs w:val="22"/>
        </w:rPr>
      </w:pPr>
      <w:r>
        <w:rPr>
          <w:rFonts w:asciiTheme="minorHAnsi" w:hAnsiTheme="minorHAnsi" w:cstheme="minorHAnsi"/>
          <w:color w:val="000000"/>
          <w:sz w:val="22"/>
          <w:szCs w:val="22"/>
        </w:rPr>
        <w:t>Enhance regional coordination among GEF IW projects through face to face networking</w:t>
      </w:r>
      <w:sdt>
        <w:sdtPr>
          <w:rPr>
            <w:rFonts w:asciiTheme="minorHAnsi" w:hAnsiTheme="minorHAnsi" w:cstheme="minorHAnsi"/>
          </w:rPr>
          <w:tag w:val="goog_rdk_229"/>
          <w:id w:val="1254319723"/>
        </w:sdtPr>
        <w:sdtEndPr/>
        <w:sdtContent>
          <w:r>
            <w:rPr>
              <w:rFonts w:asciiTheme="minorHAnsi" w:hAnsiTheme="minorHAnsi" w:cstheme="minorHAnsi"/>
              <w:color w:val="000000"/>
              <w:sz w:val="22"/>
              <w:szCs w:val="22"/>
            </w:rPr>
            <w:t>.</w:t>
          </w:r>
        </w:sdtContent>
      </w:sdt>
    </w:p>
    <w:p w14:paraId="438DB958" w14:textId="77777777" w:rsidR="0032322D" w:rsidRDefault="0032322D" w:rsidP="0032322D">
      <w:pPr>
        <w:ind w:left="720"/>
        <w:jc w:val="both"/>
        <w:rPr>
          <w:rFonts w:asciiTheme="minorHAnsi" w:hAnsiTheme="minorHAnsi" w:cstheme="minorHAnsi"/>
          <w:sz w:val="22"/>
          <w:szCs w:val="22"/>
        </w:rPr>
      </w:pPr>
    </w:p>
    <w:p w14:paraId="2F0C360B"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work with partners and GEF IW projects to design effective training modules relevant to the context and needs of the GEF IW portfolio. It will be responsible for implementing the training strategy in collaboration with the module developers, to help coordinate logistics, ensure sustained follow-up, monitor the impacts and share the learning with the wider-portfolio. </w:t>
      </w:r>
    </w:p>
    <w:p w14:paraId="02820C02" w14:textId="77777777" w:rsidR="0032322D" w:rsidRDefault="0032322D" w:rsidP="0032322D">
      <w:pPr>
        <w:jc w:val="both"/>
        <w:rPr>
          <w:rFonts w:asciiTheme="minorHAnsi" w:hAnsiTheme="minorHAnsi" w:cstheme="minorHAnsi"/>
          <w:color w:val="000000"/>
          <w:sz w:val="22"/>
          <w:szCs w:val="22"/>
        </w:rPr>
      </w:pPr>
    </w:p>
    <w:p w14:paraId="52134B31" w14:textId="77777777" w:rsidR="0032322D" w:rsidRDefault="0032322D" w:rsidP="0032322D">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GEF IW:LEARN funding will allow for additional GEF IW projects (i.e. staff of these projects) to attend meetings where they would not normally attend through only an incremental cost. GEF funds will be used to support travel costs to meetings and basic meeting costs. The GEF IW projects under implementation will cost share their attendance </w:t>
      </w:r>
      <w:proofErr w:type="spellStart"/>
      <w:r>
        <w:rPr>
          <w:rFonts w:asciiTheme="minorHAnsi" w:hAnsiTheme="minorHAnsi" w:cstheme="minorHAnsi"/>
          <w:color w:val="000000"/>
          <w:sz w:val="22"/>
          <w:szCs w:val="22"/>
        </w:rPr>
        <w:t>utilising</w:t>
      </w:r>
      <w:proofErr w:type="spellEnd"/>
      <w:r>
        <w:rPr>
          <w:rFonts w:asciiTheme="minorHAnsi" w:hAnsiTheme="minorHAnsi" w:cstheme="minorHAnsi"/>
          <w:color w:val="000000"/>
          <w:sz w:val="22"/>
          <w:szCs w:val="22"/>
        </w:rPr>
        <w:t xml:space="preserve"> the 1% of their GEF grant, which is allocated in their project documents to supporting IW:LEARN activities. </w:t>
      </w:r>
    </w:p>
    <w:p w14:paraId="493885EC" w14:textId="77777777" w:rsidR="0032322D" w:rsidRDefault="0032322D" w:rsidP="0032322D">
      <w:pPr>
        <w:jc w:val="both"/>
        <w:rPr>
          <w:rFonts w:asciiTheme="minorHAnsi" w:hAnsiTheme="minorHAnsi" w:cstheme="minorHAnsi"/>
          <w:color w:val="000000"/>
          <w:sz w:val="22"/>
          <w:szCs w:val="22"/>
        </w:rPr>
      </w:pPr>
    </w:p>
    <w:p w14:paraId="18768787" w14:textId="77777777" w:rsidR="0032322D" w:rsidRDefault="0032322D" w:rsidP="0032322D">
      <w:pPr>
        <w:jc w:val="both"/>
        <w:rPr>
          <w:rFonts w:asciiTheme="minorHAnsi" w:hAnsiTheme="minorHAnsi" w:cstheme="minorHAnsi"/>
          <w:sz w:val="22"/>
          <w:szCs w:val="22"/>
        </w:rPr>
      </w:pPr>
      <w:r>
        <w:rPr>
          <w:rFonts w:asciiTheme="minorHAnsi" w:hAnsiTheme="minorHAnsi" w:cstheme="minorHAnsi"/>
          <w:sz w:val="22"/>
          <w:szCs w:val="22"/>
        </w:rPr>
        <w:t>Sub-component 1.2 is comprised of three activities:</w:t>
      </w:r>
    </w:p>
    <w:p w14:paraId="163A02E3" w14:textId="77777777" w:rsidR="0032322D" w:rsidRDefault="0032322D" w:rsidP="0032322D">
      <w:pPr>
        <w:jc w:val="both"/>
        <w:rPr>
          <w:rFonts w:asciiTheme="minorHAnsi" w:hAnsiTheme="minorHAnsi" w:cstheme="minorHAnsi"/>
          <w:sz w:val="22"/>
          <w:szCs w:val="22"/>
        </w:rPr>
      </w:pPr>
    </w:p>
    <w:p w14:paraId="4A8D84D2" w14:textId="77777777" w:rsidR="0032322D" w:rsidRDefault="0032322D" w:rsidP="0032322D">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1.2.1: Develop training strategy to address GEF IW portfolio learning gaps;</w:t>
      </w:r>
    </w:p>
    <w:p w14:paraId="322D5BA2" w14:textId="77777777" w:rsidR="0032322D" w:rsidRDefault="0032322D" w:rsidP="0032322D">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1.2.2: Appropriate existing materials and new materials converted into training modules for blended learning;</w:t>
      </w:r>
      <w:sdt>
        <w:sdtPr>
          <w:rPr>
            <w:rFonts w:asciiTheme="minorHAnsi" w:hAnsiTheme="minorHAnsi" w:cstheme="minorHAnsi"/>
          </w:rPr>
          <w:tag w:val="goog_rdk_230"/>
          <w:id w:val="1674996712"/>
        </w:sdtPr>
        <w:sdtEndPr/>
        <w:sdtContent>
          <w:r>
            <w:rPr>
              <w:rFonts w:asciiTheme="minorHAnsi" w:hAnsiTheme="minorHAnsi" w:cstheme="minorHAnsi"/>
              <w:sz w:val="22"/>
              <w:szCs w:val="22"/>
            </w:rPr>
            <w:t xml:space="preserve"> and</w:t>
          </w:r>
        </w:sdtContent>
      </w:sdt>
    </w:p>
    <w:p w14:paraId="11212C8C" w14:textId="77777777" w:rsidR="0032322D" w:rsidRDefault="0032322D" w:rsidP="0032322D">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1.2.3: Work with partners and/or GEF IW projects to organize a series of global and regional trainings</w:t>
      </w:r>
      <w:sdt>
        <w:sdtPr>
          <w:rPr>
            <w:rFonts w:asciiTheme="minorHAnsi" w:hAnsiTheme="minorHAnsi" w:cstheme="minorHAnsi"/>
          </w:rPr>
          <w:tag w:val="goog_rdk_231"/>
          <w:id w:val="-198932074"/>
        </w:sdtPr>
        <w:sdtEndPr/>
        <w:sdtContent>
          <w:r>
            <w:rPr>
              <w:rFonts w:asciiTheme="minorHAnsi" w:hAnsiTheme="minorHAnsi" w:cstheme="minorHAnsi"/>
              <w:sz w:val="22"/>
              <w:szCs w:val="22"/>
            </w:rPr>
            <w:t>.</w:t>
          </w:r>
        </w:sdtContent>
      </w:sdt>
    </w:p>
    <w:p w14:paraId="0871F110" w14:textId="78B51824" w:rsidR="0032322D" w:rsidRPr="00F439E2" w:rsidRDefault="0032322D" w:rsidP="00F439E2">
      <w:pPr>
        <w:spacing w:before="100" w:beforeAutospacing="1" w:after="100" w:afterAutospacing="1"/>
        <w:jc w:val="both"/>
        <w:rPr>
          <w:rFonts w:cstheme="minorHAnsi"/>
        </w:rPr>
      </w:pPr>
      <w:r>
        <w:rPr>
          <w:rFonts w:asciiTheme="minorHAnsi" w:hAnsiTheme="minorHAnsi" w:cstheme="minorHAnsi"/>
          <w:sz w:val="22"/>
          <w:szCs w:val="22"/>
        </w:rPr>
        <w:t>Short-term constraints on travel and group gatherings are being considered in all activities of this sub-component, and on-line or remote learning and communication options will be used where necessary, adjusting some of the equipment related costs to ensure equal opportunity to all beneficiaries</w:t>
      </w:r>
      <w:r>
        <w:rPr>
          <w:rFonts w:cstheme="minorHAnsi"/>
        </w:rPr>
        <w:t xml:space="preserve">. </w:t>
      </w:r>
    </w:p>
    <w:p w14:paraId="21091D38" w14:textId="6AAF8944" w:rsidR="0032322D" w:rsidRDefault="00412DC1" w:rsidP="00412DC1">
      <w:pPr>
        <w:pStyle w:val="Heading5"/>
        <w:rPr>
          <w:rFonts w:asciiTheme="minorHAnsi" w:hAnsiTheme="minorHAnsi" w:cstheme="minorHAnsi"/>
          <w:b/>
          <w:bCs/>
          <w:color w:val="000000" w:themeColor="text1"/>
          <w:sz w:val="22"/>
          <w:szCs w:val="22"/>
        </w:rPr>
      </w:pPr>
      <w:r w:rsidRPr="00412DC1">
        <w:rPr>
          <w:rFonts w:asciiTheme="minorHAnsi" w:hAnsiTheme="minorHAnsi" w:cstheme="minorHAnsi"/>
          <w:b/>
          <w:bCs/>
          <w:color w:val="000000" w:themeColor="text1"/>
          <w:sz w:val="22"/>
          <w:szCs w:val="22"/>
        </w:rPr>
        <w:t>Activity 1.2.1: Develop training strategy to address GEF IW portfolio learning gaps</w:t>
      </w:r>
    </w:p>
    <w:p w14:paraId="377D7CC0"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Following an assessment of the GEF IW portfolio learning gaps and in close consultation with a Focus Group comprised of GEF IW Project Coordinators, the following cross-cutting topics are to be delivered under Component 1:</w:t>
      </w:r>
    </w:p>
    <w:p w14:paraId="6427945C" w14:textId="77777777" w:rsidR="00412DC1" w:rsidRDefault="00412DC1" w:rsidP="00412DC1">
      <w:pPr>
        <w:jc w:val="both"/>
        <w:rPr>
          <w:rFonts w:asciiTheme="minorHAnsi" w:hAnsiTheme="minorHAnsi" w:cstheme="minorHAnsi"/>
          <w:sz w:val="22"/>
          <w:szCs w:val="22"/>
        </w:rPr>
      </w:pPr>
    </w:p>
    <w:p w14:paraId="5D73799E" w14:textId="77777777" w:rsidR="00412DC1" w:rsidRDefault="00412DC1" w:rsidP="00412DC1">
      <w:pPr>
        <w:numPr>
          <w:ilvl w:val="0"/>
          <w:numId w:val="12"/>
        </w:numPr>
        <w:jc w:val="both"/>
        <w:rPr>
          <w:rFonts w:asciiTheme="minorHAnsi" w:hAnsiTheme="minorHAnsi" w:cstheme="minorHAnsi"/>
          <w:color w:val="000000"/>
          <w:sz w:val="22"/>
          <w:szCs w:val="22"/>
        </w:rPr>
      </w:pPr>
      <w:r>
        <w:rPr>
          <w:rFonts w:asciiTheme="minorHAnsi" w:hAnsiTheme="minorHAnsi" w:cstheme="minorHAnsi"/>
          <w:color w:val="000000"/>
          <w:sz w:val="22"/>
          <w:szCs w:val="22"/>
        </w:rPr>
        <w:t>Water conflict prevention and management;</w:t>
      </w:r>
    </w:p>
    <w:p w14:paraId="320D8754" w14:textId="77777777" w:rsidR="00412DC1" w:rsidRDefault="00412DC1" w:rsidP="00412DC1">
      <w:pPr>
        <w:numPr>
          <w:ilvl w:val="0"/>
          <w:numId w:val="12"/>
        </w:numPr>
        <w:jc w:val="both"/>
        <w:rPr>
          <w:rFonts w:asciiTheme="minorHAnsi" w:hAnsiTheme="minorHAnsi" w:cstheme="minorHAnsi"/>
          <w:color w:val="000000"/>
          <w:sz w:val="22"/>
          <w:szCs w:val="22"/>
        </w:rPr>
      </w:pPr>
      <w:r>
        <w:rPr>
          <w:rFonts w:asciiTheme="minorHAnsi" w:hAnsiTheme="minorHAnsi" w:cstheme="minorHAnsi"/>
          <w:color w:val="000000"/>
          <w:sz w:val="22"/>
          <w:szCs w:val="22"/>
        </w:rPr>
        <w:t>Modelling and satellite imagery analysis in support of the TDA-SAP process as well as SDG 6 and SDG 14 reporting;</w:t>
      </w:r>
    </w:p>
    <w:p w14:paraId="4C0D6EB1" w14:textId="77777777" w:rsidR="00412DC1" w:rsidRDefault="00412DC1" w:rsidP="00412DC1">
      <w:pPr>
        <w:numPr>
          <w:ilvl w:val="0"/>
          <w:numId w:val="12"/>
        </w:numPr>
        <w:jc w:val="both"/>
        <w:rPr>
          <w:rFonts w:asciiTheme="minorHAnsi" w:hAnsiTheme="minorHAnsi" w:cstheme="minorHAnsi"/>
          <w:color w:val="000000"/>
          <w:sz w:val="22"/>
          <w:szCs w:val="22"/>
        </w:rPr>
      </w:pPr>
      <w:r>
        <w:rPr>
          <w:rFonts w:asciiTheme="minorHAnsi" w:hAnsiTheme="minorHAnsi" w:cstheme="minorHAnsi"/>
          <w:color w:val="000000"/>
          <w:sz w:val="22"/>
          <w:szCs w:val="22"/>
        </w:rPr>
        <w:t>Project communication with a focus on science to policy transfer;</w:t>
      </w:r>
    </w:p>
    <w:p w14:paraId="3A5C5996" w14:textId="77777777" w:rsidR="00412DC1" w:rsidRDefault="00412DC1" w:rsidP="00412DC1">
      <w:pPr>
        <w:numPr>
          <w:ilvl w:val="0"/>
          <w:numId w:val="12"/>
        </w:numPr>
        <w:jc w:val="both"/>
        <w:rPr>
          <w:rFonts w:asciiTheme="minorHAnsi" w:hAnsiTheme="minorHAnsi" w:cstheme="minorHAnsi"/>
          <w:color w:val="000000"/>
          <w:sz w:val="22"/>
          <w:szCs w:val="22"/>
        </w:rPr>
      </w:pPr>
      <w:r>
        <w:rPr>
          <w:rFonts w:asciiTheme="minorHAnsi" w:hAnsiTheme="minorHAnsi" w:cstheme="minorHAnsi"/>
          <w:color w:val="000000"/>
          <w:sz w:val="22"/>
          <w:szCs w:val="22"/>
        </w:rPr>
        <w:t>Economic valuation (online course);</w:t>
      </w:r>
      <w:sdt>
        <w:sdtPr>
          <w:rPr>
            <w:rFonts w:asciiTheme="minorHAnsi" w:hAnsiTheme="minorHAnsi" w:cstheme="minorHAnsi"/>
          </w:rPr>
          <w:tag w:val="goog_rdk_232"/>
          <w:id w:val="-1639797830"/>
        </w:sdtPr>
        <w:sdtEndPr/>
        <w:sdtContent>
          <w:r>
            <w:rPr>
              <w:rFonts w:asciiTheme="minorHAnsi" w:hAnsiTheme="minorHAnsi" w:cstheme="minorHAnsi"/>
              <w:color w:val="000000"/>
              <w:sz w:val="22"/>
              <w:szCs w:val="22"/>
            </w:rPr>
            <w:t xml:space="preserve"> and</w:t>
          </w:r>
        </w:sdtContent>
      </w:sdt>
    </w:p>
    <w:p w14:paraId="03E5AECE" w14:textId="77777777" w:rsidR="00412DC1" w:rsidRDefault="00412DC1" w:rsidP="00412DC1">
      <w:pPr>
        <w:numPr>
          <w:ilvl w:val="0"/>
          <w:numId w:val="12"/>
        </w:numPr>
        <w:jc w:val="both"/>
        <w:rPr>
          <w:rFonts w:asciiTheme="minorHAnsi" w:hAnsiTheme="minorHAnsi" w:cstheme="minorHAnsi"/>
          <w:color w:val="000000"/>
          <w:sz w:val="22"/>
          <w:szCs w:val="22"/>
        </w:rPr>
      </w:pPr>
      <w:r>
        <w:rPr>
          <w:rFonts w:asciiTheme="minorHAnsi" w:hAnsiTheme="minorHAnsi" w:cstheme="minorHAnsi"/>
          <w:color w:val="000000"/>
          <w:sz w:val="22"/>
          <w:szCs w:val="22"/>
        </w:rPr>
        <w:t>Data and information management (DIM), including legal asp</w:t>
      </w:r>
      <w:r>
        <w:rPr>
          <w:rFonts w:asciiTheme="minorHAnsi" w:hAnsiTheme="minorHAnsi" w:cstheme="minorHAnsi"/>
          <w:sz w:val="22"/>
          <w:szCs w:val="22"/>
        </w:rPr>
        <w:t>ects of data sharing and best practices</w:t>
      </w:r>
      <w:r>
        <w:rPr>
          <w:rFonts w:asciiTheme="minorHAnsi" w:hAnsiTheme="minorHAnsi" w:cstheme="minorHAnsi"/>
          <w:color w:val="000000"/>
          <w:sz w:val="22"/>
          <w:szCs w:val="22"/>
        </w:rPr>
        <w:t>.</w:t>
      </w:r>
    </w:p>
    <w:p w14:paraId="1D6FCA1D" w14:textId="77777777" w:rsidR="00412DC1" w:rsidRDefault="00412DC1" w:rsidP="00412DC1">
      <w:pPr>
        <w:jc w:val="both"/>
        <w:rPr>
          <w:rFonts w:asciiTheme="minorHAnsi" w:hAnsiTheme="minorHAnsi" w:cstheme="minorHAnsi"/>
          <w:sz w:val="22"/>
          <w:szCs w:val="22"/>
        </w:rPr>
      </w:pPr>
    </w:p>
    <w:p w14:paraId="64A973A1"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The role of the PCU will be to lead the development of a training strategy, in cooperation with partners and relevant GEF IW projects, which:</w:t>
      </w:r>
    </w:p>
    <w:p w14:paraId="53C5D110" w14:textId="77777777" w:rsidR="00412DC1" w:rsidRDefault="00412DC1" w:rsidP="00412DC1">
      <w:pPr>
        <w:jc w:val="both"/>
        <w:rPr>
          <w:rFonts w:asciiTheme="minorHAnsi" w:hAnsiTheme="minorHAnsi" w:cstheme="minorHAnsi"/>
          <w:sz w:val="22"/>
          <w:szCs w:val="22"/>
        </w:rPr>
      </w:pPr>
    </w:p>
    <w:p w14:paraId="66F22A07"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Creates the outline of the training modules on the selected topics to ensure they are interactive and include case studies that can be easily applied; </w:t>
      </w:r>
    </w:p>
    <w:p w14:paraId="734338DD"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Assesses the true capacity of partners and GEF IW projects and other resources to ensure the knowledge and experience can be applied to the entire GEF IW Portfolio; </w:t>
      </w:r>
    </w:p>
    <w:p w14:paraId="74E96CD2" w14:textId="77777777" w:rsidR="00412DC1" w:rsidRDefault="00412DC1" w:rsidP="00412DC1">
      <w:pPr>
        <w:numPr>
          <w:ilvl w:val="0"/>
          <w:numId w:val="13"/>
        </w:num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Maximises</w:t>
      </w:r>
      <w:proofErr w:type="spellEnd"/>
      <w:r>
        <w:rPr>
          <w:rFonts w:asciiTheme="minorHAnsi" w:hAnsiTheme="minorHAnsi" w:cstheme="minorHAnsi"/>
          <w:color w:val="000000"/>
          <w:sz w:val="22"/>
          <w:szCs w:val="22"/>
        </w:rPr>
        <w:t xml:space="preserve"> use of available training material developed in previous phases of GEF IW:LEARN and GEF LME:LEARN;</w:t>
      </w:r>
    </w:p>
    <w:p w14:paraId="3A009BEA"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Ensures the inclusion of GEF IW project experience into the training material and where possible, makes use of/adapts training courses developed by the GEF IW portfolio;</w:t>
      </w:r>
    </w:p>
    <w:p w14:paraId="446A41F0"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Identifies opportunities and constraints to ensure that the training program is efficient and effective; </w:t>
      </w:r>
    </w:p>
    <w:p w14:paraId="3B707D8A"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Emphasizes the use of online learning and a blended learning approach that can be implemented to support levelling up of GEF IW project staff and their beneficiaries and continues to serve the GEF IW portfolio beyond the life of the project phase; </w:t>
      </w:r>
    </w:p>
    <w:p w14:paraId="658CD971"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Ensures that the training program encourages peer-to-peer learning and assists the GEF IW project staff in maintaining the momentum/learning after the experience, with repeated interactions over the duration of the GEF IW:LEARN project; </w:t>
      </w:r>
      <w:sdt>
        <w:sdtPr>
          <w:rPr>
            <w:rFonts w:asciiTheme="minorHAnsi" w:hAnsiTheme="minorHAnsi" w:cstheme="minorHAnsi"/>
          </w:rPr>
          <w:tag w:val="goog_rdk_233"/>
          <w:id w:val="1624192730"/>
        </w:sdtPr>
        <w:sdtEndPr/>
        <w:sdtContent>
          <w:r>
            <w:rPr>
              <w:rFonts w:asciiTheme="minorHAnsi" w:hAnsiTheme="minorHAnsi" w:cstheme="minorHAnsi"/>
              <w:color w:val="000000"/>
              <w:sz w:val="22"/>
              <w:szCs w:val="22"/>
            </w:rPr>
            <w:t>and</w:t>
          </w:r>
        </w:sdtContent>
      </w:sdt>
    </w:p>
    <w:p w14:paraId="677EBABC" w14:textId="77777777" w:rsidR="00412DC1" w:rsidRDefault="00412DC1" w:rsidP="00412DC1">
      <w:pPr>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Ensures that a mechanism for monitoring the impact of the training and sharing the experience with the wider IW portfolio is put in place.</w:t>
      </w:r>
    </w:p>
    <w:p w14:paraId="03CEB3B7" w14:textId="77777777" w:rsidR="00412DC1" w:rsidRDefault="00412DC1" w:rsidP="00412DC1">
      <w:pPr>
        <w:jc w:val="both"/>
        <w:rPr>
          <w:rFonts w:asciiTheme="minorHAnsi" w:hAnsiTheme="minorHAnsi" w:cstheme="minorHAnsi"/>
          <w:sz w:val="22"/>
          <w:szCs w:val="22"/>
        </w:rPr>
      </w:pPr>
    </w:p>
    <w:p w14:paraId="2BD118CC"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The training strategy will also incorporate training activities from other Components to streamline GEF IW:LEARN’s delivery and the following sub-components will be specifically incorporated: </w:t>
      </w:r>
    </w:p>
    <w:p w14:paraId="0FB10F1F" w14:textId="77777777" w:rsidR="00412DC1" w:rsidRDefault="00412DC1" w:rsidP="00412DC1">
      <w:pPr>
        <w:jc w:val="both"/>
        <w:rPr>
          <w:rFonts w:asciiTheme="minorHAnsi" w:hAnsiTheme="minorHAnsi" w:cstheme="minorHAnsi"/>
          <w:sz w:val="22"/>
          <w:szCs w:val="22"/>
        </w:rPr>
      </w:pPr>
    </w:p>
    <w:p w14:paraId="169DD6E8" w14:textId="77777777" w:rsidR="00412DC1" w:rsidRDefault="00412DC1" w:rsidP="00412DC1">
      <w:pPr>
        <w:numPr>
          <w:ilvl w:val="0"/>
          <w:numId w:val="14"/>
        </w:numPr>
        <w:jc w:val="both"/>
        <w:rPr>
          <w:rFonts w:asciiTheme="minorHAnsi" w:hAnsiTheme="minorHAnsi" w:cstheme="minorHAnsi"/>
          <w:sz w:val="22"/>
          <w:szCs w:val="22"/>
        </w:rPr>
      </w:pPr>
      <w:r>
        <w:rPr>
          <w:rFonts w:asciiTheme="minorHAnsi" w:hAnsiTheme="minorHAnsi" w:cstheme="minorHAnsi"/>
          <w:sz w:val="22"/>
          <w:szCs w:val="22"/>
        </w:rPr>
        <w:t>3.3. Training courses and other capacity-strengthening guidance developed on cross-cutting topics of relevance to SIDS;</w:t>
      </w:r>
    </w:p>
    <w:p w14:paraId="404A3010" w14:textId="77777777" w:rsidR="00412DC1" w:rsidRDefault="00412DC1" w:rsidP="00412DC1">
      <w:pPr>
        <w:numPr>
          <w:ilvl w:val="0"/>
          <w:numId w:val="14"/>
        </w:numPr>
        <w:jc w:val="both"/>
        <w:rPr>
          <w:rFonts w:asciiTheme="minorHAnsi" w:hAnsiTheme="minorHAnsi" w:cstheme="minorHAnsi"/>
          <w:sz w:val="22"/>
          <w:szCs w:val="22"/>
        </w:rPr>
      </w:pPr>
      <w:r>
        <w:rPr>
          <w:rFonts w:asciiTheme="minorHAnsi" w:hAnsiTheme="minorHAnsi" w:cstheme="minorHAnsi"/>
          <w:sz w:val="22"/>
          <w:szCs w:val="22"/>
        </w:rPr>
        <w:t>4.3. Training and capacity building activities in support of marine spatial planning as a tool for strengthening blue economy opportunities; and</w:t>
      </w:r>
    </w:p>
    <w:p w14:paraId="7922AEF9" w14:textId="77777777" w:rsidR="00412DC1" w:rsidRDefault="00412DC1" w:rsidP="00412DC1">
      <w:pPr>
        <w:numPr>
          <w:ilvl w:val="0"/>
          <w:numId w:val="14"/>
        </w:numPr>
        <w:jc w:val="both"/>
        <w:rPr>
          <w:rFonts w:asciiTheme="minorHAnsi" w:hAnsiTheme="minorHAnsi" w:cstheme="minorHAnsi"/>
          <w:sz w:val="22"/>
          <w:szCs w:val="22"/>
        </w:rPr>
      </w:pPr>
      <w:r>
        <w:rPr>
          <w:rFonts w:asciiTheme="minorHAnsi" w:hAnsiTheme="minorHAnsi" w:cstheme="minorHAnsi"/>
          <w:sz w:val="22"/>
          <w:szCs w:val="22"/>
        </w:rPr>
        <w:t>5.3. Training support to portfolio on attracting sustainable financing to address SAP investment priorities</w:t>
      </w:r>
      <w:sdt>
        <w:sdtPr>
          <w:rPr>
            <w:rFonts w:asciiTheme="minorHAnsi" w:hAnsiTheme="minorHAnsi" w:cstheme="minorHAnsi"/>
          </w:rPr>
          <w:tag w:val="goog_rdk_234"/>
          <w:id w:val="-1538196600"/>
        </w:sdtPr>
        <w:sdtEndPr/>
        <w:sdtContent>
          <w:r>
            <w:rPr>
              <w:rFonts w:asciiTheme="minorHAnsi" w:hAnsiTheme="minorHAnsi" w:cstheme="minorHAnsi"/>
              <w:sz w:val="22"/>
              <w:szCs w:val="22"/>
            </w:rPr>
            <w:t>.</w:t>
          </w:r>
        </w:sdtContent>
      </w:sdt>
      <w:sdt>
        <w:sdtPr>
          <w:rPr>
            <w:rFonts w:asciiTheme="minorHAnsi" w:hAnsiTheme="minorHAnsi" w:cstheme="minorHAnsi"/>
          </w:rPr>
          <w:tag w:val="goog_rdk_235"/>
          <w:id w:val="218326638"/>
          <w:showingPlcHdr/>
        </w:sdtPr>
        <w:sdtEndPr/>
        <w:sdtContent>
          <w:r>
            <w:rPr>
              <w:rFonts w:asciiTheme="minorHAnsi" w:hAnsiTheme="minorHAnsi" w:cstheme="minorHAnsi"/>
            </w:rPr>
            <w:t xml:space="preserve">     </w:t>
          </w:r>
        </w:sdtContent>
      </w:sdt>
    </w:p>
    <w:p w14:paraId="429F8C81" w14:textId="77777777" w:rsidR="00412DC1" w:rsidRDefault="00412DC1" w:rsidP="00412DC1">
      <w:pPr>
        <w:jc w:val="both"/>
        <w:rPr>
          <w:rFonts w:asciiTheme="minorHAnsi" w:hAnsiTheme="minorHAnsi" w:cstheme="minorHAnsi"/>
          <w:sz w:val="22"/>
          <w:szCs w:val="22"/>
        </w:rPr>
      </w:pPr>
    </w:p>
    <w:p w14:paraId="6B31F527" w14:textId="15BA11CB" w:rsidR="00412DC1" w:rsidRDefault="00412DC1" w:rsidP="00412DC1">
      <w:pPr>
        <w:rPr>
          <w:rFonts w:asciiTheme="minorHAnsi" w:hAnsiTheme="minorHAnsi" w:cstheme="minorHAnsi"/>
          <w:sz w:val="22"/>
          <w:szCs w:val="22"/>
        </w:rPr>
      </w:pPr>
      <w:r>
        <w:rPr>
          <w:rFonts w:asciiTheme="minorHAnsi" w:hAnsiTheme="minorHAnsi" w:cstheme="minorHAnsi"/>
          <w:sz w:val="22"/>
          <w:szCs w:val="22"/>
        </w:rPr>
        <w:t>This activity will be driven by in-kind support of the GEF IW:LEARN partners and technical input provided by the PCU.</w:t>
      </w:r>
    </w:p>
    <w:p w14:paraId="1E494F12" w14:textId="77777777" w:rsidR="00412DC1" w:rsidRPr="00412DC1" w:rsidRDefault="00412DC1" w:rsidP="00412DC1"/>
    <w:p w14:paraId="7D6B3376" w14:textId="0DF9DCEA" w:rsidR="00412DC1" w:rsidRDefault="00412DC1" w:rsidP="00412DC1">
      <w:pPr>
        <w:pStyle w:val="Heading5"/>
        <w:rPr>
          <w:rFonts w:asciiTheme="minorHAnsi" w:hAnsiTheme="minorHAnsi" w:cstheme="minorHAnsi"/>
          <w:b/>
          <w:bCs/>
          <w:color w:val="000000" w:themeColor="text1"/>
          <w:sz w:val="22"/>
          <w:szCs w:val="22"/>
        </w:rPr>
      </w:pPr>
      <w:bookmarkStart w:id="12" w:name="_Hlk114843310"/>
      <w:r w:rsidRPr="00412DC1">
        <w:rPr>
          <w:rFonts w:asciiTheme="minorHAnsi" w:hAnsiTheme="minorHAnsi" w:cstheme="minorHAnsi"/>
          <w:b/>
          <w:bCs/>
          <w:color w:val="000000" w:themeColor="text1"/>
          <w:sz w:val="22"/>
          <w:szCs w:val="22"/>
        </w:rPr>
        <w:t>Activity 1.2.2: Appropriate existing materials and new materials converted into training modules for blended learning</w:t>
      </w:r>
    </w:p>
    <w:bookmarkEnd w:id="12"/>
    <w:p w14:paraId="79B1A4D0"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Over the last 20 years, GEF IW:LEARN has developed a multitude of guidelines, manuals, toolkits and webinar materials which should be taken advantage of and </w:t>
      </w:r>
      <w:proofErr w:type="spellStart"/>
      <w:r>
        <w:rPr>
          <w:rFonts w:asciiTheme="minorHAnsi" w:hAnsiTheme="minorHAnsi" w:cstheme="minorHAnsi"/>
          <w:sz w:val="22"/>
          <w:szCs w:val="22"/>
        </w:rPr>
        <w:t>maximised</w:t>
      </w:r>
      <w:proofErr w:type="spellEnd"/>
      <w:r>
        <w:rPr>
          <w:rFonts w:asciiTheme="minorHAnsi" w:hAnsiTheme="minorHAnsi" w:cstheme="minorHAnsi"/>
          <w:sz w:val="22"/>
          <w:szCs w:val="22"/>
        </w:rPr>
        <w:t xml:space="preserve"> where appropriate. While some information may need to be updated and refreshed, the mentioned material serves as a solid starting point for the development of any future training module and is a guideline on how to adapt methodologies or models from outside the focal area into products that are of a standard befitting the IW Focal Area. This will not only enhance the dissemination of these products, but will also reduce the time and costs associated with the development of new materials/products. Furthermore, the portfolio of GEF IW projects is a magnificent source of knowledge and information, which must be included as the rule, and not the exception, to any training activity. Many of these projects themselves undertake capacity development activities and develop materials, presenting an opportunity to channel their experience into every IW:LEARN training module. Not only does this enable the sharing of best practices within the focal area, it enables GEF IW:LEARN to create a richer and more robust training experience for the IW portfolio by developing modules that are targeted to the context and needs of GEF IW and can easily be applied to support the impact of their work. </w:t>
      </w:r>
    </w:p>
    <w:p w14:paraId="2F0CB893" w14:textId="77777777" w:rsidR="00412DC1" w:rsidRDefault="00412DC1" w:rsidP="00412DC1">
      <w:pPr>
        <w:jc w:val="both"/>
        <w:rPr>
          <w:rFonts w:asciiTheme="minorHAnsi" w:hAnsiTheme="minorHAnsi" w:cstheme="minorHAnsi"/>
          <w:sz w:val="22"/>
          <w:szCs w:val="22"/>
        </w:rPr>
      </w:pPr>
    </w:p>
    <w:p w14:paraId="1611A05E"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The collation of appropriate existing materials and GEF IW project experiences will also serve sub-components 3.3, 4.3, and 5.3.  </w:t>
      </w:r>
    </w:p>
    <w:p w14:paraId="3D41FC22" w14:textId="77777777" w:rsidR="00412DC1" w:rsidRDefault="00412DC1" w:rsidP="00412DC1">
      <w:pPr>
        <w:jc w:val="both"/>
        <w:rPr>
          <w:rFonts w:asciiTheme="minorHAnsi" w:hAnsiTheme="minorHAnsi" w:cstheme="minorHAnsi"/>
          <w:sz w:val="22"/>
          <w:szCs w:val="22"/>
        </w:rPr>
      </w:pPr>
    </w:p>
    <w:p w14:paraId="277270DB"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All materials/modules/content developed for this activity will be branded and promoted as GEF IW:LEARN products. The development of the training material will also take into consideration the modalities of delivery, according to the preference of the GEF IW Portfolio as outlined in the Focus Group discussion:</w:t>
      </w:r>
    </w:p>
    <w:p w14:paraId="6C60467E" w14:textId="77777777" w:rsidR="00412DC1" w:rsidRDefault="00412DC1" w:rsidP="00412DC1">
      <w:pPr>
        <w:jc w:val="both"/>
        <w:rPr>
          <w:rFonts w:asciiTheme="minorHAnsi" w:hAnsiTheme="minorHAnsi" w:cstheme="minorHAnsi"/>
          <w:sz w:val="22"/>
          <w:szCs w:val="22"/>
        </w:rPr>
      </w:pPr>
    </w:p>
    <w:p w14:paraId="447D2DCF" w14:textId="77777777" w:rsidR="00412DC1" w:rsidRDefault="00412DC1" w:rsidP="00412DC1">
      <w:pPr>
        <w:numPr>
          <w:ilvl w:val="1"/>
          <w:numId w:val="15"/>
        </w:numPr>
        <w:jc w:val="both"/>
        <w:rPr>
          <w:rFonts w:asciiTheme="minorHAnsi" w:eastAsia="Courier New" w:hAnsiTheme="minorHAnsi" w:cstheme="minorHAnsi"/>
          <w:color w:val="000000"/>
          <w:sz w:val="22"/>
          <w:szCs w:val="22"/>
        </w:rPr>
      </w:pPr>
      <w:r>
        <w:rPr>
          <w:rFonts w:asciiTheme="minorHAnsi" w:hAnsiTheme="minorHAnsi" w:cstheme="minorHAnsi"/>
          <w:color w:val="000000"/>
          <w:sz w:val="22"/>
          <w:szCs w:val="22"/>
        </w:rPr>
        <w:lastRenderedPageBreak/>
        <w:t>Face-to-face sessions are effective when they are interactive, include practical examples that can be applied/are hands on at the training and immediate feedback is provided by the moderator/expert</w:t>
      </w:r>
      <w:sdt>
        <w:sdtPr>
          <w:rPr>
            <w:rFonts w:asciiTheme="minorHAnsi" w:hAnsiTheme="minorHAnsi" w:cstheme="minorHAnsi"/>
          </w:rPr>
          <w:tag w:val="goog_rdk_236"/>
          <w:id w:val="-721280929"/>
          <w:showingPlcHdr/>
        </w:sdtPr>
        <w:sdtEndPr/>
        <w:sdtContent>
          <w:r>
            <w:rPr>
              <w:rFonts w:asciiTheme="minorHAnsi" w:hAnsiTheme="minorHAnsi" w:cstheme="minorHAnsi"/>
            </w:rPr>
            <w:t xml:space="preserve">     </w:t>
          </w:r>
        </w:sdtContent>
      </w:sdt>
      <w:sdt>
        <w:sdtPr>
          <w:rPr>
            <w:rFonts w:asciiTheme="minorHAnsi" w:hAnsiTheme="minorHAnsi" w:cstheme="minorHAnsi"/>
          </w:rPr>
          <w:tag w:val="goog_rdk_237"/>
          <w:id w:val="933252142"/>
        </w:sdtPr>
        <w:sdtEndPr/>
        <w:sdtContent>
          <w:r>
            <w:rPr>
              <w:rFonts w:asciiTheme="minorHAnsi" w:hAnsiTheme="minorHAnsi" w:cstheme="minorHAnsi"/>
              <w:color w:val="000000"/>
              <w:sz w:val="22"/>
              <w:szCs w:val="22"/>
            </w:rPr>
            <w:t>;</w:t>
          </w:r>
        </w:sdtContent>
      </w:sdt>
    </w:p>
    <w:p w14:paraId="1153368B" w14:textId="77777777" w:rsidR="00412DC1" w:rsidRDefault="00412DC1" w:rsidP="00412DC1">
      <w:pPr>
        <w:numPr>
          <w:ilvl w:val="1"/>
          <w:numId w:val="15"/>
        </w:numPr>
        <w:jc w:val="both"/>
        <w:rPr>
          <w:rFonts w:asciiTheme="minorHAnsi" w:eastAsia="Courier New" w:hAnsiTheme="minorHAnsi" w:cstheme="minorHAnsi"/>
          <w:color w:val="000000"/>
          <w:sz w:val="22"/>
          <w:szCs w:val="22"/>
        </w:rPr>
      </w:pPr>
      <w:r>
        <w:rPr>
          <w:rFonts w:asciiTheme="minorHAnsi" w:hAnsiTheme="minorHAnsi" w:cstheme="minorHAnsi"/>
          <w:color w:val="000000"/>
          <w:sz w:val="22"/>
          <w:szCs w:val="22"/>
        </w:rPr>
        <w:t>Online learning is highly appreciated due to the flexibility it provides. A well-designed online program should have an iterative set of modules and should include a mechanism for peer- to-peer learning and feedback, and an incentive such as a certificate</w:t>
      </w:r>
      <w:sdt>
        <w:sdtPr>
          <w:rPr>
            <w:rFonts w:asciiTheme="minorHAnsi" w:hAnsiTheme="minorHAnsi" w:cstheme="minorHAnsi"/>
          </w:rPr>
          <w:tag w:val="goog_rdk_238"/>
          <w:id w:val="-785497345"/>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239"/>
          <w:id w:val="1945487922"/>
          <w:showingPlcHdr/>
        </w:sdtPr>
        <w:sdtEndPr/>
        <w:sdtContent>
          <w:r>
            <w:rPr>
              <w:rFonts w:asciiTheme="minorHAnsi" w:hAnsiTheme="minorHAnsi" w:cstheme="minorHAnsi"/>
            </w:rPr>
            <w:t xml:space="preserve">     </w:t>
          </w:r>
        </w:sdtContent>
      </w:sdt>
    </w:p>
    <w:p w14:paraId="40602BE4" w14:textId="77777777" w:rsidR="00412DC1" w:rsidRDefault="00412DC1" w:rsidP="00412DC1">
      <w:pPr>
        <w:numPr>
          <w:ilvl w:val="1"/>
          <w:numId w:val="15"/>
        </w:numPr>
        <w:jc w:val="both"/>
        <w:rPr>
          <w:rFonts w:asciiTheme="minorHAnsi" w:eastAsia="Courier New" w:hAnsiTheme="minorHAnsi" w:cstheme="minorHAnsi"/>
          <w:color w:val="000000"/>
          <w:sz w:val="22"/>
          <w:szCs w:val="22"/>
        </w:rPr>
      </w:pPr>
      <w:r>
        <w:rPr>
          <w:rFonts w:asciiTheme="minorHAnsi" w:hAnsiTheme="minorHAnsi" w:cstheme="minorHAnsi"/>
          <w:color w:val="000000"/>
          <w:sz w:val="22"/>
          <w:szCs w:val="22"/>
        </w:rPr>
        <w:t>Webinars were less appreciated due to the lecture type format, lack of interaction, poor timing, and less opportunity to ask questions. A more appropriate format is through an Online Dissemination Session that empowers all participants to engage and facilitates peer-to-peer exchange of experience</w:t>
      </w:r>
      <w:sdt>
        <w:sdtPr>
          <w:rPr>
            <w:rFonts w:asciiTheme="minorHAnsi" w:hAnsiTheme="minorHAnsi" w:cstheme="minorHAnsi"/>
          </w:rPr>
          <w:tag w:val="goog_rdk_240"/>
          <w:id w:val="1154644599"/>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p>
    <w:p w14:paraId="4480A8EA" w14:textId="77777777" w:rsidR="00412DC1" w:rsidRDefault="00412DC1" w:rsidP="00412DC1">
      <w:pPr>
        <w:numPr>
          <w:ilvl w:val="1"/>
          <w:numId w:val="15"/>
        </w:numPr>
        <w:jc w:val="both"/>
        <w:rPr>
          <w:rFonts w:asciiTheme="minorHAnsi" w:eastAsia="Courier New" w:hAnsiTheme="minorHAnsi" w:cstheme="minorHAnsi"/>
          <w:color w:val="000000"/>
          <w:sz w:val="22"/>
          <w:szCs w:val="22"/>
        </w:rPr>
      </w:pPr>
      <w:r>
        <w:rPr>
          <w:rFonts w:asciiTheme="minorHAnsi" w:hAnsiTheme="minorHAnsi" w:cstheme="minorHAnsi"/>
          <w:color w:val="000000"/>
          <w:sz w:val="22"/>
          <w:szCs w:val="22"/>
        </w:rPr>
        <w:t>Toolkits were viewed as useful guidance but when they do not address all stages of a GEF IW project, they were seen to be less useful. This modality was favored when it included many resources that could be easily followed up on by the user</w:t>
      </w:r>
      <w:sdt>
        <w:sdtPr>
          <w:rPr>
            <w:rFonts w:asciiTheme="minorHAnsi" w:hAnsiTheme="minorHAnsi" w:cstheme="minorHAnsi"/>
          </w:rPr>
          <w:tag w:val="goog_rdk_242"/>
          <w:id w:val="786635091"/>
        </w:sdtPr>
        <w:sdtEndPr/>
        <w:sdtContent>
          <w:r>
            <w:rPr>
              <w:rFonts w:asciiTheme="minorHAnsi" w:hAnsiTheme="minorHAnsi" w:cstheme="minorHAnsi"/>
              <w:color w:val="000000"/>
              <w:sz w:val="22"/>
              <w:szCs w:val="22"/>
            </w:rPr>
            <w:t>; and</w:t>
          </w:r>
        </w:sdtContent>
      </w:sdt>
      <w:sdt>
        <w:sdtPr>
          <w:rPr>
            <w:rFonts w:asciiTheme="minorHAnsi" w:hAnsiTheme="minorHAnsi" w:cstheme="minorHAnsi"/>
          </w:rPr>
          <w:tag w:val="goog_rdk_243"/>
          <w:id w:val="-951240927"/>
          <w:showingPlcHdr/>
        </w:sdtPr>
        <w:sdtEndPr/>
        <w:sdtContent>
          <w:r>
            <w:rPr>
              <w:rFonts w:asciiTheme="minorHAnsi" w:hAnsiTheme="minorHAnsi" w:cstheme="minorHAnsi"/>
            </w:rPr>
            <w:t xml:space="preserve">     </w:t>
          </w:r>
        </w:sdtContent>
      </w:sdt>
    </w:p>
    <w:p w14:paraId="16DCDFBE" w14:textId="77777777" w:rsidR="00412DC1" w:rsidRDefault="00412DC1" w:rsidP="00412DC1">
      <w:pPr>
        <w:numPr>
          <w:ilvl w:val="1"/>
          <w:numId w:val="15"/>
        </w:numPr>
        <w:jc w:val="both"/>
        <w:rPr>
          <w:rFonts w:asciiTheme="minorHAnsi" w:hAnsiTheme="minorHAnsi" w:cstheme="minorHAnsi"/>
          <w:color w:val="000000"/>
          <w:sz w:val="22"/>
          <w:szCs w:val="22"/>
        </w:rPr>
      </w:pPr>
      <w:r>
        <w:rPr>
          <w:rFonts w:asciiTheme="minorHAnsi" w:hAnsiTheme="minorHAnsi" w:cstheme="minorHAnsi"/>
          <w:color w:val="000000"/>
          <w:sz w:val="22"/>
          <w:szCs w:val="22"/>
        </w:rPr>
        <w:t>Massive Online Open Courses (MOOCs) were the least preferred knowledge delivery mechanism for Project Coordinators and GEF IW Portfolio beneficiaries.</w:t>
      </w:r>
    </w:p>
    <w:p w14:paraId="3280417C" w14:textId="77777777" w:rsidR="00412DC1" w:rsidRDefault="00412DC1" w:rsidP="00412DC1">
      <w:pPr>
        <w:ind w:left="1440"/>
        <w:jc w:val="both"/>
        <w:rPr>
          <w:rFonts w:asciiTheme="minorHAnsi" w:hAnsiTheme="minorHAnsi" w:cstheme="minorHAnsi"/>
          <w:color w:val="000000"/>
          <w:sz w:val="22"/>
          <w:szCs w:val="22"/>
        </w:rPr>
      </w:pPr>
    </w:p>
    <w:p w14:paraId="7D5CF421"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GEF IW:LEARN will work with subject matter experts and </w:t>
      </w:r>
      <w:proofErr w:type="spellStart"/>
      <w:r>
        <w:rPr>
          <w:rFonts w:asciiTheme="minorHAnsi" w:hAnsiTheme="minorHAnsi" w:cstheme="minorHAnsi"/>
          <w:sz w:val="22"/>
          <w:szCs w:val="22"/>
        </w:rPr>
        <w:t>organisations</w:t>
      </w:r>
      <w:proofErr w:type="spellEnd"/>
      <w:r>
        <w:rPr>
          <w:rFonts w:asciiTheme="minorHAnsi" w:hAnsiTheme="minorHAnsi" w:cstheme="minorHAnsi"/>
          <w:sz w:val="22"/>
          <w:szCs w:val="22"/>
        </w:rPr>
        <w:t xml:space="preserve"> within and outside of the established partnership to deliver on its capacity development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and ensure that experience from the GEF IW portfolio is incorporated. The following partners and service providers have been identified to provide support to specific thematic training topics:</w:t>
      </w:r>
    </w:p>
    <w:p w14:paraId="720E9E21" w14:textId="77777777" w:rsidR="00412DC1" w:rsidRDefault="00412DC1" w:rsidP="00412DC1">
      <w:pPr>
        <w:jc w:val="both"/>
        <w:rPr>
          <w:rFonts w:asciiTheme="minorHAnsi" w:hAnsiTheme="minorHAnsi" w:cstheme="minorHAnsi"/>
          <w:sz w:val="22"/>
          <w:szCs w:val="22"/>
        </w:rPr>
      </w:pPr>
    </w:p>
    <w:sdt>
      <w:sdtPr>
        <w:rPr>
          <w:rFonts w:asciiTheme="minorHAnsi" w:hAnsiTheme="minorHAnsi" w:cstheme="minorHAnsi"/>
        </w:rPr>
        <w:tag w:val="goog_rdk_247"/>
        <w:id w:val="-1443762244"/>
      </w:sdtPr>
      <w:sdtEndPr/>
      <w:sdtContent>
        <w:p w14:paraId="35D559D7" w14:textId="77777777" w:rsidR="00412DC1" w:rsidRDefault="00412DC1" w:rsidP="00412DC1">
          <w:pPr>
            <w:numPr>
              <w:ilvl w:val="0"/>
              <w:numId w:val="16"/>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Water conflict prevention and management: This training will be supported by the experience of UNECE, ICPDR and SIWI</w:t>
          </w:r>
          <w:sdt>
            <w:sdtPr>
              <w:rPr>
                <w:rFonts w:asciiTheme="minorHAnsi" w:hAnsiTheme="minorHAnsi" w:cstheme="minorHAnsi"/>
              </w:rPr>
              <w:tag w:val="goog_rdk_245"/>
              <w:id w:val="-1094327873"/>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sdt>
            <w:sdtPr>
              <w:rPr>
                <w:rFonts w:asciiTheme="minorHAnsi" w:hAnsiTheme="minorHAnsi" w:cstheme="minorHAnsi"/>
              </w:rPr>
              <w:tag w:val="goog_rdk_246"/>
              <w:id w:val="-1267072514"/>
            </w:sdtPr>
            <w:sdtEndPr/>
            <w:sdtContent/>
          </w:sdt>
        </w:p>
      </w:sdtContent>
    </w:sdt>
    <w:sdt>
      <w:sdtPr>
        <w:rPr>
          <w:rFonts w:asciiTheme="minorHAnsi" w:hAnsiTheme="minorHAnsi" w:cstheme="minorHAnsi"/>
        </w:rPr>
        <w:tag w:val="goog_rdk_250"/>
        <w:id w:val="-1143811966"/>
      </w:sdtPr>
      <w:sdtEndPr/>
      <w:sdtContent>
        <w:p w14:paraId="54E45EB4" w14:textId="77777777" w:rsidR="00412DC1" w:rsidRDefault="00F57A55" w:rsidP="00412DC1">
          <w:pPr>
            <w:numPr>
              <w:ilvl w:val="0"/>
              <w:numId w:val="16"/>
            </w:numPr>
            <w:ind w:left="709"/>
            <w:jc w:val="both"/>
            <w:rPr>
              <w:rFonts w:asciiTheme="minorHAnsi" w:hAnsiTheme="minorHAnsi" w:cstheme="minorHAnsi"/>
            </w:rPr>
          </w:pPr>
          <w:sdt>
            <w:sdtPr>
              <w:rPr>
                <w:rFonts w:asciiTheme="minorHAnsi" w:hAnsiTheme="minorHAnsi" w:cstheme="minorHAnsi"/>
              </w:rPr>
              <w:tag w:val="goog_rdk_248"/>
              <w:id w:val="642470037"/>
            </w:sdtPr>
            <w:sdtEndPr/>
            <w:sdtContent>
              <w:sdt>
                <w:sdtPr>
                  <w:rPr>
                    <w:rFonts w:asciiTheme="minorHAnsi" w:hAnsiTheme="minorHAnsi" w:cstheme="minorHAnsi"/>
                  </w:rPr>
                  <w:tag w:val="goog_rdk_249"/>
                  <w:id w:val="1925144062"/>
                </w:sdtPr>
                <w:sdtEndPr/>
                <w:sdtContent>
                  <w:r w:rsidR="00412DC1">
                    <w:rPr>
                      <w:rFonts w:asciiTheme="minorHAnsi" w:hAnsiTheme="minorHAnsi" w:cstheme="minorHAnsi"/>
                      <w:color w:val="000000" w:themeColor="text1"/>
                      <w:sz w:val="22"/>
                      <w:szCs w:val="22"/>
                    </w:rPr>
                    <w:t>Modelling and satellite imagery analysis in support of TDA-SAP process as well as SDG 6 and SDG 14 reporting</w:t>
                  </w:r>
                </w:sdtContent>
              </w:sdt>
              <w:r w:rsidR="00412DC1">
                <w:rPr>
                  <w:rFonts w:asciiTheme="minorHAnsi" w:hAnsiTheme="minorHAnsi" w:cstheme="minorHAnsi"/>
                  <w:color w:val="000000"/>
                  <w:sz w:val="22"/>
                  <w:szCs w:val="22"/>
                </w:rPr>
                <w:t xml:space="preserve">: Support to the portfolio on this theme requires collaboration with specialized agencies willing to avail their satellite data and analysis to the needs of developing countries, namely:  </w:t>
              </w:r>
            </w:sdtContent>
          </w:sdt>
        </w:p>
      </w:sdtContent>
    </w:sdt>
    <w:sdt>
      <w:sdtPr>
        <w:rPr>
          <w:rFonts w:asciiTheme="minorHAnsi" w:hAnsiTheme="minorHAnsi" w:cstheme="minorHAnsi"/>
        </w:rPr>
        <w:tag w:val="goog_rdk_252"/>
        <w:id w:val="640082415"/>
      </w:sdtPr>
      <w:sdtEndPr/>
      <w:sdtContent>
        <w:sdt>
          <w:sdtPr>
            <w:rPr>
              <w:rFonts w:asciiTheme="minorHAnsi" w:hAnsiTheme="minorHAnsi" w:cstheme="minorHAnsi"/>
            </w:rPr>
            <w:tag w:val="goog_rdk_251"/>
            <w:id w:val="1959757566"/>
          </w:sdtPr>
          <w:sdtEndPr/>
          <w:sdtContent>
            <w:p w14:paraId="5811F1D0" w14:textId="77777777" w:rsidR="00412DC1" w:rsidRDefault="00412DC1" w:rsidP="00412DC1">
              <w:pPr>
                <w:numPr>
                  <w:ilvl w:val="1"/>
                  <w:numId w:val="17"/>
                </w:numPr>
                <w:shd w:val="clear" w:color="auto" w:fill="FFFFFF"/>
                <w:ind w:left="1080"/>
                <w:jc w:val="both"/>
                <w:rPr>
                  <w:rFonts w:asciiTheme="minorHAnsi" w:hAnsiTheme="minorHAnsi" w:cstheme="minorHAnsi"/>
                </w:rPr>
              </w:pPr>
              <w:r>
                <w:rPr>
                  <w:rFonts w:asciiTheme="minorHAnsi" w:hAnsiTheme="minorHAnsi" w:cstheme="minorHAnsi"/>
                  <w:color w:val="000000"/>
                  <w:sz w:val="22"/>
                  <w:szCs w:val="22"/>
                </w:rPr>
                <w:t xml:space="preserve">The Group on Earth Observations (via their </w:t>
              </w:r>
              <w:proofErr w:type="spellStart"/>
              <w:r>
                <w:rPr>
                  <w:rFonts w:asciiTheme="minorHAnsi" w:hAnsiTheme="minorHAnsi" w:cstheme="minorHAnsi"/>
                  <w:color w:val="000000"/>
                  <w:sz w:val="22"/>
                  <w:szCs w:val="22"/>
                </w:rPr>
                <w:t>GeoGLOWS</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AquaWatch</w:t>
              </w:r>
              <w:proofErr w:type="spellEnd"/>
              <w:r>
                <w:rPr>
                  <w:rFonts w:asciiTheme="minorHAnsi" w:hAnsiTheme="minorHAnsi" w:cstheme="minorHAnsi"/>
                  <w:color w:val="000000"/>
                  <w:sz w:val="22"/>
                  <w:szCs w:val="22"/>
                </w:rPr>
                <w:t xml:space="preserve"> and Blue Planet Initiatives) will provide knowledge and expertise to the portfolio through dissemination of their tools and trainings co-developed with relevant stakeholders; and </w:t>
              </w:r>
            </w:p>
          </w:sdtContent>
        </w:sdt>
      </w:sdtContent>
    </w:sdt>
    <w:p w14:paraId="43768AE9" w14:textId="77777777" w:rsidR="00412DC1" w:rsidRDefault="00412DC1" w:rsidP="00412DC1">
      <w:pPr>
        <w:numPr>
          <w:ilvl w:val="1"/>
          <w:numId w:val="17"/>
        </w:numPr>
        <w:shd w:val="clear" w:color="auto" w:fill="FFFFFF"/>
        <w:ind w:left="1080"/>
        <w:jc w:val="both"/>
        <w:rPr>
          <w:rFonts w:asciiTheme="minorHAnsi" w:hAnsiTheme="minorHAnsi" w:cstheme="minorHAnsi"/>
          <w:color w:val="201F1E"/>
          <w:sz w:val="22"/>
          <w:szCs w:val="22"/>
        </w:rPr>
      </w:pPr>
      <w:r>
        <w:rPr>
          <w:rFonts w:asciiTheme="minorHAnsi" w:hAnsiTheme="minorHAnsi" w:cstheme="minorHAnsi"/>
          <w:color w:val="000000"/>
          <w:sz w:val="22"/>
          <w:szCs w:val="22"/>
        </w:rPr>
        <w:t>The European Space Agency (ESA) will support capacity development under the framework of the </w:t>
      </w:r>
      <w:r>
        <w:rPr>
          <w:rFonts w:asciiTheme="minorHAnsi" w:hAnsiTheme="minorHAnsi" w:cstheme="minorHAnsi"/>
          <w:i/>
          <w:iCs/>
          <w:color w:val="000000"/>
          <w:sz w:val="22"/>
          <w:szCs w:val="22"/>
        </w:rPr>
        <w:t>Space in support of International Development Assistance (</w:t>
      </w:r>
      <w:r>
        <w:rPr>
          <w:rFonts w:asciiTheme="minorHAnsi" w:hAnsiTheme="minorHAnsi" w:cstheme="minorHAnsi"/>
          <w:b/>
          <w:bCs/>
          <w:i/>
          <w:iCs/>
          <w:color w:val="000000"/>
          <w:sz w:val="22"/>
          <w:szCs w:val="22"/>
        </w:rPr>
        <w:t>Space 4 IDA</w:t>
      </w:r>
      <w:r>
        <w:rPr>
          <w:rFonts w:asciiTheme="minorHAnsi" w:hAnsiTheme="minorHAnsi" w:cstheme="minorHAnsi"/>
          <w:i/>
          <w:iCs/>
          <w:color w:val="000000"/>
          <w:sz w:val="22"/>
          <w:szCs w:val="22"/>
        </w:rPr>
        <w:t>)</w:t>
      </w:r>
      <w:r>
        <w:rPr>
          <w:rFonts w:asciiTheme="minorHAnsi" w:hAnsiTheme="minorHAnsi" w:cstheme="minorHAnsi"/>
          <w:color w:val="000000"/>
          <w:sz w:val="22"/>
          <w:szCs w:val="22"/>
        </w:rPr>
        <w:t> initiative.</w:t>
      </w:r>
      <w:r>
        <w:rPr>
          <w:rFonts w:asciiTheme="minorHAnsi" w:hAnsiTheme="minorHAnsi" w:cstheme="minorHAnsi"/>
          <w:color w:val="222222"/>
          <w:sz w:val="22"/>
          <w:szCs w:val="22"/>
        </w:rPr>
        <w:t> ESA would thereby finance (through its </w:t>
      </w:r>
      <w:r>
        <w:rPr>
          <w:rFonts w:asciiTheme="minorHAnsi" w:hAnsiTheme="minorHAnsi" w:cstheme="minorHAnsi"/>
          <w:b/>
          <w:bCs/>
          <w:i/>
          <w:iCs/>
          <w:color w:val="222222"/>
          <w:sz w:val="22"/>
          <w:szCs w:val="22"/>
        </w:rPr>
        <w:t>GDA-</w:t>
      </w:r>
      <w:r>
        <w:rPr>
          <w:rFonts w:asciiTheme="minorHAnsi" w:hAnsiTheme="minorHAnsi" w:cstheme="minorHAnsi"/>
          <w:i/>
          <w:iCs/>
          <w:color w:val="222222"/>
          <w:sz w:val="22"/>
          <w:szCs w:val="22"/>
        </w:rPr>
        <w:t>Global Development Assistance</w:t>
      </w:r>
      <w:r>
        <w:rPr>
          <w:rFonts w:asciiTheme="minorHAnsi" w:hAnsiTheme="minorHAnsi" w:cstheme="minorHAnsi"/>
          <w:color w:val="222222"/>
          <w:sz w:val="22"/>
          <w:szCs w:val="22"/>
        </w:rPr>
        <w:t> program as well as its fast-track </w:t>
      </w:r>
      <w:proofErr w:type="spellStart"/>
      <w:r w:rsidR="00F57A55">
        <w:fldChar w:fldCharType="begin"/>
      </w:r>
      <w:r w:rsidR="00F57A55">
        <w:instrText xml:space="preserve"> HYPERLINK "https://eo4society.esa.int/eo_clinic/" \t "_blank" </w:instrText>
      </w:r>
      <w:r w:rsidR="00F57A55">
        <w:fldChar w:fldCharType="separate"/>
      </w:r>
      <w:r>
        <w:rPr>
          <w:rStyle w:val="Hyperlink"/>
          <w:rFonts w:asciiTheme="minorHAnsi" w:hAnsiTheme="minorHAnsi" w:cstheme="minorHAnsi"/>
          <w:b/>
          <w:bCs/>
          <w:i/>
          <w:iCs/>
          <w:sz w:val="22"/>
          <w:szCs w:val="22"/>
        </w:rPr>
        <w:t>eo_clinic</w:t>
      </w:r>
      <w:proofErr w:type="spellEnd"/>
      <w:r w:rsidR="00F57A55">
        <w:rPr>
          <w:rStyle w:val="Hyperlink"/>
          <w:rFonts w:asciiTheme="minorHAnsi" w:hAnsiTheme="minorHAnsi" w:cstheme="minorHAnsi"/>
          <w:b/>
          <w:bCs/>
          <w:i/>
          <w:iCs/>
          <w:sz w:val="22"/>
          <w:szCs w:val="22"/>
        </w:rPr>
        <w:fldChar w:fldCharType="end"/>
      </w:r>
      <w:r>
        <w:rPr>
          <w:rFonts w:asciiTheme="minorHAnsi" w:hAnsiTheme="minorHAnsi" w:cstheme="minorHAnsi"/>
          <w:color w:val="222222"/>
          <w:sz w:val="22"/>
          <w:szCs w:val="22"/>
        </w:rPr>
        <w:t> mechanism) new satellite EO technical developments that address needs identified through GEF IW projects, as facilitated through IW:LEARN. Those new technical services will be complemented by capacity building activities as supported/financed through IW:LEARN (and/or the selected projects’ own resources) in order</w:t>
      </w:r>
      <w:r>
        <w:rPr>
          <w:rFonts w:asciiTheme="minorHAnsi" w:hAnsiTheme="minorHAnsi" w:cstheme="minorHAnsi"/>
          <w:sz w:val="22"/>
          <w:szCs w:val="22"/>
        </w:rPr>
        <w:t> </w:t>
      </w:r>
      <w:r>
        <w:rPr>
          <w:rFonts w:asciiTheme="minorHAnsi" w:hAnsiTheme="minorHAnsi" w:cstheme="minorHAnsi"/>
          <w:color w:val="222222"/>
          <w:sz w:val="22"/>
          <w:szCs w:val="22"/>
        </w:rPr>
        <w:t>to deliver impact to end user stakeholders in developing countries and ensuring long-term sustainability. This activity will also leverage previous efforts on capacity building under the </w:t>
      </w:r>
      <w:r>
        <w:rPr>
          <w:rFonts w:asciiTheme="minorHAnsi" w:hAnsiTheme="minorHAnsi" w:cstheme="minorHAnsi"/>
          <w:i/>
          <w:iCs/>
          <w:color w:val="222222"/>
          <w:sz w:val="22"/>
          <w:szCs w:val="22"/>
        </w:rPr>
        <w:t>Space 4 IDA</w:t>
      </w:r>
      <w:r>
        <w:rPr>
          <w:rFonts w:asciiTheme="minorHAnsi" w:hAnsiTheme="minorHAnsi" w:cstheme="minorHAnsi"/>
          <w:color w:val="222222"/>
          <w:sz w:val="22"/>
          <w:szCs w:val="22"/>
        </w:rPr>
        <w:t> precursor program </w:t>
      </w:r>
      <w:hyperlink r:id="rId13" w:tgtFrame="_blank" w:history="1">
        <w:r>
          <w:rPr>
            <w:rStyle w:val="Hyperlink"/>
            <w:rFonts w:asciiTheme="minorHAnsi" w:hAnsiTheme="minorHAnsi" w:cstheme="minorHAnsi"/>
            <w:b/>
            <w:bCs/>
            <w:i/>
            <w:iCs/>
            <w:sz w:val="22"/>
            <w:szCs w:val="22"/>
          </w:rPr>
          <w:t>EO4SD</w:t>
        </w:r>
      </w:hyperlink>
      <w:r>
        <w:rPr>
          <w:rFonts w:asciiTheme="minorHAnsi" w:hAnsiTheme="minorHAnsi" w:cstheme="minorHAnsi"/>
          <w:color w:val="222222"/>
          <w:sz w:val="22"/>
          <w:szCs w:val="22"/>
        </w:rPr>
        <w:t>, incl. online training courses and material (e.g. the Earth Observation Learning Series on the World Bank’s Open Learning Campus).</w:t>
      </w:r>
    </w:p>
    <w:p w14:paraId="35BBD806" w14:textId="77777777" w:rsidR="00412DC1" w:rsidRDefault="00412DC1" w:rsidP="00412DC1">
      <w:pPr>
        <w:numPr>
          <w:ilvl w:val="0"/>
          <w:numId w:val="16"/>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Project Communication with a focus on Science to Policy: Experience and best practice may be leveraged from the GEF LME:LEARN project which ran a successful Communications Support Activity to the Large Marine Ecosystem projects</w:t>
      </w:r>
      <w:sdt>
        <w:sdtPr>
          <w:rPr>
            <w:rFonts w:asciiTheme="minorHAnsi" w:hAnsiTheme="minorHAnsi" w:cstheme="minorHAnsi"/>
          </w:rPr>
          <w:tag w:val="goog_rdk_268"/>
          <w:id w:val="2016882524"/>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269"/>
          <w:id w:val="940580115"/>
          <w:showingPlcHdr/>
        </w:sdtPr>
        <w:sdtEndPr/>
        <w:sdtContent>
          <w:r>
            <w:rPr>
              <w:rFonts w:asciiTheme="minorHAnsi" w:hAnsiTheme="minorHAnsi" w:cstheme="minorHAnsi"/>
            </w:rPr>
            <w:t xml:space="preserve">     </w:t>
          </w:r>
        </w:sdtContent>
      </w:sdt>
      <w:r>
        <w:rPr>
          <w:rFonts w:asciiTheme="minorHAnsi" w:hAnsiTheme="minorHAnsi" w:cstheme="minorHAnsi"/>
          <w:color w:val="000000"/>
          <w:sz w:val="22"/>
          <w:szCs w:val="22"/>
        </w:rPr>
        <w:t xml:space="preserve"> </w:t>
      </w:r>
    </w:p>
    <w:p w14:paraId="025B2DAF" w14:textId="77777777" w:rsidR="00412DC1" w:rsidRDefault="00412DC1" w:rsidP="00412DC1">
      <w:pPr>
        <w:numPr>
          <w:ilvl w:val="0"/>
          <w:numId w:val="16"/>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Data and information management (DIM): During the previous phase, and in the course of the GEF LME:LEARN project, two successful (DIM) workshops were conducted at a global and regional level for data and information management. This phase of the project </w:t>
      </w:r>
      <w:sdt>
        <w:sdtPr>
          <w:rPr>
            <w:rFonts w:asciiTheme="minorHAnsi" w:hAnsiTheme="minorHAnsi" w:cstheme="minorHAnsi"/>
          </w:rPr>
          <w:tag w:val="goog_rdk_275"/>
          <w:id w:val="-1529639724"/>
        </w:sdtPr>
        <w:sdtEndPr/>
        <w:sdtContent>
          <w:r>
            <w:rPr>
              <w:rFonts w:asciiTheme="minorHAnsi" w:hAnsiTheme="minorHAnsi" w:cstheme="minorHAnsi"/>
              <w:color w:val="000000"/>
              <w:sz w:val="22"/>
              <w:szCs w:val="22"/>
            </w:rPr>
            <w:t xml:space="preserve">will </w:t>
          </w:r>
        </w:sdtContent>
      </w:sdt>
      <w:proofErr w:type="spellStart"/>
      <w:r>
        <w:rPr>
          <w:rFonts w:asciiTheme="minorHAnsi" w:hAnsiTheme="minorHAnsi" w:cstheme="minorHAnsi"/>
          <w:color w:val="000000"/>
          <w:sz w:val="22"/>
          <w:szCs w:val="22"/>
        </w:rPr>
        <w:t>utilise</w:t>
      </w:r>
      <w:proofErr w:type="spellEnd"/>
      <w:r>
        <w:rPr>
          <w:rFonts w:asciiTheme="minorHAnsi" w:hAnsiTheme="minorHAnsi" w:cstheme="minorHAnsi"/>
          <w:color w:val="000000"/>
          <w:sz w:val="22"/>
          <w:szCs w:val="22"/>
        </w:rPr>
        <w:t xml:space="preserve"> the framework and enhance it to expand to other regions to build out this support. </w:t>
      </w:r>
      <w:sdt>
        <w:sdtPr>
          <w:rPr>
            <w:rFonts w:asciiTheme="minorHAnsi" w:hAnsiTheme="minorHAnsi" w:cstheme="minorHAnsi"/>
          </w:rPr>
          <w:tag w:val="goog_rdk_277"/>
          <w:id w:val="-1109650570"/>
        </w:sdtPr>
        <w:sdtEndPr/>
        <w:sdtContent>
          <w:r>
            <w:rPr>
              <w:rFonts w:asciiTheme="minorHAnsi" w:hAnsiTheme="minorHAnsi" w:cstheme="minorHAnsi"/>
              <w:color w:val="000000"/>
              <w:sz w:val="22"/>
              <w:szCs w:val="22"/>
            </w:rPr>
            <w:t>These workshops</w:t>
          </w:r>
        </w:sdtContent>
      </w:sdt>
      <w:r>
        <w:rPr>
          <w:rFonts w:asciiTheme="minorHAnsi" w:hAnsiTheme="minorHAnsi" w:cstheme="minorHAnsi"/>
          <w:color w:val="000000"/>
          <w:sz w:val="22"/>
          <w:szCs w:val="22"/>
        </w:rPr>
        <w:t xml:space="preserve"> will also f</w:t>
      </w:r>
      <w:r>
        <w:rPr>
          <w:rFonts w:asciiTheme="minorHAnsi" w:hAnsiTheme="minorHAnsi" w:cstheme="minorHAnsi"/>
          <w:sz w:val="22"/>
          <w:szCs w:val="22"/>
        </w:rPr>
        <w:t xml:space="preserve">ocus on the legal aspects of data sharing mechanisms (how it has been </w:t>
      </w:r>
      <w:r>
        <w:rPr>
          <w:rFonts w:asciiTheme="minorHAnsi" w:hAnsiTheme="minorHAnsi" w:cstheme="minorHAnsi"/>
          <w:sz w:val="22"/>
          <w:szCs w:val="22"/>
        </w:rPr>
        <w:lastRenderedPageBreak/>
        <w:t xml:space="preserve">successfully done, what are the obstacles, how to overcome these, how to replicate good practices). </w:t>
      </w:r>
    </w:p>
    <w:p w14:paraId="7EF43B55" w14:textId="77777777" w:rsidR="00412DC1" w:rsidRDefault="00412DC1" w:rsidP="00412DC1">
      <w:pPr>
        <w:jc w:val="both"/>
        <w:rPr>
          <w:rFonts w:asciiTheme="minorHAnsi" w:hAnsiTheme="minorHAnsi" w:cstheme="minorHAnsi"/>
          <w:sz w:val="22"/>
          <w:szCs w:val="22"/>
        </w:rPr>
      </w:pPr>
    </w:p>
    <w:p w14:paraId="37BFE1AB" w14:textId="566C16D6" w:rsidR="00412DC1" w:rsidRDefault="00412DC1" w:rsidP="00F439E2">
      <w:pPr>
        <w:rPr>
          <w:rFonts w:asciiTheme="minorHAnsi" w:hAnsiTheme="minorHAnsi" w:cstheme="minorHAnsi"/>
          <w:sz w:val="22"/>
          <w:szCs w:val="22"/>
        </w:rPr>
      </w:pPr>
      <w:r>
        <w:rPr>
          <w:rFonts w:asciiTheme="minorHAnsi" w:hAnsiTheme="minorHAnsi" w:cstheme="minorHAnsi"/>
          <w:sz w:val="22"/>
          <w:szCs w:val="22"/>
        </w:rPr>
        <w:t>GEF incremental funds will play a catalytic role in developing the courses. Co-finance from GEF IW:LEARN partners will fund the development and translation of all training materials and modules into English, French and/or Spanish, where feasible. The PCU will provide technical input and support to this activity.</w:t>
      </w:r>
    </w:p>
    <w:p w14:paraId="4267155A" w14:textId="77777777" w:rsidR="00412DC1" w:rsidRPr="00412DC1" w:rsidRDefault="00412DC1" w:rsidP="00412DC1"/>
    <w:p w14:paraId="44C1B61F" w14:textId="1674E00B" w:rsidR="00412DC1" w:rsidRPr="00412DC1" w:rsidRDefault="00412DC1" w:rsidP="00412DC1">
      <w:pPr>
        <w:pStyle w:val="Heading5"/>
        <w:rPr>
          <w:rFonts w:asciiTheme="minorHAnsi" w:hAnsiTheme="minorHAnsi" w:cstheme="minorHAnsi"/>
          <w:b/>
          <w:bCs/>
          <w:color w:val="000000" w:themeColor="text1"/>
          <w:sz w:val="22"/>
          <w:szCs w:val="22"/>
        </w:rPr>
      </w:pPr>
      <w:r w:rsidRPr="00412DC1">
        <w:rPr>
          <w:rFonts w:asciiTheme="minorHAnsi" w:hAnsiTheme="minorHAnsi" w:cstheme="minorHAnsi"/>
          <w:b/>
          <w:bCs/>
          <w:color w:val="000000" w:themeColor="text1"/>
          <w:sz w:val="22"/>
          <w:szCs w:val="22"/>
        </w:rPr>
        <w:t>Activity 1.2.3:  Work with partners and/or GEF IW projects to organize a series of global and regional trainings</w:t>
      </w:r>
    </w:p>
    <w:p w14:paraId="68DA6C84"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The project PCU will work in close cooperation with the project’s partners, GEF Agencies, knowledgeable </w:t>
      </w:r>
      <w:proofErr w:type="spellStart"/>
      <w:r>
        <w:rPr>
          <w:rFonts w:asciiTheme="minorHAnsi" w:hAnsiTheme="minorHAnsi" w:cstheme="minorHAnsi"/>
          <w:sz w:val="22"/>
          <w:szCs w:val="22"/>
        </w:rPr>
        <w:t>organisations</w:t>
      </w:r>
      <w:proofErr w:type="spellEnd"/>
      <w:r>
        <w:rPr>
          <w:rFonts w:asciiTheme="minorHAnsi" w:hAnsiTheme="minorHAnsi" w:cstheme="minorHAnsi"/>
          <w:sz w:val="22"/>
          <w:szCs w:val="22"/>
        </w:rPr>
        <w:t xml:space="preserve">, and the GEF IW portfolio to deliver cross-cutting blended learning workshops to take place at the regional-level (Africa, Latin America-Caribbean, and Asia-Pacific). The workshops will be a component of the learning cycle, both as preparation for and follow-up to the International Waters Conferences (1.1). </w:t>
      </w:r>
    </w:p>
    <w:p w14:paraId="1E8202E2" w14:textId="77777777" w:rsidR="00412DC1" w:rsidRDefault="00412DC1" w:rsidP="00412DC1">
      <w:pPr>
        <w:jc w:val="both"/>
        <w:rPr>
          <w:rFonts w:asciiTheme="minorHAnsi" w:hAnsiTheme="minorHAnsi" w:cstheme="minorHAnsi"/>
          <w:sz w:val="22"/>
          <w:szCs w:val="22"/>
        </w:rPr>
      </w:pPr>
    </w:p>
    <w:p w14:paraId="7CB56666"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Workshops will be organized</w:t>
      </w:r>
      <w:sdt>
        <w:sdtPr>
          <w:rPr>
            <w:rFonts w:asciiTheme="minorHAnsi" w:hAnsiTheme="minorHAnsi" w:cstheme="minorHAnsi"/>
          </w:rPr>
          <w:tag w:val="goog_rdk_278"/>
          <w:id w:val="-393655172"/>
        </w:sdtPr>
        <w:sdtEndPr/>
        <w:sdtContent>
          <w:r>
            <w:rPr>
              <w:rFonts w:asciiTheme="minorHAnsi" w:hAnsiTheme="minorHAnsi" w:cstheme="minorHAnsi"/>
              <w:sz w:val="22"/>
              <w:szCs w:val="22"/>
            </w:rPr>
            <w:t xml:space="preserve"> online and/or face-to-face</w:t>
          </w:r>
        </w:sdtContent>
      </w:sdt>
      <w:r>
        <w:rPr>
          <w:rFonts w:asciiTheme="minorHAnsi" w:hAnsiTheme="minorHAnsi" w:cstheme="minorHAnsi"/>
          <w:sz w:val="22"/>
          <w:szCs w:val="22"/>
        </w:rPr>
        <w:t xml:space="preserve"> by the GEF IW:LEARN PCU in collaboration with partners, regional bodies/institutions (i.e. AMCOW, SADC, PEMSEA, etc.) and the GEF IW projects in the region. </w:t>
      </w:r>
    </w:p>
    <w:p w14:paraId="56265023" w14:textId="77777777" w:rsidR="00412DC1" w:rsidRDefault="00412DC1" w:rsidP="00412DC1">
      <w:pPr>
        <w:jc w:val="both"/>
        <w:rPr>
          <w:rFonts w:asciiTheme="minorHAnsi" w:hAnsiTheme="minorHAnsi" w:cstheme="minorHAnsi"/>
          <w:sz w:val="22"/>
          <w:szCs w:val="22"/>
        </w:rPr>
      </w:pPr>
    </w:p>
    <w:p w14:paraId="16DD3CF0"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This series of trainings will be supported by the co-finance from partners as described: </w:t>
      </w:r>
    </w:p>
    <w:p w14:paraId="40777E15" w14:textId="77777777" w:rsidR="00412DC1" w:rsidRDefault="00412DC1" w:rsidP="00412DC1">
      <w:pPr>
        <w:jc w:val="both"/>
        <w:rPr>
          <w:rFonts w:asciiTheme="minorHAnsi" w:hAnsiTheme="minorHAnsi" w:cstheme="minorHAnsi"/>
          <w:sz w:val="22"/>
          <w:szCs w:val="22"/>
        </w:rPr>
      </w:pPr>
    </w:p>
    <w:p w14:paraId="432CBCA0" w14:textId="77777777" w:rsidR="00412DC1" w:rsidRDefault="00412DC1" w:rsidP="00412DC1">
      <w:pPr>
        <w:numPr>
          <w:ilvl w:val="0"/>
          <w:numId w:val="18"/>
        </w:numPr>
        <w:jc w:val="both"/>
        <w:rPr>
          <w:rFonts w:asciiTheme="minorHAnsi" w:hAnsiTheme="minorHAnsi" w:cstheme="minorHAnsi"/>
          <w:color w:val="000000"/>
          <w:sz w:val="22"/>
          <w:szCs w:val="22"/>
        </w:rPr>
      </w:pPr>
      <w:r>
        <w:rPr>
          <w:rFonts w:asciiTheme="minorHAnsi" w:hAnsiTheme="minorHAnsi" w:cstheme="minorHAnsi"/>
          <w:color w:val="000000"/>
          <w:sz w:val="22"/>
          <w:szCs w:val="22"/>
        </w:rPr>
        <w:t>UNDP Cap-Net who will co-finance the delivery of two face-to-face workshops in the region of Latin America-Caribbean;</w:t>
      </w:r>
    </w:p>
    <w:p w14:paraId="264D2D87" w14:textId="77777777" w:rsidR="00412DC1" w:rsidRDefault="00412DC1" w:rsidP="00412DC1">
      <w:pPr>
        <w:numPr>
          <w:ilvl w:val="0"/>
          <w:numId w:val="1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Organization of American States will support the </w:t>
      </w:r>
      <w:proofErr w:type="spellStart"/>
      <w:r>
        <w:rPr>
          <w:rFonts w:asciiTheme="minorHAnsi" w:hAnsiTheme="minorHAnsi" w:cstheme="minorHAnsi"/>
          <w:color w:val="000000"/>
          <w:sz w:val="22"/>
          <w:szCs w:val="22"/>
        </w:rPr>
        <w:t>organisation</w:t>
      </w:r>
      <w:proofErr w:type="spellEnd"/>
      <w:r>
        <w:rPr>
          <w:rFonts w:asciiTheme="minorHAnsi" w:hAnsiTheme="minorHAnsi" w:cstheme="minorHAnsi"/>
          <w:color w:val="000000"/>
          <w:sz w:val="22"/>
          <w:szCs w:val="22"/>
        </w:rPr>
        <w:t xml:space="preserve"> of workshops in the Latin America-Caribbean region;</w:t>
      </w:r>
    </w:p>
    <w:p w14:paraId="79D860FE" w14:textId="77777777" w:rsidR="00412DC1" w:rsidRDefault="00412DC1" w:rsidP="00412DC1">
      <w:pPr>
        <w:numPr>
          <w:ilvl w:val="0"/>
          <w:numId w:val="1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IOC-UNESCO </w:t>
      </w:r>
      <w:sdt>
        <w:sdtPr>
          <w:rPr>
            <w:rFonts w:asciiTheme="minorHAnsi" w:hAnsiTheme="minorHAnsi" w:cstheme="minorHAnsi"/>
          </w:rPr>
          <w:tag w:val="goog_rdk_279"/>
          <w:id w:val="2113470006"/>
        </w:sdtPr>
        <w:sdtEndPr/>
        <w:sdtContent>
          <w:r>
            <w:rPr>
              <w:rFonts w:asciiTheme="minorHAnsi" w:hAnsiTheme="minorHAnsi" w:cstheme="minorHAnsi"/>
              <w:color w:val="000000"/>
              <w:sz w:val="22"/>
              <w:szCs w:val="22"/>
            </w:rPr>
            <w:t>will provide experience to Data and Information Management through IODE, and the ocean data best practices project (</w:t>
          </w:r>
          <w:proofErr w:type="spellStart"/>
          <w:r>
            <w:rPr>
              <w:rFonts w:asciiTheme="minorHAnsi" w:hAnsiTheme="minorHAnsi" w:cstheme="minorHAnsi"/>
              <w:color w:val="000000"/>
              <w:sz w:val="22"/>
              <w:szCs w:val="22"/>
            </w:rPr>
            <w:t>InfoHub</w:t>
          </w:r>
          <w:proofErr w:type="spellEnd"/>
          <w:r>
            <w:rPr>
              <w:rFonts w:asciiTheme="minorHAnsi" w:hAnsiTheme="minorHAnsi" w:cstheme="minorHAnsi"/>
              <w:color w:val="000000"/>
              <w:sz w:val="22"/>
              <w:szCs w:val="22"/>
            </w:rPr>
            <w:t>);</w:t>
          </w:r>
        </w:sdtContent>
      </w:sdt>
      <w:r>
        <w:rPr>
          <w:rFonts w:asciiTheme="minorHAnsi" w:hAnsiTheme="minorHAnsi" w:cstheme="minorHAnsi"/>
        </w:rPr>
        <w:t xml:space="preserve"> </w:t>
      </w:r>
    </w:p>
    <w:p w14:paraId="7D0DDF04" w14:textId="77777777" w:rsidR="00412DC1" w:rsidRDefault="00412DC1" w:rsidP="00412DC1">
      <w:pPr>
        <w:numPr>
          <w:ilvl w:val="0"/>
          <w:numId w:val="18"/>
        </w:numPr>
        <w:jc w:val="both"/>
        <w:rPr>
          <w:rFonts w:asciiTheme="minorHAnsi" w:hAnsiTheme="minorHAnsi" w:cstheme="minorHAnsi"/>
          <w:color w:val="000000"/>
          <w:sz w:val="22"/>
          <w:szCs w:val="22"/>
        </w:rPr>
      </w:pPr>
      <w:r>
        <w:rPr>
          <w:rFonts w:asciiTheme="minorHAnsi" w:hAnsiTheme="minorHAnsi" w:cstheme="minorHAnsi"/>
          <w:sz w:val="22"/>
          <w:szCs w:val="22"/>
        </w:rPr>
        <w:t xml:space="preserve">IBRD will do a series of IW:LEARN open and global webinars, which could be on topics such as project performance, data and information management, nature-based solutions and other, or could be linked to a particular type of project or focused on a specific transboundary water region. The webinars will be supply driven at first, and demand driven subsequently. IBRD will also host IW:LEARN online courses on their Open Learning Campus/World Bank Academy; </w:t>
      </w:r>
    </w:p>
    <w:p w14:paraId="18318847" w14:textId="77777777" w:rsidR="00412DC1" w:rsidRDefault="00412DC1" w:rsidP="00412DC1">
      <w:pPr>
        <w:numPr>
          <w:ilvl w:val="0"/>
          <w:numId w:val="18"/>
        </w:numPr>
        <w:jc w:val="both"/>
        <w:rPr>
          <w:rFonts w:asciiTheme="minorHAnsi" w:hAnsiTheme="minorHAnsi" w:cstheme="minorHAnsi"/>
          <w:color w:val="000000"/>
          <w:sz w:val="22"/>
          <w:szCs w:val="22"/>
        </w:rPr>
      </w:pPr>
      <w:proofErr w:type="spellStart"/>
      <w:r>
        <w:rPr>
          <w:rFonts w:asciiTheme="minorHAnsi" w:hAnsiTheme="minorHAnsi" w:cstheme="minorHAnsi"/>
          <w:sz w:val="22"/>
          <w:szCs w:val="22"/>
        </w:rPr>
        <w:t>REVOcean</w:t>
      </w:r>
      <w:proofErr w:type="spellEnd"/>
      <w:r>
        <w:rPr>
          <w:rFonts w:asciiTheme="minorHAnsi" w:hAnsiTheme="minorHAnsi" w:cstheme="minorHAnsi"/>
          <w:sz w:val="22"/>
          <w:szCs w:val="22"/>
        </w:rPr>
        <w:t xml:space="preserve"> will host regional training workshops on subjects defined during the Inception Phase of the project: and</w:t>
      </w:r>
    </w:p>
    <w:p w14:paraId="3F45CDF4" w14:textId="77777777" w:rsidR="00412DC1" w:rsidRDefault="00412DC1" w:rsidP="00412DC1">
      <w:pPr>
        <w:numPr>
          <w:ilvl w:val="0"/>
          <w:numId w:val="18"/>
        </w:numPr>
        <w:jc w:val="both"/>
        <w:rPr>
          <w:rFonts w:asciiTheme="minorHAnsi" w:hAnsiTheme="minorHAnsi" w:cstheme="minorHAnsi"/>
          <w:color w:val="000000"/>
          <w:sz w:val="22"/>
          <w:szCs w:val="22"/>
        </w:rPr>
      </w:pPr>
      <w:r>
        <w:rPr>
          <w:rFonts w:asciiTheme="minorHAnsi" w:hAnsiTheme="minorHAnsi" w:cstheme="minorHAnsi"/>
          <w:color w:val="000000"/>
          <w:sz w:val="22"/>
          <w:szCs w:val="22"/>
        </w:rPr>
        <w:t>In-kind support of partners to deliver face-to-face sessions at workshops, participate in the “</w:t>
      </w:r>
      <w:r>
        <w:rPr>
          <w:rFonts w:asciiTheme="minorHAnsi" w:hAnsiTheme="minorHAnsi" w:cstheme="minorHAnsi"/>
          <w:sz w:val="22"/>
          <w:szCs w:val="22"/>
        </w:rPr>
        <w:t>Knowledge Dialogues</w:t>
      </w:r>
      <w:r>
        <w:rPr>
          <w:rFonts w:asciiTheme="minorHAnsi" w:hAnsiTheme="minorHAnsi" w:cstheme="minorHAnsi"/>
          <w:color w:val="000000"/>
          <w:sz w:val="22"/>
          <w:szCs w:val="22"/>
        </w:rPr>
        <w:t xml:space="preserve">” </w:t>
      </w:r>
      <w:r>
        <w:rPr>
          <w:rFonts w:asciiTheme="minorHAnsi" w:hAnsiTheme="minorHAnsi" w:cstheme="minorHAnsi"/>
          <w:sz w:val="22"/>
          <w:szCs w:val="22"/>
        </w:rPr>
        <w:t>and</w:t>
      </w:r>
      <w:r>
        <w:rPr>
          <w:rFonts w:asciiTheme="minorHAnsi" w:hAnsiTheme="minorHAnsi" w:cstheme="minorHAnsi"/>
          <w:color w:val="000000"/>
          <w:sz w:val="22"/>
          <w:szCs w:val="22"/>
        </w:rPr>
        <w:t xml:space="preserve"> provide follow up support to the GEF IW portfolio </w:t>
      </w:r>
      <w:r>
        <w:rPr>
          <w:rFonts w:asciiTheme="minorHAnsi" w:hAnsiTheme="minorHAnsi" w:cstheme="minorHAnsi"/>
          <w:sz w:val="22"/>
          <w:szCs w:val="22"/>
        </w:rPr>
        <w:t>(to be sustained beyond this phase of GEF IW:LEARN).</w:t>
      </w:r>
    </w:p>
    <w:p w14:paraId="73FAF263" w14:textId="77777777" w:rsidR="00412DC1" w:rsidRDefault="00412DC1" w:rsidP="00412DC1">
      <w:pPr>
        <w:jc w:val="both"/>
        <w:rPr>
          <w:rFonts w:asciiTheme="minorHAnsi" w:hAnsiTheme="minorHAnsi" w:cstheme="minorHAnsi"/>
          <w:sz w:val="22"/>
          <w:szCs w:val="22"/>
        </w:rPr>
      </w:pPr>
    </w:p>
    <w:p w14:paraId="7D31BD9E"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The GEF incremental funds will support:</w:t>
      </w:r>
    </w:p>
    <w:p w14:paraId="784447C3" w14:textId="77777777" w:rsidR="00412DC1" w:rsidRDefault="00412DC1" w:rsidP="00412DC1">
      <w:pPr>
        <w:jc w:val="both"/>
        <w:rPr>
          <w:rFonts w:asciiTheme="minorHAnsi" w:hAnsiTheme="minorHAnsi" w:cstheme="minorHAnsi"/>
          <w:sz w:val="22"/>
          <w:szCs w:val="22"/>
        </w:rPr>
      </w:pPr>
    </w:p>
    <w:p w14:paraId="6E81FD4C" w14:textId="77777777" w:rsidR="00412DC1" w:rsidRDefault="00412DC1" w:rsidP="00412DC1">
      <w:pPr>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Participation of the project staff of GEF International Waters Projects to face-to-face events on a cost-sharing basis;</w:t>
      </w:r>
    </w:p>
    <w:p w14:paraId="0BDF3763" w14:textId="77777777" w:rsidR="00412DC1" w:rsidRDefault="00412DC1" w:rsidP="00412DC1">
      <w:pPr>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Face-to-face workshop arrangement costs (venue, catering, flip-charts, audio, wi</w:t>
      </w:r>
      <w:sdt>
        <w:sdtPr>
          <w:rPr>
            <w:rFonts w:asciiTheme="minorHAnsi" w:hAnsiTheme="minorHAnsi" w:cstheme="minorHAnsi"/>
          </w:rPr>
          <w:tag w:val="goog_rdk_282"/>
          <w:id w:val="777684562"/>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fi etc.);</w:t>
      </w:r>
      <w:sdt>
        <w:sdtPr>
          <w:rPr>
            <w:rFonts w:asciiTheme="minorHAnsi" w:hAnsiTheme="minorHAnsi" w:cstheme="minorHAnsi"/>
          </w:rPr>
          <w:tag w:val="goog_rdk_283"/>
          <w:id w:val="1631901508"/>
        </w:sdtPr>
        <w:sdtEndPr/>
        <w:sdtContent>
          <w:r>
            <w:rPr>
              <w:rFonts w:asciiTheme="minorHAnsi" w:hAnsiTheme="minorHAnsi" w:cstheme="minorHAnsi"/>
              <w:color w:val="000000"/>
              <w:sz w:val="22"/>
              <w:szCs w:val="22"/>
            </w:rPr>
            <w:t xml:space="preserve"> and</w:t>
          </w:r>
        </w:sdtContent>
      </w:sdt>
    </w:p>
    <w:p w14:paraId="0D5C7E4D" w14:textId="77777777" w:rsidR="00412DC1" w:rsidRDefault="00412DC1" w:rsidP="00412DC1">
      <w:pPr>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Contracting an online service platform to provide technical support and host </w:t>
      </w:r>
      <w:sdt>
        <w:sdtPr>
          <w:rPr>
            <w:rFonts w:asciiTheme="minorHAnsi" w:hAnsiTheme="minorHAnsi" w:cstheme="minorHAnsi"/>
          </w:rPr>
          <w:tag w:val="goog_rdk_285"/>
          <w:id w:val="-918251919"/>
        </w:sdtPr>
        <w:sdtEndPr/>
        <w:sdtContent>
          <w:r>
            <w:rPr>
              <w:rFonts w:asciiTheme="minorHAnsi" w:hAnsiTheme="minorHAnsi" w:cstheme="minorHAnsi"/>
              <w:color w:val="000000"/>
              <w:sz w:val="22"/>
              <w:szCs w:val="22"/>
            </w:rPr>
            <w:t xml:space="preserve">selected </w:t>
          </w:r>
        </w:sdtContent>
      </w:sdt>
      <w:r>
        <w:rPr>
          <w:rFonts w:asciiTheme="minorHAnsi" w:hAnsiTheme="minorHAnsi" w:cstheme="minorHAnsi"/>
          <w:color w:val="000000"/>
          <w:sz w:val="22"/>
          <w:szCs w:val="22"/>
        </w:rPr>
        <w:t>e-learning courses.</w:t>
      </w:r>
    </w:p>
    <w:p w14:paraId="3065FF54" w14:textId="77777777" w:rsidR="00412DC1" w:rsidRDefault="00412DC1" w:rsidP="00412DC1">
      <w:pPr>
        <w:jc w:val="both"/>
        <w:rPr>
          <w:rFonts w:asciiTheme="minorHAnsi" w:hAnsiTheme="minorHAnsi" w:cstheme="minorHAnsi"/>
          <w:sz w:val="22"/>
          <w:szCs w:val="22"/>
        </w:rPr>
      </w:pPr>
    </w:p>
    <w:p w14:paraId="54010B90" w14:textId="77777777" w:rsidR="00412DC1" w:rsidRDefault="00412DC1" w:rsidP="00412DC1">
      <w:pPr>
        <w:jc w:val="both"/>
        <w:rPr>
          <w:rFonts w:asciiTheme="minorHAnsi" w:hAnsiTheme="minorHAnsi" w:cstheme="minorHAnsi"/>
          <w:sz w:val="22"/>
          <w:szCs w:val="22"/>
        </w:rPr>
      </w:pPr>
      <w:r>
        <w:rPr>
          <w:rFonts w:asciiTheme="minorHAnsi" w:hAnsiTheme="minorHAnsi" w:cstheme="minorHAnsi"/>
          <w:sz w:val="22"/>
          <w:szCs w:val="22"/>
        </w:rPr>
        <w:t xml:space="preserve">As part of the follow up on each workshop, a virtual “Knowledge Dialogue” will be facilitated by the PCU to encourage the continuation of peer-to-peer learning and to monitor the progress of participants in applying the knowledge gained. </w:t>
      </w:r>
    </w:p>
    <w:p w14:paraId="4725692E" w14:textId="77777777" w:rsidR="00412DC1" w:rsidRDefault="00412DC1" w:rsidP="00412DC1">
      <w:pPr>
        <w:jc w:val="both"/>
        <w:rPr>
          <w:rFonts w:asciiTheme="minorHAnsi" w:hAnsiTheme="minorHAnsi" w:cstheme="minorHAnsi"/>
          <w:sz w:val="22"/>
          <w:szCs w:val="22"/>
        </w:rPr>
      </w:pPr>
    </w:p>
    <w:p w14:paraId="2EB54DA0" w14:textId="0BB4F007" w:rsidR="00412DC1" w:rsidRDefault="00412DC1" w:rsidP="00F439E2">
      <w:pPr>
        <w:jc w:val="both"/>
        <w:rPr>
          <w:rFonts w:asciiTheme="minorHAnsi" w:hAnsiTheme="minorHAnsi" w:cstheme="minorHAnsi"/>
          <w:sz w:val="22"/>
          <w:szCs w:val="22"/>
        </w:rPr>
      </w:pPr>
      <w:r>
        <w:rPr>
          <w:rFonts w:asciiTheme="minorHAnsi" w:hAnsiTheme="minorHAnsi" w:cstheme="minorHAnsi"/>
          <w:sz w:val="22"/>
          <w:szCs w:val="22"/>
        </w:rPr>
        <w:t xml:space="preserve">Due to COVID-19 pandemics, trainings when not possible to be </w:t>
      </w:r>
      <w:proofErr w:type="spellStart"/>
      <w:r>
        <w:rPr>
          <w:rFonts w:asciiTheme="minorHAnsi" w:hAnsiTheme="minorHAnsi" w:cstheme="minorHAnsi"/>
          <w:sz w:val="22"/>
          <w:szCs w:val="22"/>
        </w:rPr>
        <w:t>organised</w:t>
      </w:r>
      <w:proofErr w:type="spellEnd"/>
      <w:r>
        <w:rPr>
          <w:rFonts w:asciiTheme="minorHAnsi" w:hAnsiTheme="minorHAnsi" w:cstheme="minorHAnsi"/>
          <w:sz w:val="22"/>
          <w:szCs w:val="22"/>
        </w:rPr>
        <w:t xml:space="preserve"> in person, will be organized virtually to ensure that any COVID-19 related limitations will be dealt with in a timely manner. This will be particularly important during the first year of the project’s implementation.</w:t>
      </w:r>
    </w:p>
    <w:p w14:paraId="0C55592D" w14:textId="77777777" w:rsidR="00412DC1" w:rsidRPr="00412DC1" w:rsidRDefault="00412DC1" w:rsidP="00412DC1"/>
    <w:p w14:paraId="34F97F92" w14:textId="75AA75B8" w:rsidR="00D54A54" w:rsidRDefault="00D54A54" w:rsidP="00D54A54">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Sub-component 1.</w:t>
      </w:r>
      <w:r>
        <w:rPr>
          <w:rFonts w:asciiTheme="minorHAnsi" w:hAnsiTheme="minorHAnsi" w:cstheme="minorHAnsi"/>
          <w:b/>
          <w:bCs/>
          <w:i w:val="0"/>
          <w:iCs w:val="0"/>
          <w:color w:val="000000" w:themeColor="text1"/>
        </w:rPr>
        <w:t>3</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Structured and iterative twinning exchange program between projects and institutions with demonstrated excellence in water and ocean management (UNDP)</w:t>
      </w:r>
    </w:p>
    <w:p w14:paraId="76009A2F" w14:textId="77777777" w:rsidR="00D54A54" w:rsidRDefault="00D54A54" w:rsidP="00D54A54">
      <w:pPr>
        <w:jc w:val="both"/>
        <w:rPr>
          <w:rFonts w:asciiTheme="minorHAnsi" w:hAnsiTheme="minorHAnsi" w:cstheme="minorHAnsi"/>
          <w:sz w:val="22"/>
          <w:szCs w:val="22"/>
        </w:rPr>
      </w:pPr>
    </w:p>
    <w:p w14:paraId="1027F51D" w14:textId="77777777" w:rsidR="00D54A54" w:rsidRDefault="00D54A54" w:rsidP="00D54A54">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67F30CB6" w14:textId="77777777" w:rsidR="00D54A54" w:rsidRDefault="00D54A54" w:rsidP="00D54A54">
      <w:pPr>
        <w:shd w:val="clear" w:color="auto" w:fill="E7E6E6"/>
        <w:jc w:val="both"/>
        <w:rPr>
          <w:rFonts w:asciiTheme="minorHAnsi" w:hAnsiTheme="minorHAnsi" w:cstheme="minorHAnsi"/>
          <w:sz w:val="22"/>
          <w:szCs w:val="22"/>
        </w:rPr>
      </w:pPr>
    </w:p>
    <w:p w14:paraId="723B7E47"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1.3 is:</w:t>
      </w:r>
    </w:p>
    <w:p w14:paraId="6F6853AA" w14:textId="77777777" w:rsidR="00D54A54" w:rsidRDefault="00D54A54" w:rsidP="00D54A54">
      <w:pPr>
        <w:shd w:val="clear" w:color="auto" w:fill="E7E6E6"/>
        <w:jc w:val="both"/>
        <w:rPr>
          <w:rFonts w:asciiTheme="minorHAnsi" w:hAnsiTheme="minorHAnsi" w:cstheme="minorHAnsi"/>
          <w:sz w:val="22"/>
          <w:szCs w:val="22"/>
        </w:rPr>
      </w:pPr>
    </w:p>
    <w:p w14:paraId="105E93ED"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Structured and iterative twinning exchange program between projects and institutions with demonstrated excellence in water and ocean management</w:t>
      </w:r>
    </w:p>
    <w:p w14:paraId="175DA59F" w14:textId="77777777" w:rsidR="00D54A54" w:rsidRDefault="00D54A54" w:rsidP="00D54A54">
      <w:pPr>
        <w:shd w:val="clear" w:color="auto" w:fill="E7E6E6"/>
        <w:jc w:val="both"/>
        <w:rPr>
          <w:rFonts w:asciiTheme="minorHAnsi" w:hAnsiTheme="minorHAnsi" w:cstheme="minorHAnsi"/>
          <w:sz w:val="22"/>
          <w:szCs w:val="22"/>
        </w:rPr>
      </w:pPr>
    </w:p>
    <w:p w14:paraId="7EA772EA"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1.3 is:</w:t>
      </w:r>
    </w:p>
    <w:p w14:paraId="78F07703" w14:textId="77777777" w:rsidR="00D54A54" w:rsidRDefault="00D54A54" w:rsidP="00D54A54">
      <w:pPr>
        <w:shd w:val="clear" w:color="auto" w:fill="E7E6E6"/>
        <w:jc w:val="both"/>
        <w:rPr>
          <w:rFonts w:asciiTheme="minorHAnsi" w:hAnsiTheme="minorHAnsi" w:cstheme="minorHAnsi"/>
          <w:sz w:val="22"/>
          <w:szCs w:val="22"/>
        </w:rPr>
      </w:pPr>
    </w:p>
    <w:p w14:paraId="3C129F9B"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Enhanced portfolio &amp; development partner capacity at the national, regional &amp; global levels, and improved portfolio-wide project performance</w:t>
      </w:r>
    </w:p>
    <w:p w14:paraId="3181DE58" w14:textId="77777777" w:rsidR="00D54A54" w:rsidRDefault="00D54A54" w:rsidP="00D54A54">
      <w:pPr>
        <w:shd w:val="clear" w:color="auto" w:fill="E7E6E6"/>
        <w:jc w:val="both"/>
        <w:rPr>
          <w:rFonts w:asciiTheme="minorHAnsi" w:hAnsiTheme="minorHAnsi" w:cstheme="minorHAnsi"/>
          <w:b/>
          <w:sz w:val="22"/>
          <w:szCs w:val="22"/>
        </w:rPr>
      </w:pPr>
    </w:p>
    <w:p w14:paraId="5E3B920F" w14:textId="77777777" w:rsidR="00D54A54" w:rsidRDefault="00D54A54" w:rsidP="00D54A54">
      <w:pPr>
        <w:shd w:val="clear" w:color="auto" w:fill="E7E6E6"/>
        <w:rPr>
          <w:rFonts w:asciiTheme="minorHAnsi" w:hAnsiTheme="minorHAnsi" w:cstheme="minorHAnsi"/>
          <w:b/>
          <w:sz w:val="22"/>
          <w:szCs w:val="22"/>
        </w:rPr>
      </w:pPr>
      <w:r>
        <w:rPr>
          <w:rFonts w:asciiTheme="minorHAnsi" w:hAnsiTheme="minorHAnsi" w:cstheme="minorHAnsi"/>
          <w:b/>
          <w:sz w:val="22"/>
          <w:szCs w:val="22"/>
        </w:rPr>
        <w:t>The overall costs for Component 1: GEF Grant USD 1,717,200</w:t>
      </w:r>
    </w:p>
    <w:p w14:paraId="2E5F3D37" w14:textId="77777777" w:rsidR="00D54A54" w:rsidRDefault="00D54A54" w:rsidP="00D54A54">
      <w:pPr>
        <w:shd w:val="clear" w:color="auto" w:fill="E7E6E6"/>
        <w:jc w:val="both"/>
        <w:rPr>
          <w:rFonts w:asciiTheme="minorHAnsi" w:hAnsiTheme="minorHAnsi" w:cstheme="minorHAnsi"/>
          <w:b/>
          <w:sz w:val="22"/>
          <w:szCs w:val="22"/>
        </w:rPr>
      </w:pPr>
    </w:p>
    <w:p w14:paraId="16BC32D0"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 xml:space="preserve">This sub-component links to the following sub-components: </w:t>
      </w:r>
      <w:r>
        <w:rPr>
          <w:rFonts w:asciiTheme="minorHAnsi" w:hAnsiTheme="minorHAnsi" w:cstheme="minorHAnsi"/>
          <w:sz w:val="22"/>
          <w:szCs w:val="22"/>
        </w:rPr>
        <w:t>All</w:t>
      </w:r>
    </w:p>
    <w:p w14:paraId="4CF60225" w14:textId="77777777" w:rsidR="00D54A54" w:rsidRDefault="00D54A54" w:rsidP="00D54A54">
      <w:pPr>
        <w:shd w:val="clear" w:color="auto" w:fill="E7E6E6"/>
        <w:jc w:val="both"/>
        <w:rPr>
          <w:rFonts w:asciiTheme="minorHAnsi" w:hAnsiTheme="minorHAnsi" w:cstheme="minorHAnsi"/>
          <w:b/>
          <w:sz w:val="22"/>
          <w:szCs w:val="22"/>
        </w:rPr>
      </w:pPr>
    </w:p>
    <w:p w14:paraId="14BD2235" w14:textId="77777777" w:rsidR="00D54A54" w:rsidRDefault="00D54A54" w:rsidP="00D54A54">
      <w:pPr>
        <w:jc w:val="both"/>
        <w:rPr>
          <w:rFonts w:asciiTheme="minorHAnsi" w:hAnsiTheme="minorHAnsi" w:cstheme="minorHAnsi"/>
          <w:b/>
          <w:sz w:val="22"/>
          <w:szCs w:val="22"/>
        </w:rPr>
      </w:pPr>
    </w:p>
    <w:p w14:paraId="36D5F9C9"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No two GEF IW projects are addressing identical issues but many IW projects face similar challenges or are tasked with addressing similar transboundary issues. A successful way for projects to learn from each other is to match-up two or more similar projects (or partner institutions), through project twinning exchanges. Twinning has successfully built the capacity of project and government staff to achieve improved project implementation and results, natural resource management, and higher success of sustainability. From 2003, IW:LEARN projects have facilitated 37 </w:t>
      </w:r>
      <w:proofErr w:type="spellStart"/>
      <w:r>
        <w:rPr>
          <w:rFonts w:asciiTheme="minorHAnsi" w:hAnsiTheme="minorHAnsi" w:cstheme="minorHAnsi"/>
          <w:sz w:val="22"/>
          <w:szCs w:val="22"/>
        </w:rPr>
        <w:t>twinnings</w:t>
      </w:r>
      <w:proofErr w:type="spellEnd"/>
      <w:r>
        <w:rPr>
          <w:rFonts w:asciiTheme="minorHAnsi" w:hAnsiTheme="minorHAnsi" w:cstheme="minorHAnsi"/>
          <w:sz w:val="22"/>
          <w:szCs w:val="22"/>
        </w:rPr>
        <w:t xml:space="preserve"> involving 287 beneficiaries as part of 64 GEF IW projects. A further 8 </w:t>
      </w:r>
      <w:proofErr w:type="spellStart"/>
      <w:r>
        <w:rPr>
          <w:rFonts w:asciiTheme="minorHAnsi" w:hAnsiTheme="minorHAnsi" w:cstheme="minorHAnsi"/>
          <w:sz w:val="22"/>
          <w:szCs w:val="22"/>
        </w:rPr>
        <w:t>twinnings</w:t>
      </w:r>
      <w:proofErr w:type="spellEnd"/>
      <w:r>
        <w:rPr>
          <w:rFonts w:asciiTheme="minorHAnsi" w:hAnsiTheme="minorHAnsi" w:cstheme="minorHAnsi"/>
          <w:sz w:val="22"/>
          <w:szCs w:val="22"/>
        </w:rPr>
        <w:t xml:space="preserve"> were conducted during the LME:LEARN project (operational from 2016-2020).</w:t>
      </w:r>
    </w:p>
    <w:p w14:paraId="49DC6624" w14:textId="77777777" w:rsidR="00D54A54" w:rsidRDefault="00D54A54" w:rsidP="00D54A54">
      <w:pPr>
        <w:jc w:val="both"/>
        <w:rPr>
          <w:rFonts w:asciiTheme="minorHAnsi" w:hAnsiTheme="minorHAnsi" w:cstheme="minorHAnsi"/>
          <w:sz w:val="22"/>
          <w:szCs w:val="22"/>
        </w:rPr>
      </w:pPr>
    </w:p>
    <w:p w14:paraId="27474FEB"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This project will fund a program of iterative twinning exchanges (two exchanges) between the same projects and their identified partners. This enhanced approach will promote stronger partnership between projects through repeat visits and a program of goals to be set over the duration of the IW:LEARN project. </w:t>
      </w:r>
    </w:p>
    <w:p w14:paraId="75D19FDE" w14:textId="77777777" w:rsidR="00D54A54" w:rsidRDefault="00D54A54" w:rsidP="00D54A54">
      <w:pPr>
        <w:jc w:val="both"/>
        <w:rPr>
          <w:rFonts w:asciiTheme="minorHAnsi" w:hAnsiTheme="minorHAnsi" w:cstheme="minorHAnsi"/>
          <w:sz w:val="22"/>
          <w:szCs w:val="22"/>
        </w:rPr>
      </w:pPr>
    </w:p>
    <w:p w14:paraId="05EEFC04"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However, this sub-component will still allocate some project funds for ad hoc proposals submitted by projects to </w:t>
      </w:r>
      <w:proofErr w:type="spellStart"/>
      <w:r>
        <w:rPr>
          <w:rFonts w:asciiTheme="minorHAnsi" w:hAnsiTheme="minorHAnsi" w:cstheme="minorHAnsi"/>
          <w:sz w:val="22"/>
          <w:szCs w:val="22"/>
        </w:rPr>
        <w:t>catalyse</w:t>
      </w:r>
      <w:proofErr w:type="spellEnd"/>
      <w:r>
        <w:rPr>
          <w:rFonts w:asciiTheme="minorHAnsi" w:hAnsiTheme="minorHAnsi" w:cstheme="minorHAnsi"/>
          <w:sz w:val="22"/>
          <w:szCs w:val="22"/>
        </w:rPr>
        <w:t xml:space="preserve"> twinning arrangements. </w:t>
      </w:r>
    </w:p>
    <w:p w14:paraId="3C46DC60" w14:textId="77777777" w:rsidR="00D54A54" w:rsidRDefault="00D54A54" w:rsidP="00D54A54">
      <w:pPr>
        <w:jc w:val="both"/>
        <w:rPr>
          <w:rFonts w:asciiTheme="minorHAnsi" w:hAnsiTheme="minorHAnsi" w:cstheme="minorHAnsi"/>
          <w:sz w:val="22"/>
          <w:szCs w:val="22"/>
        </w:rPr>
      </w:pPr>
    </w:p>
    <w:p w14:paraId="05812E30"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The sub-component will have three principal objectives: </w:t>
      </w:r>
    </w:p>
    <w:p w14:paraId="47D59CB6" w14:textId="77777777" w:rsidR="00D54A54" w:rsidRDefault="00D54A54" w:rsidP="00D54A54">
      <w:pPr>
        <w:jc w:val="both"/>
        <w:rPr>
          <w:rFonts w:asciiTheme="minorHAnsi" w:hAnsiTheme="minorHAnsi" w:cstheme="minorHAnsi"/>
          <w:sz w:val="22"/>
          <w:szCs w:val="22"/>
        </w:rPr>
      </w:pPr>
    </w:p>
    <w:p w14:paraId="68E9D193" w14:textId="77777777" w:rsidR="00D54A54" w:rsidRDefault="00D54A54" w:rsidP="00D54A54">
      <w:pPr>
        <w:numPr>
          <w:ilvl w:val="0"/>
          <w:numId w:val="20"/>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Exchange project experience and expertise at the operational level between projects with similar goals, objectives and activities;</w:t>
      </w:r>
    </w:p>
    <w:p w14:paraId="6D19DDF9" w14:textId="77777777" w:rsidR="00D54A54" w:rsidRDefault="00D54A54" w:rsidP="00D54A54">
      <w:pPr>
        <w:numPr>
          <w:ilvl w:val="0"/>
          <w:numId w:val="20"/>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Mutually increase capacity for more effective protection of shared resources and sustainable management of transboundary water systems;</w:t>
      </w:r>
      <w:sdt>
        <w:sdtPr>
          <w:rPr>
            <w:rFonts w:asciiTheme="minorHAnsi" w:hAnsiTheme="minorHAnsi" w:cstheme="minorHAnsi"/>
          </w:rPr>
          <w:tag w:val="goog_rdk_286"/>
          <w:id w:val="-868983835"/>
        </w:sdtPr>
        <w:sdtEndPr/>
        <w:sdtContent>
          <w:r>
            <w:rPr>
              <w:rFonts w:asciiTheme="minorHAnsi" w:hAnsiTheme="minorHAnsi" w:cstheme="minorHAnsi"/>
              <w:color w:val="000000"/>
              <w:sz w:val="22"/>
              <w:szCs w:val="22"/>
            </w:rPr>
            <w:t xml:space="preserve"> and</w:t>
          </w:r>
        </w:sdtContent>
      </w:sdt>
    </w:p>
    <w:p w14:paraId="1465970A" w14:textId="77777777" w:rsidR="00D54A54" w:rsidRDefault="00D54A54" w:rsidP="00D54A54">
      <w:pPr>
        <w:numPr>
          <w:ilvl w:val="0"/>
          <w:numId w:val="20"/>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Document and disseminate recommendations and lessons gleaned from the exchanges across participating GEF IW projects.</w:t>
      </w:r>
    </w:p>
    <w:p w14:paraId="18601E98" w14:textId="77777777" w:rsidR="00D54A54" w:rsidRDefault="00D54A54" w:rsidP="00D54A54">
      <w:pPr>
        <w:jc w:val="both"/>
        <w:rPr>
          <w:rFonts w:asciiTheme="minorHAnsi" w:hAnsiTheme="minorHAnsi" w:cstheme="minorHAnsi"/>
          <w:sz w:val="22"/>
          <w:szCs w:val="22"/>
        </w:rPr>
      </w:pPr>
    </w:p>
    <w:p w14:paraId="3A827D65"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The activity will contribute to the overall component goal of enhancing portfolio and partner capacity through the transfer of expertise and practical skills via direct personal knowledge transfer. </w:t>
      </w:r>
    </w:p>
    <w:p w14:paraId="3B114CCE" w14:textId="77777777" w:rsidR="00D54A54" w:rsidRDefault="00D54A54" w:rsidP="00D54A54">
      <w:pPr>
        <w:jc w:val="both"/>
        <w:rPr>
          <w:rFonts w:asciiTheme="minorHAnsi" w:hAnsiTheme="minorHAnsi" w:cstheme="minorHAnsi"/>
          <w:sz w:val="22"/>
          <w:szCs w:val="22"/>
        </w:rPr>
      </w:pPr>
    </w:p>
    <w:p w14:paraId="21BC4EC2"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role of the PCU will be to work with GEF IW projects to develop and solicit twinning proposals, help coordinate their logistics and ensure sustained follow-up, monitor the impact and share the learning with the wider-portfolio.</w:t>
      </w:r>
    </w:p>
    <w:p w14:paraId="50262CBC" w14:textId="77777777" w:rsidR="00D54A54" w:rsidRDefault="00D54A54" w:rsidP="00D54A54">
      <w:pPr>
        <w:jc w:val="both"/>
        <w:rPr>
          <w:rFonts w:asciiTheme="minorHAnsi" w:hAnsiTheme="minorHAnsi" w:cstheme="minorHAnsi"/>
          <w:sz w:val="22"/>
          <w:szCs w:val="22"/>
        </w:rPr>
      </w:pPr>
    </w:p>
    <w:p w14:paraId="638F1457"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When knowledge is required beyond the pool of GEF IW projects, twinning learning exchanges can be undertaken with </w:t>
      </w:r>
      <w:proofErr w:type="spellStart"/>
      <w:r>
        <w:rPr>
          <w:rFonts w:asciiTheme="minorHAnsi" w:hAnsiTheme="minorHAnsi" w:cstheme="minorHAnsi"/>
          <w:sz w:val="22"/>
          <w:szCs w:val="22"/>
        </w:rPr>
        <w:t>organisations</w:t>
      </w:r>
      <w:proofErr w:type="spellEnd"/>
      <w:r>
        <w:rPr>
          <w:rFonts w:asciiTheme="minorHAnsi" w:hAnsiTheme="minorHAnsi" w:cstheme="minorHAnsi"/>
          <w:sz w:val="22"/>
          <w:szCs w:val="22"/>
        </w:rPr>
        <w:t xml:space="preserve"> with demonstrated experience. Numerous </w:t>
      </w:r>
      <w:proofErr w:type="spellStart"/>
      <w:r>
        <w:rPr>
          <w:rFonts w:asciiTheme="minorHAnsi" w:hAnsiTheme="minorHAnsi" w:cstheme="minorHAnsi"/>
          <w:sz w:val="22"/>
          <w:szCs w:val="22"/>
        </w:rPr>
        <w:t>organisations</w:t>
      </w:r>
      <w:proofErr w:type="spellEnd"/>
      <w:r>
        <w:rPr>
          <w:rFonts w:asciiTheme="minorHAnsi" w:hAnsiTheme="minorHAnsi" w:cstheme="minorHAnsi"/>
          <w:sz w:val="22"/>
          <w:szCs w:val="22"/>
        </w:rPr>
        <w:t xml:space="preserve"> have offered their expertise to the portfolio</w:t>
      </w:r>
      <w:sdt>
        <w:sdtPr>
          <w:rPr>
            <w:rFonts w:asciiTheme="minorHAnsi" w:hAnsiTheme="minorHAnsi" w:cstheme="minorHAnsi"/>
          </w:rPr>
          <w:tag w:val="goog_rdk_287"/>
          <w:id w:val="-1348169289"/>
        </w:sdtPr>
        <w:sdtEndPr/>
        <w:sdtContent>
          <w:r>
            <w:rPr>
              <w:rFonts w:asciiTheme="minorHAnsi" w:hAnsiTheme="minorHAnsi" w:cstheme="minorHAnsi"/>
              <w:sz w:val="22"/>
              <w:szCs w:val="22"/>
            </w:rPr>
            <w:t xml:space="preserve"> such as those highlighted below</w:t>
          </w:r>
        </w:sdtContent>
      </w:sdt>
      <w:r>
        <w:rPr>
          <w:rFonts w:asciiTheme="minorHAnsi" w:hAnsiTheme="minorHAnsi" w:cstheme="minorHAnsi"/>
          <w:sz w:val="22"/>
          <w:szCs w:val="22"/>
        </w:rPr>
        <w:t xml:space="preserve">, however, this list of support is not intended to be prescriptive but </w:t>
      </w:r>
      <w:sdt>
        <w:sdtPr>
          <w:rPr>
            <w:rFonts w:asciiTheme="minorHAnsi" w:hAnsiTheme="minorHAnsi" w:cstheme="minorHAnsi"/>
          </w:rPr>
          <w:tag w:val="goog_rdk_288"/>
          <w:id w:val="2046940161"/>
        </w:sdtPr>
        <w:sdtEndPr/>
        <w:sdtContent>
          <w:r>
            <w:rPr>
              <w:rFonts w:asciiTheme="minorHAnsi" w:hAnsiTheme="minorHAnsi" w:cstheme="minorHAnsi"/>
              <w:sz w:val="22"/>
              <w:szCs w:val="22"/>
            </w:rPr>
            <w:t xml:space="preserve">merely </w:t>
          </w:r>
        </w:sdtContent>
      </w:sdt>
      <w:r>
        <w:rPr>
          <w:rFonts w:asciiTheme="minorHAnsi" w:hAnsiTheme="minorHAnsi" w:cstheme="minorHAnsi"/>
          <w:sz w:val="22"/>
          <w:szCs w:val="22"/>
        </w:rPr>
        <w:t>serve as example to be leveraged and marketed for uptake. During project implementation, the PCU will continue to work with these and other appropriate organizations based on demand, needs and priorities of the GEF IW Portfolio of projects:</w:t>
      </w:r>
    </w:p>
    <w:p w14:paraId="030C4AF7" w14:textId="77777777" w:rsidR="00D54A54" w:rsidRDefault="00D54A54" w:rsidP="00D54A54">
      <w:pPr>
        <w:jc w:val="both"/>
        <w:rPr>
          <w:rFonts w:asciiTheme="minorHAnsi" w:hAnsiTheme="minorHAnsi" w:cstheme="minorHAnsi"/>
          <w:sz w:val="22"/>
          <w:szCs w:val="22"/>
        </w:rPr>
      </w:pPr>
    </w:p>
    <w:p w14:paraId="09A494CA" w14:textId="77777777" w:rsidR="00D54A54" w:rsidRDefault="00D54A54" w:rsidP="00D54A54">
      <w:pPr>
        <w:numPr>
          <w:ilvl w:val="0"/>
          <w:numId w:val="21"/>
        </w:num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REVOcean</w:t>
      </w:r>
      <w:proofErr w:type="spellEnd"/>
      <w:r>
        <w:rPr>
          <w:rFonts w:asciiTheme="minorHAnsi" w:hAnsiTheme="minorHAnsi" w:cstheme="minorHAnsi"/>
          <w:color w:val="000000"/>
          <w:sz w:val="22"/>
          <w:szCs w:val="22"/>
        </w:rPr>
        <w:t>: Areas of opportunity to twin include running science on their vessel, linking GEF IW projects with other organizations, hosting GEF IW Projects on the ship to do science at sea; hosting meetings and workshops which align with the route of the vessel</w:t>
      </w:r>
      <w:sdt>
        <w:sdtPr>
          <w:rPr>
            <w:rFonts w:asciiTheme="minorHAnsi" w:hAnsiTheme="minorHAnsi" w:cstheme="minorHAnsi"/>
          </w:rPr>
          <w:tag w:val="goog_rdk_290"/>
          <w:id w:val="408893639"/>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291"/>
          <w:id w:val="1936016069"/>
          <w:showingPlcHdr/>
        </w:sdtPr>
        <w:sdtEndPr/>
        <w:sdtContent>
          <w:r>
            <w:rPr>
              <w:rFonts w:asciiTheme="minorHAnsi" w:hAnsiTheme="minorHAnsi" w:cstheme="minorHAnsi"/>
            </w:rPr>
            <w:t xml:space="preserve">     </w:t>
          </w:r>
        </w:sdtContent>
      </w:sdt>
    </w:p>
    <w:p w14:paraId="09ECBF90" w14:textId="77777777" w:rsidR="00D54A54" w:rsidRDefault="00F57A55" w:rsidP="00D54A54">
      <w:pPr>
        <w:numPr>
          <w:ilvl w:val="0"/>
          <w:numId w:val="21"/>
        </w:numPr>
        <w:jc w:val="both"/>
        <w:rPr>
          <w:rFonts w:asciiTheme="minorHAnsi" w:hAnsiTheme="minorHAnsi" w:cstheme="minorHAnsi"/>
          <w:color w:val="000000"/>
          <w:sz w:val="22"/>
          <w:szCs w:val="22"/>
        </w:rPr>
      </w:pPr>
      <w:sdt>
        <w:sdtPr>
          <w:rPr>
            <w:rFonts w:asciiTheme="minorHAnsi" w:hAnsiTheme="minorHAnsi" w:cstheme="minorHAnsi"/>
          </w:rPr>
          <w:tag w:val="goog_rdk_294"/>
          <w:id w:val="-137500692"/>
        </w:sdtPr>
        <w:sdtEndPr/>
        <w:sdtContent>
          <w:r w:rsidR="00D54A54">
            <w:rPr>
              <w:rFonts w:asciiTheme="minorHAnsi" w:hAnsiTheme="minorHAnsi" w:cstheme="minorHAnsi"/>
              <w:color w:val="000000"/>
              <w:sz w:val="22"/>
              <w:szCs w:val="22"/>
            </w:rPr>
            <w:t>ICPDR: 25 years of experience and successful management of the boundary-crossing Danube River Basin. The topics and framework of the twinning activities shall be designed according to the needs and priorities of the GEF IW project interested in undertaking a twinning</w:t>
          </w:r>
          <w:sdt>
            <w:sdtPr>
              <w:rPr>
                <w:rFonts w:asciiTheme="minorHAnsi" w:hAnsiTheme="minorHAnsi" w:cstheme="minorHAnsi"/>
              </w:rPr>
              <w:tag w:val="goog_rdk_292"/>
              <w:id w:val="-821810738"/>
            </w:sdtPr>
            <w:sdtEndPr/>
            <w:sdtContent>
              <w:r w:rsidR="00D54A54">
                <w:rPr>
                  <w:rFonts w:asciiTheme="minorHAnsi" w:hAnsiTheme="minorHAnsi" w:cstheme="minorHAnsi"/>
                  <w:color w:val="000000"/>
                  <w:sz w:val="22"/>
                  <w:szCs w:val="22"/>
                </w:rPr>
                <w:t>;</w:t>
              </w:r>
            </w:sdtContent>
          </w:sdt>
          <w:sdt>
            <w:sdtPr>
              <w:rPr>
                <w:rFonts w:asciiTheme="minorHAnsi" w:hAnsiTheme="minorHAnsi" w:cstheme="minorHAnsi"/>
              </w:rPr>
              <w:tag w:val="goog_rdk_293"/>
              <w:id w:val="43949776"/>
              <w:showingPlcHdr/>
            </w:sdtPr>
            <w:sdtEndPr/>
            <w:sdtContent>
              <w:r w:rsidR="00D54A54">
                <w:rPr>
                  <w:rFonts w:asciiTheme="minorHAnsi" w:hAnsiTheme="minorHAnsi" w:cstheme="minorHAnsi"/>
                </w:rPr>
                <w:t xml:space="preserve">     </w:t>
              </w:r>
            </w:sdtContent>
          </w:sdt>
        </w:sdtContent>
      </w:sdt>
      <w:sdt>
        <w:sdtPr>
          <w:rPr>
            <w:rFonts w:asciiTheme="minorHAnsi" w:hAnsiTheme="minorHAnsi" w:cstheme="minorHAnsi"/>
          </w:rPr>
          <w:tag w:val="goog_rdk_297"/>
          <w:id w:val="1113873178"/>
        </w:sdtPr>
        <w:sdtEndPr/>
        <w:sdtContent>
          <w:sdt>
            <w:sdtPr>
              <w:rPr>
                <w:rFonts w:asciiTheme="minorHAnsi" w:hAnsiTheme="minorHAnsi" w:cstheme="minorHAnsi"/>
              </w:rPr>
              <w:tag w:val="goog_rdk_296"/>
              <w:id w:val="-995873632"/>
            </w:sdtPr>
            <w:sdtEndPr/>
            <w:sdtContent/>
          </w:sdt>
        </w:sdtContent>
      </w:sdt>
    </w:p>
    <w:p w14:paraId="5A7DA7EE" w14:textId="77777777" w:rsidR="00D54A54" w:rsidRDefault="00D54A54" w:rsidP="00D54A54">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UNDP Cap-Net: Their extensive network offers potential for the GEF IW Portfolio when demand for synergies is driven by the GEF IW projects</w:t>
      </w:r>
      <w:sdt>
        <w:sdtPr>
          <w:rPr>
            <w:rFonts w:asciiTheme="minorHAnsi" w:hAnsiTheme="minorHAnsi" w:cstheme="minorHAnsi"/>
          </w:rPr>
          <w:tag w:val="goog_rdk_298"/>
          <w:id w:val="1407879143"/>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299"/>
          <w:id w:val="195275664"/>
          <w:showingPlcHdr/>
        </w:sdtPr>
        <w:sdtEndPr/>
        <w:sdtContent>
          <w:r>
            <w:rPr>
              <w:rFonts w:asciiTheme="minorHAnsi" w:hAnsiTheme="minorHAnsi" w:cstheme="minorHAnsi"/>
            </w:rPr>
            <w:t xml:space="preserve">     </w:t>
          </w:r>
        </w:sdtContent>
      </w:sdt>
    </w:p>
    <w:p w14:paraId="21A041FD" w14:textId="77777777" w:rsidR="00D54A54" w:rsidRDefault="00D54A54" w:rsidP="00D54A54">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OAS: Offered to provide support to the </w:t>
      </w:r>
      <w:proofErr w:type="spellStart"/>
      <w:r>
        <w:rPr>
          <w:rFonts w:asciiTheme="minorHAnsi" w:hAnsiTheme="minorHAnsi" w:cstheme="minorHAnsi"/>
          <w:color w:val="000000"/>
          <w:sz w:val="22"/>
          <w:szCs w:val="22"/>
        </w:rPr>
        <w:t>organisation</w:t>
      </w:r>
      <w:proofErr w:type="spellEnd"/>
      <w:r>
        <w:rPr>
          <w:rFonts w:asciiTheme="minorHAnsi" w:hAnsiTheme="minorHAnsi" w:cstheme="minorHAnsi"/>
          <w:color w:val="000000"/>
          <w:sz w:val="22"/>
          <w:szCs w:val="22"/>
        </w:rPr>
        <w:t xml:space="preserve"> of any twinning taking place in Latin America</w:t>
      </w:r>
      <w:sdt>
        <w:sdtPr>
          <w:rPr>
            <w:rFonts w:asciiTheme="minorHAnsi" w:hAnsiTheme="minorHAnsi" w:cstheme="minorHAnsi"/>
          </w:rPr>
          <w:tag w:val="goog_rdk_300"/>
          <w:id w:val="54753604"/>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301"/>
          <w:id w:val="-1922710114"/>
          <w:showingPlcHdr/>
        </w:sdtPr>
        <w:sdtEndPr/>
        <w:sdtContent>
          <w:r>
            <w:rPr>
              <w:rFonts w:asciiTheme="minorHAnsi" w:hAnsiTheme="minorHAnsi" w:cstheme="minorHAnsi"/>
            </w:rPr>
            <w:t xml:space="preserve">     </w:t>
          </w:r>
        </w:sdtContent>
      </w:sdt>
    </w:p>
    <w:p w14:paraId="1C104268" w14:textId="77777777" w:rsidR="00D54A54" w:rsidRDefault="00D54A54" w:rsidP="00D54A54">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UNEP-DHI: Training on floods and droughts tools, emerging tools for modelling areas with no or limited monitoring stations, training on Earth Observation wetland mapping tool, as part of UNEPs role as custodian agency for SDG indicator 6.6.1</w:t>
      </w:r>
      <w:sdt>
        <w:sdtPr>
          <w:rPr>
            <w:rFonts w:asciiTheme="minorHAnsi" w:hAnsiTheme="minorHAnsi" w:cstheme="minorHAnsi"/>
          </w:rPr>
          <w:tag w:val="goog_rdk_302"/>
          <w:id w:val="-1392420831"/>
        </w:sdtPr>
        <w:sdtEndPr/>
        <w:sdtContent>
          <w:r>
            <w:rPr>
              <w:rFonts w:asciiTheme="minorHAnsi" w:hAnsiTheme="minorHAnsi" w:cstheme="minorHAnsi"/>
              <w:sz w:val="22"/>
              <w:szCs w:val="22"/>
            </w:rPr>
            <w:t>; and</w:t>
          </w:r>
        </w:sdtContent>
      </w:sdt>
      <w:sdt>
        <w:sdtPr>
          <w:rPr>
            <w:rFonts w:asciiTheme="minorHAnsi" w:hAnsiTheme="minorHAnsi" w:cstheme="minorHAnsi"/>
          </w:rPr>
          <w:tag w:val="goog_rdk_303"/>
          <w:id w:val="791872318"/>
          <w:showingPlcHdr/>
        </w:sdtPr>
        <w:sdtEndPr/>
        <w:sdtContent>
          <w:r>
            <w:rPr>
              <w:rFonts w:asciiTheme="minorHAnsi" w:hAnsiTheme="minorHAnsi" w:cstheme="minorHAnsi"/>
            </w:rPr>
            <w:t xml:space="preserve">     </w:t>
          </w:r>
        </w:sdtContent>
      </w:sdt>
    </w:p>
    <w:p w14:paraId="36D04BCD" w14:textId="77777777" w:rsidR="00D54A54" w:rsidRDefault="00D54A54" w:rsidP="00D54A54">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University of New South Wales Global Water Institute: Offered expertise on Water Utilities and Coastal Erosion to the GEF IW Portfolio in the Pacific.</w:t>
      </w:r>
    </w:p>
    <w:p w14:paraId="6FF8BDE7" w14:textId="77777777" w:rsidR="00D54A54" w:rsidRDefault="00D54A54" w:rsidP="00D54A54">
      <w:pPr>
        <w:jc w:val="both"/>
        <w:rPr>
          <w:rFonts w:asciiTheme="minorHAnsi" w:hAnsiTheme="minorHAnsi" w:cstheme="minorHAnsi"/>
          <w:sz w:val="22"/>
          <w:szCs w:val="22"/>
        </w:rPr>
      </w:pPr>
    </w:p>
    <w:p w14:paraId="349A3D3B"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Sub-component 1.3 is comprised of two activities:</w:t>
      </w:r>
    </w:p>
    <w:p w14:paraId="1C2BD315" w14:textId="77777777" w:rsidR="00D54A54" w:rsidRDefault="00D54A54" w:rsidP="00D54A54">
      <w:pPr>
        <w:jc w:val="both"/>
        <w:rPr>
          <w:rFonts w:asciiTheme="minorHAnsi" w:hAnsiTheme="minorHAnsi" w:cstheme="minorHAnsi"/>
          <w:sz w:val="22"/>
          <w:szCs w:val="22"/>
        </w:rPr>
      </w:pPr>
    </w:p>
    <w:p w14:paraId="584D8D84" w14:textId="77777777" w:rsidR="00D54A54" w:rsidRDefault="00D54A54" w:rsidP="00D54A54">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1.3.1: Support a program of iterative twinning exchanges between GEF IW projects and their identified partners</w:t>
      </w:r>
      <w:sdt>
        <w:sdtPr>
          <w:rPr>
            <w:rFonts w:asciiTheme="minorHAnsi" w:hAnsiTheme="minorHAnsi" w:cstheme="minorHAnsi"/>
          </w:rPr>
          <w:tag w:val="goog_rdk_304"/>
          <w:id w:val="-1201867006"/>
        </w:sdtPr>
        <w:sdtEndPr/>
        <w:sdtContent>
          <w:r>
            <w:rPr>
              <w:rFonts w:asciiTheme="minorHAnsi" w:hAnsiTheme="minorHAnsi" w:cstheme="minorHAnsi"/>
              <w:sz w:val="22"/>
              <w:szCs w:val="22"/>
            </w:rPr>
            <w:t>; and</w:t>
          </w:r>
        </w:sdtContent>
      </w:sdt>
      <w:sdt>
        <w:sdtPr>
          <w:rPr>
            <w:rFonts w:asciiTheme="minorHAnsi" w:hAnsiTheme="minorHAnsi" w:cstheme="minorHAnsi"/>
          </w:rPr>
          <w:tag w:val="goog_rdk_305"/>
          <w:id w:val="1821389843"/>
          <w:showingPlcHdr/>
        </w:sdtPr>
        <w:sdtEndPr/>
        <w:sdtContent>
          <w:r>
            <w:rPr>
              <w:rFonts w:asciiTheme="minorHAnsi" w:hAnsiTheme="minorHAnsi" w:cstheme="minorHAnsi"/>
            </w:rPr>
            <w:t xml:space="preserve">     </w:t>
          </w:r>
        </w:sdtContent>
      </w:sdt>
    </w:p>
    <w:p w14:paraId="323AE655" w14:textId="77777777" w:rsidR="00D54A54" w:rsidRDefault="00D54A54" w:rsidP="00D54A54">
      <w:pPr>
        <w:numPr>
          <w:ilvl w:val="0"/>
          <w:numId w:val="9"/>
        </w:numPr>
        <w:ind w:left="714" w:hanging="357"/>
        <w:jc w:val="both"/>
        <w:rPr>
          <w:rFonts w:asciiTheme="minorHAnsi" w:hAnsiTheme="minorHAnsi" w:cstheme="minorHAnsi"/>
          <w:sz w:val="22"/>
          <w:szCs w:val="22"/>
        </w:rPr>
      </w:pPr>
      <w:r>
        <w:rPr>
          <w:rFonts w:asciiTheme="minorHAnsi" w:hAnsiTheme="minorHAnsi" w:cstheme="minorHAnsi"/>
          <w:sz w:val="22"/>
          <w:szCs w:val="22"/>
        </w:rPr>
        <w:t>Activity 1.3.2: Organize ad-hoc twinning exchanges based on proposals submitted from the GEF IW portfolio of projects</w:t>
      </w:r>
      <w:sdt>
        <w:sdtPr>
          <w:rPr>
            <w:rFonts w:asciiTheme="minorHAnsi" w:hAnsiTheme="minorHAnsi" w:cstheme="minorHAnsi"/>
          </w:rPr>
          <w:tag w:val="goog_rdk_306"/>
          <w:id w:val="337981131"/>
        </w:sdtPr>
        <w:sdtEndPr/>
        <w:sdtContent>
          <w:r>
            <w:rPr>
              <w:rFonts w:asciiTheme="minorHAnsi" w:hAnsiTheme="minorHAnsi" w:cstheme="minorHAnsi"/>
              <w:sz w:val="22"/>
              <w:szCs w:val="22"/>
            </w:rPr>
            <w:t>.</w:t>
          </w:r>
        </w:sdtContent>
      </w:sdt>
    </w:p>
    <w:p w14:paraId="18A31B81" w14:textId="77777777" w:rsidR="00D54A54" w:rsidRDefault="00D54A54" w:rsidP="00D54A54">
      <w:pPr>
        <w:jc w:val="both"/>
        <w:rPr>
          <w:rFonts w:asciiTheme="minorHAnsi" w:hAnsiTheme="minorHAnsi" w:cstheme="minorHAnsi"/>
          <w:b/>
          <w:sz w:val="22"/>
          <w:szCs w:val="22"/>
        </w:rPr>
      </w:pPr>
    </w:p>
    <w:p w14:paraId="4462E86C"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Due to the COVID-19 pandemics, the in-person twinning exchange between the projects should not take place for at least first three quarters of the first year of the project’s implementation. However, during that period, the technical aspects of the twinning exchanges, including exchange of experience, knowledge and methodologies could take place. The communications channels between projects will be established via known online platforms and will be facilitated by the PCU. Partners supporting this sub-component will also be involved in online communications.  </w:t>
      </w:r>
    </w:p>
    <w:p w14:paraId="3BDDD808" w14:textId="77777777" w:rsidR="00D54A54" w:rsidRPr="00D54A54" w:rsidRDefault="00D54A54" w:rsidP="00D54A54"/>
    <w:p w14:paraId="3D168CF8" w14:textId="0629F2CB" w:rsidR="00D54A54" w:rsidRDefault="00D54A54" w:rsidP="00D54A54">
      <w:pPr>
        <w:pStyle w:val="Heading5"/>
        <w:rPr>
          <w:rFonts w:asciiTheme="minorHAnsi" w:hAnsiTheme="minorHAnsi" w:cstheme="minorHAnsi"/>
          <w:b/>
          <w:bCs/>
          <w:color w:val="000000" w:themeColor="text1"/>
          <w:sz w:val="22"/>
          <w:szCs w:val="22"/>
        </w:rPr>
      </w:pPr>
      <w:r w:rsidRPr="00D54A54">
        <w:rPr>
          <w:rFonts w:asciiTheme="minorHAnsi" w:hAnsiTheme="minorHAnsi" w:cstheme="minorHAnsi"/>
          <w:b/>
          <w:bCs/>
          <w:color w:val="000000" w:themeColor="text1"/>
          <w:sz w:val="22"/>
          <w:szCs w:val="22"/>
        </w:rPr>
        <w:lastRenderedPageBreak/>
        <w:t>Activity 1.3.1: Support a program of iterative twinning exchanges between GEF IW projects and their identified partners (UNDP)</w:t>
      </w:r>
    </w:p>
    <w:p w14:paraId="26D4ABC6"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Experience from the previous phase of GEF IW:LEARN and the GEF LME:LEARN project (2016-2020) has revealed that collaboration building experiences are only sustained when there is cost sharing with the GEF IW portfolio to support these learning exchanges. During this phase, GEF IW:LEARN will continue to support iterative twinning efforts; however, in the modified form as explained above. The project will focus on establishing iterative (two) twinning exchanges between the same identified twinning pairs presented in the twinning proposal submitted to GEF IW:LEARN. GEF IW projects will have to demonstrate commitment to the collaboration by funding the first exchange with their selected partner. Once completed, GEF IW:LEARN will provide funding to support the second exchange. The focus will be on GEF IW projects who wish to twin with other projects or knowledgeable institutions that are: </w:t>
      </w:r>
    </w:p>
    <w:p w14:paraId="47CE9449" w14:textId="77777777" w:rsidR="00D54A54" w:rsidRDefault="00D54A54" w:rsidP="00D54A54">
      <w:pPr>
        <w:jc w:val="both"/>
        <w:rPr>
          <w:rFonts w:asciiTheme="minorHAnsi" w:hAnsiTheme="minorHAnsi" w:cstheme="minorHAnsi"/>
          <w:sz w:val="22"/>
          <w:szCs w:val="22"/>
        </w:rPr>
      </w:pPr>
    </w:p>
    <w:p w14:paraId="5B1B87B0" w14:textId="77777777" w:rsidR="00D54A54" w:rsidRDefault="00D54A54" w:rsidP="00D54A54">
      <w:pPr>
        <w:numPr>
          <w:ilvl w:val="0"/>
          <w:numId w:val="22"/>
        </w:numPr>
        <w:jc w:val="both"/>
        <w:rPr>
          <w:rFonts w:asciiTheme="minorHAnsi" w:hAnsiTheme="minorHAnsi" w:cstheme="minorHAnsi"/>
          <w:color w:val="000000"/>
          <w:sz w:val="22"/>
          <w:szCs w:val="22"/>
        </w:rPr>
      </w:pPr>
      <w:r>
        <w:rPr>
          <w:rFonts w:asciiTheme="minorHAnsi" w:hAnsiTheme="minorHAnsi" w:cstheme="minorHAnsi"/>
          <w:color w:val="000000"/>
          <w:sz w:val="22"/>
          <w:szCs w:val="22"/>
        </w:rPr>
        <w:t>Inter-connected with the GEF IW project;</w:t>
      </w:r>
    </w:p>
    <w:p w14:paraId="4A315C9A" w14:textId="77777777" w:rsidR="00D54A54" w:rsidRDefault="00D54A54" w:rsidP="00D54A54">
      <w:pPr>
        <w:numPr>
          <w:ilvl w:val="0"/>
          <w:numId w:val="22"/>
        </w:numPr>
        <w:jc w:val="both"/>
        <w:rPr>
          <w:rFonts w:asciiTheme="minorHAnsi" w:hAnsiTheme="minorHAnsi" w:cstheme="minorHAnsi"/>
          <w:color w:val="000000"/>
          <w:sz w:val="22"/>
          <w:szCs w:val="22"/>
        </w:rPr>
      </w:pPr>
      <w:r>
        <w:rPr>
          <w:rFonts w:asciiTheme="minorHAnsi" w:hAnsiTheme="minorHAnsi" w:cstheme="minorHAnsi"/>
          <w:color w:val="000000"/>
          <w:sz w:val="22"/>
          <w:szCs w:val="22"/>
        </w:rPr>
        <w:t>Addressing similar issues;</w:t>
      </w:r>
      <w:sdt>
        <w:sdtPr>
          <w:rPr>
            <w:rFonts w:asciiTheme="minorHAnsi" w:hAnsiTheme="minorHAnsi" w:cstheme="minorHAnsi"/>
          </w:rPr>
          <w:tag w:val="goog_rdk_307"/>
          <w:id w:val="1972941601"/>
        </w:sdtPr>
        <w:sdtEndPr/>
        <w:sdtContent>
          <w:r>
            <w:rPr>
              <w:rFonts w:asciiTheme="minorHAnsi" w:hAnsiTheme="minorHAnsi" w:cstheme="minorHAnsi"/>
              <w:color w:val="000000"/>
              <w:sz w:val="22"/>
              <w:szCs w:val="22"/>
            </w:rPr>
            <w:t xml:space="preserve"> and</w:t>
          </w:r>
        </w:sdtContent>
      </w:sdt>
    </w:p>
    <w:p w14:paraId="62BA6ED6" w14:textId="77777777" w:rsidR="00D54A54" w:rsidRDefault="00D54A54" w:rsidP="00D54A54">
      <w:pPr>
        <w:numPr>
          <w:ilvl w:val="0"/>
          <w:numId w:val="22"/>
        </w:numPr>
        <w:jc w:val="both"/>
        <w:rPr>
          <w:rFonts w:asciiTheme="minorHAnsi" w:hAnsiTheme="minorHAnsi" w:cstheme="minorHAnsi"/>
          <w:color w:val="000000"/>
          <w:sz w:val="22"/>
          <w:szCs w:val="22"/>
        </w:rPr>
      </w:pPr>
      <w:r>
        <w:rPr>
          <w:rFonts w:asciiTheme="minorHAnsi" w:hAnsiTheme="minorHAnsi" w:cstheme="minorHAnsi"/>
          <w:color w:val="000000"/>
          <w:sz w:val="22"/>
          <w:szCs w:val="22"/>
        </w:rPr>
        <w:t>Share similar ecosystem characteristics</w:t>
      </w:r>
      <w:sdt>
        <w:sdtPr>
          <w:rPr>
            <w:rFonts w:asciiTheme="minorHAnsi" w:hAnsiTheme="minorHAnsi" w:cstheme="minorHAnsi"/>
          </w:rPr>
          <w:tag w:val="goog_rdk_308"/>
          <w:id w:val="1848910672"/>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309"/>
          <w:id w:val="325716049"/>
          <w:showingPlcHdr/>
        </w:sdtPr>
        <w:sdtEndPr/>
        <w:sdtContent>
          <w:r>
            <w:rPr>
              <w:rFonts w:asciiTheme="minorHAnsi" w:hAnsiTheme="minorHAnsi" w:cstheme="minorHAnsi"/>
            </w:rPr>
            <w:t xml:space="preserve">     </w:t>
          </w:r>
        </w:sdtContent>
      </w:sdt>
      <w:r>
        <w:rPr>
          <w:rFonts w:asciiTheme="minorHAnsi" w:hAnsiTheme="minorHAnsi" w:cstheme="minorHAnsi"/>
          <w:color w:val="000000"/>
          <w:sz w:val="22"/>
          <w:szCs w:val="22"/>
        </w:rPr>
        <w:t xml:space="preserve"> </w:t>
      </w:r>
    </w:p>
    <w:p w14:paraId="253B015A" w14:textId="77777777" w:rsidR="00D54A54" w:rsidRDefault="00D54A54" w:rsidP="00D54A54">
      <w:pPr>
        <w:jc w:val="both"/>
        <w:rPr>
          <w:rFonts w:asciiTheme="minorHAnsi" w:hAnsiTheme="minorHAnsi" w:cstheme="minorHAnsi"/>
          <w:sz w:val="22"/>
          <w:szCs w:val="22"/>
        </w:rPr>
      </w:pPr>
    </w:p>
    <w:p w14:paraId="63AFABF7"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Proposals for twinning exchanges will be reviewed by the GEF IW:LEARN PCU and will be structured to demonstrate:</w:t>
      </w:r>
    </w:p>
    <w:p w14:paraId="65650D80" w14:textId="77777777" w:rsidR="00D54A54" w:rsidRDefault="00D54A54" w:rsidP="00D54A54">
      <w:pPr>
        <w:jc w:val="both"/>
        <w:rPr>
          <w:rFonts w:asciiTheme="minorHAnsi" w:hAnsiTheme="minorHAnsi" w:cstheme="minorHAnsi"/>
          <w:sz w:val="22"/>
          <w:szCs w:val="22"/>
        </w:rPr>
      </w:pPr>
    </w:p>
    <w:p w14:paraId="70C3E17B" w14:textId="77777777" w:rsidR="00D54A54" w:rsidRDefault="00D54A54" w:rsidP="00D54A54">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Cost-sharing, whereby the GEF IW project supports the first exchange and GEF IW:LEARN supports the second exchange;</w:t>
      </w:r>
    </w:p>
    <w:p w14:paraId="25AE20CC" w14:textId="77777777" w:rsidR="00D54A54" w:rsidRDefault="00D54A54" w:rsidP="00D54A54">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The benefits to the GEF IW project/s and the GEF IW portfolio;</w:t>
      </w:r>
    </w:p>
    <w:p w14:paraId="242D085B" w14:textId="77777777" w:rsidR="00D54A54" w:rsidRDefault="00D54A54" w:rsidP="00D54A54">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Results-driven activities undertaken during the exchanges;</w:t>
      </w:r>
    </w:p>
    <w:p w14:paraId="6EA64128" w14:textId="77777777" w:rsidR="00D54A54" w:rsidRDefault="00D54A54" w:rsidP="00D54A54">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Real impacts to the GEF IW project’s implementation; </w:t>
      </w:r>
      <w:sdt>
        <w:sdtPr>
          <w:rPr>
            <w:rFonts w:asciiTheme="minorHAnsi" w:hAnsiTheme="minorHAnsi" w:cstheme="minorHAnsi"/>
          </w:rPr>
          <w:tag w:val="goog_rdk_310"/>
          <w:id w:val="1468463276"/>
        </w:sdtPr>
        <w:sdtEndPr/>
        <w:sdtContent>
          <w:r>
            <w:rPr>
              <w:rFonts w:asciiTheme="minorHAnsi" w:hAnsiTheme="minorHAnsi" w:cstheme="minorHAnsi"/>
              <w:color w:val="000000"/>
              <w:sz w:val="22"/>
              <w:szCs w:val="22"/>
            </w:rPr>
            <w:t>and</w:t>
          </w:r>
        </w:sdtContent>
      </w:sdt>
    </w:p>
    <w:p w14:paraId="7B1E7AE9" w14:textId="77777777" w:rsidR="00D54A54" w:rsidRDefault="00D54A54" w:rsidP="00D54A54">
      <w:pPr>
        <w:numPr>
          <w:ilvl w:val="0"/>
          <w:numId w:val="2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 plan to sustain cooperation without GEF IW:LEARN financial assistance. </w:t>
      </w:r>
    </w:p>
    <w:p w14:paraId="5B5E45B0" w14:textId="77777777" w:rsidR="00D54A54" w:rsidRDefault="00D54A54" w:rsidP="00D54A54">
      <w:pPr>
        <w:ind w:left="720"/>
        <w:jc w:val="both"/>
        <w:rPr>
          <w:rFonts w:asciiTheme="minorHAnsi" w:hAnsiTheme="minorHAnsi" w:cstheme="minorHAnsi"/>
          <w:color w:val="000000"/>
          <w:sz w:val="22"/>
          <w:szCs w:val="22"/>
        </w:rPr>
      </w:pPr>
    </w:p>
    <w:p w14:paraId="4AA45351"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PCU will provide technical support to this activity</w:t>
      </w:r>
      <w:sdt>
        <w:sdtPr>
          <w:rPr>
            <w:rFonts w:asciiTheme="minorHAnsi" w:hAnsiTheme="minorHAnsi" w:cstheme="minorHAnsi"/>
          </w:rPr>
          <w:tag w:val="goog_rdk_314"/>
          <w:id w:val="-1647124002"/>
        </w:sdtPr>
        <w:sdtEndPr/>
        <w:sdtContent>
          <w:r>
            <w:rPr>
              <w:rFonts w:asciiTheme="minorHAnsi" w:hAnsiTheme="minorHAnsi" w:cstheme="minorHAnsi"/>
              <w:sz w:val="22"/>
              <w:szCs w:val="22"/>
            </w:rPr>
            <w:t xml:space="preserve">, either to support the facilitation of a virtual twinning or to arrange travel support for a face-to-face learning exchange. The GEF increment will fund </w:t>
          </w:r>
          <w:r>
            <w:rPr>
              <w:rFonts w:asciiTheme="minorHAnsi" w:hAnsiTheme="minorHAnsi" w:cstheme="minorHAnsi"/>
              <w:color w:val="000000"/>
              <w:sz w:val="22"/>
              <w:szCs w:val="22"/>
            </w:rPr>
            <w:t>Exchange number 2, including travel support (return economy class ticket or daily subsistence allowance) for maximum two partner representatives to attend the second learning exchange with the GEF IW project</w:t>
          </w:r>
        </w:sdtContent>
      </w:sdt>
      <w:r>
        <w:rPr>
          <w:rFonts w:asciiTheme="minorHAnsi" w:hAnsiTheme="minorHAnsi" w:cstheme="minorHAnsi"/>
          <w:sz w:val="22"/>
          <w:szCs w:val="22"/>
        </w:rPr>
        <w:t>.</w:t>
      </w:r>
    </w:p>
    <w:p w14:paraId="1D1D3739" w14:textId="77777777" w:rsidR="00D54A54" w:rsidRDefault="00D54A54" w:rsidP="00D54A54">
      <w:pPr>
        <w:jc w:val="both"/>
        <w:rPr>
          <w:rFonts w:asciiTheme="minorHAnsi" w:hAnsiTheme="minorHAnsi" w:cstheme="minorHAnsi"/>
          <w:sz w:val="22"/>
          <w:szCs w:val="22"/>
        </w:rPr>
      </w:pPr>
    </w:p>
    <w:p w14:paraId="04DC55A9"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twinned GEF IW projects and the learning partners they identify will produce specific outputs to benefit the broader GEF IW portfolio. This is expected to be in the form of knowledge synthesis materials for example, a twinning report, an experience note or a video presentation</w:t>
      </w:r>
      <w:sdt>
        <w:sdtPr>
          <w:rPr>
            <w:rFonts w:asciiTheme="minorHAnsi" w:hAnsiTheme="minorHAnsi" w:cstheme="minorHAnsi"/>
          </w:rPr>
          <w:tag w:val="goog_rdk_315"/>
          <w:id w:val="1609929805"/>
        </w:sdtPr>
        <w:sdtEndPr/>
        <w:sdtContent>
          <w:r>
            <w:rPr>
              <w:rFonts w:asciiTheme="minorHAnsi" w:hAnsiTheme="minorHAnsi" w:cstheme="minorHAnsi"/>
              <w:sz w:val="22"/>
              <w:szCs w:val="22"/>
            </w:rPr>
            <w:t xml:space="preserve">, </w:t>
          </w:r>
        </w:sdtContent>
      </w:sdt>
      <w:sdt>
        <w:sdtPr>
          <w:rPr>
            <w:rFonts w:asciiTheme="minorHAnsi" w:hAnsiTheme="minorHAnsi" w:cstheme="minorHAnsi"/>
          </w:rPr>
          <w:tag w:val="goog_rdk_317"/>
          <w:id w:val="378682249"/>
        </w:sdtPr>
        <w:sdtEndPr/>
        <w:sdtContent>
          <w:r>
            <w:rPr>
              <w:rFonts w:asciiTheme="minorHAnsi" w:hAnsiTheme="minorHAnsi" w:cstheme="minorHAnsi"/>
              <w:sz w:val="22"/>
              <w:szCs w:val="22"/>
            </w:rPr>
            <w:t xml:space="preserve">following the good practice example from the </w:t>
          </w:r>
          <w:hyperlink r:id="rId14" w:history="1">
            <w:r>
              <w:rPr>
                <w:rStyle w:val="Hyperlink"/>
                <w:rFonts w:asciiTheme="minorHAnsi" w:hAnsiTheme="minorHAnsi" w:cstheme="minorHAnsi"/>
                <w:sz w:val="22"/>
                <w:szCs w:val="22"/>
              </w:rPr>
              <w:t>GEF supported UNDP Pacific Ridge-to-Reef project</w:t>
            </w:r>
          </w:hyperlink>
          <w:r>
            <w:rPr>
              <w:rFonts w:asciiTheme="minorHAnsi" w:hAnsiTheme="minorHAnsi" w:cstheme="minorHAnsi"/>
              <w:sz w:val="22"/>
              <w:szCs w:val="22"/>
            </w:rPr>
            <w:t>.</w:t>
          </w:r>
        </w:sdtContent>
      </w:sdt>
      <w:r>
        <w:rPr>
          <w:rFonts w:asciiTheme="minorHAnsi" w:hAnsiTheme="minorHAnsi" w:cstheme="minorHAnsi"/>
          <w:sz w:val="22"/>
          <w:szCs w:val="22"/>
        </w:rPr>
        <w:t xml:space="preserve"> As part of the follow up on each twinning, a virtual “Knowledge Dialogue” will be facilitated by the PCU to encourage the continuation of peer-to-peer learning, to monitor the progress of participants in applying the knowledge gained, and assess the sustainability of the partnership. </w:t>
      </w:r>
    </w:p>
    <w:p w14:paraId="13CEE09B" w14:textId="77777777" w:rsidR="00D54A54" w:rsidRDefault="00D54A54" w:rsidP="00D54A54">
      <w:pPr>
        <w:jc w:val="both"/>
        <w:rPr>
          <w:rFonts w:asciiTheme="minorHAnsi" w:hAnsiTheme="minorHAnsi" w:cstheme="minorHAnsi"/>
          <w:sz w:val="22"/>
          <w:szCs w:val="22"/>
        </w:rPr>
      </w:pPr>
    </w:p>
    <w:p w14:paraId="028B543B"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activity is expected to result in enhanced portfolio and development partner capacity at the national, regional and global levels, as well as improve portfolio-wide project performance.</w:t>
      </w:r>
    </w:p>
    <w:p w14:paraId="470EF704" w14:textId="04E083D9" w:rsidR="00D54A54" w:rsidRDefault="00D54A54" w:rsidP="00D54A54"/>
    <w:p w14:paraId="342ECFE9" w14:textId="77777777" w:rsidR="00D54A54" w:rsidRPr="00D54A54" w:rsidRDefault="00D54A54" w:rsidP="00D54A54"/>
    <w:p w14:paraId="02EADA57" w14:textId="468399DF" w:rsidR="00D54A54" w:rsidRDefault="00D54A54" w:rsidP="00D54A54">
      <w:pPr>
        <w:pStyle w:val="Heading5"/>
        <w:rPr>
          <w:rFonts w:asciiTheme="minorHAnsi" w:hAnsiTheme="minorHAnsi" w:cstheme="minorHAnsi"/>
          <w:b/>
          <w:bCs/>
          <w:color w:val="000000" w:themeColor="text1"/>
          <w:sz w:val="22"/>
          <w:szCs w:val="22"/>
        </w:rPr>
      </w:pPr>
      <w:r w:rsidRPr="00D54A54">
        <w:rPr>
          <w:rFonts w:asciiTheme="minorHAnsi" w:hAnsiTheme="minorHAnsi" w:cstheme="minorHAnsi"/>
          <w:b/>
          <w:bCs/>
          <w:color w:val="000000" w:themeColor="text1"/>
          <w:sz w:val="22"/>
          <w:szCs w:val="22"/>
        </w:rPr>
        <w:t>Activity 1.3.</w:t>
      </w:r>
      <w:r>
        <w:rPr>
          <w:rFonts w:asciiTheme="minorHAnsi" w:hAnsiTheme="minorHAnsi" w:cstheme="minorHAnsi"/>
          <w:b/>
          <w:bCs/>
          <w:color w:val="000000" w:themeColor="text1"/>
          <w:sz w:val="22"/>
          <w:szCs w:val="22"/>
        </w:rPr>
        <w:t>2</w:t>
      </w:r>
      <w:r w:rsidRPr="00D54A54">
        <w:rPr>
          <w:rFonts w:asciiTheme="minorHAnsi" w:hAnsiTheme="minorHAnsi" w:cstheme="minorHAnsi"/>
          <w:b/>
          <w:bCs/>
          <w:color w:val="000000" w:themeColor="text1"/>
          <w:sz w:val="22"/>
          <w:szCs w:val="22"/>
        </w:rPr>
        <w:t>: Organize ad-hoc twinning exchanges based on proposals submitted from the GEF IW portfolio of projects</w:t>
      </w:r>
    </w:p>
    <w:p w14:paraId="2DEF0845"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The remainder of the sub-component budget for twinning will be devoted to GEF IW project twinning exchanges with other GEF IW projects and/or knowledgeable institutions on the basis of an ad hoc proposal submission (i.e. once-off learning exchange proving that it will be highly beneficial to the GEF </w:t>
      </w:r>
      <w:r>
        <w:rPr>
          <w:rFonts w:asciiTheme="minorHAnsi" w:hAnsiTheme="minorHAnsi" w:cstheme="minorHAnsi"/>
          <w:sz w:val="22"/>
          <w:szCs w:val="22"/>
        </w:rPr>
        <w:lastRenderedPageBreak/>
        <w:t>IW project based on an immediate pressing need). Projects will have the opportunity to submit proposals for support which demonstrate:</w:t>
      </w:r>
    </w:p>
    <w:p w14:paraId="461D0AE5" w14:textId="77777777" w:rsidR="00D54A54" w:rsidRDefault="00D54A54" w:rsidP="00D54A54">
      <w:pPr>
        <w:jc w:val="both"/>
        <w:rPr>
          <w:rFonts w:asciiTheme="minorHAnsi" w:hAnsiTheme="minorHAnsi" w:cstheme="minorHAnsi"/>
          <w:sz w:val="22"/>
          <w:szCs w:val="22"/>
        </w:rPr>
      </w:pPr>
    </w:p>
    <w:p w14:paraId="6337C623" w14:textId="77777777" w:rsidR="00D54A54" w:rsidRDefault="00D54A54" w:rsidP="00D54A54">
      <w:pPr>
        <w:numPr>
          <w:ilvl w:val="0"/>
          <w:numId w:val="24"/>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Cost-sharing; </w:t>
      </w:r>
    </w:p>
    <w:p w14:paraId="6DB90979" w14:textId="77777777" w:rsidR="00D54A54" w:rsidRDefault="00D54A54" w:rsidP="00D54A54">
      <w:pPr>
        <w:numPr>
          <w:ilvl w:val="0"/>
          <w:numId w:val="24"/>
        </w:numPr>
        <w:jc w:val="both"/>
        <w:rPr>
          <w:rFonts w:asciiTheme="minorHAnsi" w:hAnsiTheme="minorHAnsi" w:cstheme="minorHAnsi"/>
          <w:color w:val="000000"/>
          <w:sz w:val="22"/>
          <w:szCs w:val="22"/>
        </w:rPr>
      </w:pPr>
      <w:r>
        <w:rPr>
          <w:rFonts w:asciiTheme="minorHAnsi" w:hAnsiTheme="minorHAnsi" w:cstheme="minorHAnsi"/>
          <w:color w:val="000000"/>
          <w:sz w:val="22"/>
          <w:szCs w:val="22"/>
        </w:rPr>
        <w:t>Clear objectives and benefits of the twinning;</w:t>
      </w:r>
    </w:p>
    <w:p w14:paraId="6EAD6236" w14:textId="77777777" w:rsidR="00D54A54" w:rsidRDefault="00D54A54" w:rsidP="00D54A54">
      <w:pPr>
        <w:numPr>
          <w:ilvl w:val="0"/>
          <w:numId w:val="24"/>
        </w:numPr>
        <w:jc w:val="both"/>
        <w:rPr>
          <w:rFonts w:asciiTheme="minorHAnsi" w:hAnsiTheme="minorHAnsi" w:cstheme="minorHAnsi"/>
          <w:color w:val="000000"/>
          <w:sz w:val="22"/>
          <w:szCs w:val="22"/>
        </w:rPr>
      </w:pPr>
      <w:r>
        <w:rPr>
          <w:rFonts w:asciiTheme="minorHAnsi" w:hAnsiTheme="minorHAnsi" w:cstheme="minorHAnsi"/>
          <w:color w:val="000000"/>
          <w:sz w:val="22"/>
          <w:szCs w:val="22"/>
        </w:rPr>
        <w:t>Outcomes that result in real impact on the GEF IW project’s implementation;</w:t>
      </w:r>
      <w:sdt>
        <w:sdtPr>
          <w:rPr>
            <w:rFonts w:asciiTheme="minorHAnsi" w:hAnsiTheme="minorHAnsi" w:cstheme="minorHAnsi"/>
          </w:rPr>
          <w:tag w:val="goog_rdk_318"/>
          <w:id w:val="1254711356"/>
        </w:sdtPr>
        <w:sdtEndPr/>
        <w:sdtContent>
          <w:r>
            <w:rPr>
              <w:rFonts w:asciiTheme="minorHAnsi" w:hAnsiTheme="minorHAnsi" w:cstheme="minorHAnsi"/>
              <w:color w:val="000000"/>
              <w:sz w:val="22"/>
              <w:szCs w:val="22"/>
            </w:rPr>
            <w:t xml:space="preserve"> and</w:t>
          </w:r>
        </w:sdtContent>
      </w:sdt>
    </w:p>
    <w:p w14:paraId="0C9DAA2E" w14:textId="77777777" w:rsidR="00D54A54" w:rsidRDefault="00D54A54" w:rsidP="00D54A54">
      <w:pPr>
        <w:numPr>
          <w:ilvl w:val="0"/>
          <w:numId w:val="24"/>
        </w:numPr>
        <w:jc w:val="both"/>
        <w:rPr>
          <w:rFonts w:asciiTheme="minorHAnsi" w:hAnsiTheme="minorHAnsi" w:cstheme="minorHAnsi"/>
          <w:color w:val="000000"/>
          <w:sz w:val="22"/>
          <w:szCs w:val="22"/>
        </w:rPr>
      </w:pPr>
      <w:r>
        <w:rPr>
          <w:rFonts w:asciiTheme="minorHAnsi" w:hAnsiTheme="minorHAnsi" w:cstheme="minorHAnsi"/>
          <w:color w:val="000000"/>
          <w:sz w:val="22"/>
          <w:szCs w:val="22"/>
        </w:rPr>
        <w:t>Outputs of the twinning that will have GEF IW portfolio-wide benefits.</w:t>
      </w:r>
    </w:p>
    <w:p w14:paraId="1796643B" w14:textId="77777777" w:rsidR="00D54A54" w:rsidRDefault="00D54A54" w:rsidP="00D54A54">
      <w:pPr>
        <w:ind w:left="720"/>
        <w:jc w:val="both"/>
        <w:rPr>
          <w:rFonts w:asciiTheme="minorHAnsi" w:hAnsiTheme="minorHAnsi" w:cstheme="minorHAnsi"/>
          <w:color w:val="000000"/>
          <w:sz w:val="22"/>
          <w:szCs w:val="22"/>
        </w:rPr>
      </w:pPr>
    </w:p>
    <w:sdt>
      <w:sdtPr>
        <w:rPr>
          <w:rFonts w:asciiTheme="minorHAnsi" w:hAnsiTheme="minorHAnsi" w:cstheme="minorHAnsi"/>
        </w:rPr>
        <w:tag w:val="goog_rdk_320"/>
        <w:id w:val="1219478698"/>
      </w:sdtPr>
      <w:sdtEndPr/>
      <w:sdtContent>
        <w:p w14:paraId="7F8FE3C7" w14:textId="77777777" w:rsidR="00D54A54" w:rsidRDefault="00D54A54" w:rsidP="00D54A54">
          <w:pPr>
            <w:jc w:val="both"/>
            <w:rPr>
              <w:rFonts w:asciiTheme="minorHAnsi" w:hAnsiTheme="minorHAnsi" w:cstheme="minorHAnsi"/>
              <w:color w:val="000000"/>
              <w:sz w:val="22"/>
              <w:szCs w:val="22"/>
            </w:rPr>
          </w:pPr>
          <w:r>
            <w:rPr>
              <w:rFonts w:asciiTheme="minorHAnsi" w:hAnsiTheme="minorHAnsi" w:cstheme="minorHAnsi"/>
              <w:sz w:val="22"/>
              <w:szCs w:val="22"/>
            </w:rPr>
            <w:t xml:space="preserve">The proposals will be reviewed by the GEF IW:LEARN PCU. </w:t>
          </w:r>
          <w:sdt>
            <w:sdtPr>
              <w:rPr>
                <w:rFonts w:asciiTheme="minorHAnsi" w:hAnsiTheme="minorHAnsi" w:cstheme="minorHAnsi"/>
              </w:rPr>
              <w:tag w:val="goog_rdk_319"/>
              <w:id w:val="947669171"/>
            </w:sdtPr>
            <w:sdtEndPr/>
            <w:sdtContent>
              <w:r>
                <w:rPr>
                  <w:rFonts w:asciiTheme="minorHAnsi" w:hAnsiTheme="minorHAnsi" w:cstheme="minorHAnsi"/>
                  <w:sz w:val="22"/>
                  <w:szCs w:val="22"/>
                </w:rPr>
                <w:t xml:space="preserve">The PCU will provide technical support to this activity, either to support the facilitation of a virtual twinning or to arrange travel support for a face-to-face learning exchange. The GEF increment will fund </w:t>
              </w:r>
              <w:r>
                <w:rPr>
                  <w:rFonts w:asciiTheme="minorHAnsi" w:hAnsiTheme="minorHAnsi" w:cstheme="minorHAnsi"/>
                  <w:color w:val="000000"/>
                  <w:sz w:val="22"/>
                  <w:szCs w:val="22"/>
                </w:rPr>
                <w:t>travel support (return economy class ticket or daily subsistence allowance for maximum two GEF IW project staff to attend a learning exchange with their selected partner (e.g. another GEF IW project, an institution/</w:t>
              </w:r>
              <w:proofErr w:type="spellStart"/>
              <w:r>
                <w:rPr>
                  <w:rFonts w:asciiTheme="minorHAnsi" w:hAnsiTheme="minorHAnsi" w:cstheme="minorHAnsi"/>
                  <w:color w:val="000000"/>
                  <w:sz w:val="22"/>
                  <w:szCs w:val="22"/>
                </w:rPr>
                <w:t>organisation</w:t>
              </w:r>
              <w:proofErr w:type="spellEnd"/>
              <w:r>
                <w:rPr>
                  <w:rFonts w:asciiTheme="minorHAnsi" w:hAnsiTheme="minorHAnsi" w:cstheme="minorHAnsi"/>
                  <w:color w:val="000000"/>
                  <w:sz w:val="22"/>
                  <w:szCs w:val="22"/>
                </w:rPr>
                <w:t xml:space="preserve"> with demonstrated knowledge or expertise).</w:t>
              </w:r>
            </w:sdtContent>
          </w:sdt>
        </w:p>
      </w:sdtContent>
    </w:sdt>
    <w:p w14:paraId="4E2239E9" w14:textId="77777777" w:rsidR="00D54A54" w:rsidRDefault="00F57A55" w:rsidP="00D54A54">
      <w:pPr>
        <w:jc w:val="both"/>
        <w:rPr>
          <w:rFonts w:asciiTheme="minorHAnsi" w:hAnsiTheme="minorHAnsi" w:cstheme="minorHAnsi"/>
          <w:color w:val="000000"/>
          <w:sz w:val="22"/>
          <w:szCs w:val="22"/>
        </w:rPr>
      </w:pPr>
      <w:sdt>
        <w:sdtPr>
          <w:rPr>
            <w:rFonts w:asciiTheme="minorHAnsi" w:hAnsiTheme="minorHAnsi" w:cstheme="minorHAnsi"/>
          </w:rPr>
          <w:tag w:val="goog_rdk_322"/>
          <w:id w:val="621813824"/>
          <w:showingPlcHdr/>
        </w:sdtPr>
        <w:sdtEndPr/>
        <w:sdtContent>
          <w:r w:rsidR="00D54A54">
            <w:rPr>
              <w:rFonts w:asciiTheme="minorHAnsi" w:hAnsiTheme="minorHAnsi" w:cstheme="minorHAnsi"/>
            </w:rPr>
            <w:t xml:space="preserve">     </w:t>
          </w:r>
        </w:sdtContent>
      </w:sdt>
    </w:p>
    <w:p w14:paraId="121479C9" w14:textId="77777777" w:rsidR="00D54A54" w:rsidRDefault="00F57A55" w:rsidP="00D54A54">
      <w:pPr>
        <w:jc w:val="both"/>
        <w:rPr>
          <w:rFonts w:asciiTheme="minorHAnsi" w:hAnsiTheme="minorHAnsi" w:cstheme="minorHAnsi"/>
          <w:sz w:val="22"/>
          <w:szCs w:val="22"/>
        </w:rPr>
      </w:pPr>
      <w:sdt>
        <w:sdtPr>
          <w:rPr>
            <w:rFonts w:asciiTheme="minorHAnsi" w:hAnsiTheme="minorHAnsi" w:cstheme="minorHAnsi"/>
          </w:rPr>
          <w:tag w:val="goog_rdk_325"/>
          <w:id w:val="-1712031566"/>
        </w:sdtPr>
        <w:sdtEndPr/>
        <w:sdtContent>
          <w:sdt>
            <w:sdtPr>
              <w:rPr>
                <w:rFonts w:asciiTheme="minorHAnsi" w:hAnsiTheme="minorHAnsi" w:cstheme="minorHAnsi"/>
              </w:rPr>
              <w:tag w:val="goog_rdk_324"/>
              <w:id w:val="-1950694907"/>
            </w:sdtPr>
            <w:sdtEndPr/>
            <w:sdtContent/>
          </w:sdt>
        </w:sdtContent>
      </w:sdt>
      <w:r w:rsidR="00D54A54">
        <w:rPr>
          <w:rFonts w:asciiTheme="minorHAnsi" w:hAnsiTheme="minorHAnsi" w:cstheme="minorHAnsi"/>
          <w:sz w:val="22"/>
          <w:szCs w:val="22"/>
        </w:rPr>
        <w:t xml:space="preserve">The twinned GEF IW projects and the partners they identify will produce specific outputs to benefit the broader GEF IW portfolio. This is expected to be in the form of knowledge synthesis materials, for example, a twinning report, an experience note or a video presentation.  As part of the follow up on each twinning, a virtual “Knowledge Dialogue” will be facilitated by the PCU to encourage the continuation of peer-to-peer learning and to monitor the progress of participants in applying the knowledge gained. </w:t>
      </w:r>
    </w:p>
    <w:p w14:paraId="3690DB34" w14:textId="77777777" w:rsidR="00D54A54" w:rsidRDefault="00D54A54" w:rsidP="00D54A54">
      <w:pPr>
        <w:jc w:val="both"/>
        <w:rPr>
          <w:rFonts w:asciiTheme="minorHAnsi" w:hAnsiTheme="minorHAnsi" w:cstheme="minorHAnsi"/>
          <w:sz w:val="22"/>
          <w:szCs w:val="22"/>
        </w:rPr>
      </w:pPr>
    </w:p>
    <w:p w14:paraId="41B2E4CB" w14:textId="27731206" w:rsidR="00D54A54" w:rsidRPr="00F439E2" w:rsidRDefault="00D54A54" w:rsidP="00F439E2">
      <w:pPr>
        <w:jc w:val="both"/>
        <w:rPr>
          <w:rFonts w:asciiTheme="minorHAnsi" w:hAnsiTheme="minorHAnsi" w:cstheme="minorHAnsi"/>
          <w:sz w:val="22"/>
          <w:szCs w:val="22"/>
        </w:rPr>
      </w:pPr>
      <w:r>
        <w:rPr>
          <w:rFonts w:asciiTheme="minorHAnsi" w:hAnsiTheme="minorHAnsi" w:cstheme="minorHAnsi"/>
          <w:sz w:val="22"/>
          <w:szCs w:val="22"/>
        </w:rPr>
        <w:t>The activity is expected to result in enhanced portfolio and development partner capacity at the national, regional and global levels, as well as improve portfolio-wide project performance.</w:t>
      </w:r>
    </w:p>
    <w:p w14:paraId="0AF2E98D" w14:textId="77777777" w:rsidR="00D54A54" w:rsidRPr="00D54A54" w:rsidRDefault="00D54A54" w:rsidP="00D54A54"/>
    <w:p w14:paraId="23F67AC0" w14:textId="06943843" w:rsidR="00D54A54" w:rsidRDefault="00D54A54" w:rsidP="00D54A54">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Sub-component 1.</w:t>
      </w:r>
      <w:r>
        <w:rPr>
          <w:rFonts w:asciiTheme="minorHAnsi" w:hAnsiTheme="minorHAnsi" w:cstheme="minorHAnsi"/>
          <w:b/>
          <w:bCs/>
          <w:i w:val="0"/>
          <w:iCs w:val="0"/>
          <w:color w:val="000000" w:themeColor="text1"/>
        </w:rPr>
        <w:t>4</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Participation in key global and regional dialogue processes to showcase GEF IW results, build partnerships and facilitate cooperation (UNDP)</w:t>
      </w:r>
    </w:p>
    <w:p w14:paraId="7FFDFE50" w14:textId="77777777" w:rsidR="00D54A54" w:rsidRDefault="00D54A54" w:rsidP="00D54A54">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4E1252C6" w14:textId="77777777" w:rsidR="00D54A54" w:rsidRDefault="00D54A54" w:rsidP="00D54A54">
      <w:pPr>
        <w:shd w:val="clear" w:color="auto" w:fill="E7E6E6"/>
        <w:jc w:val="both"/>
        <w:rPr>
          <w:rFonts w:asciiTheme="minorHAnsi" w:hAnsiTheme="minorHAnsi" w:cstheme="minorHAnsi"/>
          <w:sz w:val="22"/>
          <w:szCs w:val="22"/>
        </w:rPr>
      </w:pPr>
    </w:p>
    <w:p w14:paraId="2FFE5EC1"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1.4 is:</w:t>
      </w:r>
    </w:p>
    <w:p w14:paraId="4C85F05F" w14:textId="77777777" w:rsidR="00D54A54" w:rsidRDefault="00D54A54" w:rsidP="00D54A54">
      <w:pPr>
        <w:shd w:val="clear" w:color="auto" w:fill="E7E6E6"/>
        <w:jc w:val="both"/>
        <w:rPr>
          <w:rFonts w:asciiTheme="minorHAnsi" w:hAnsiTheme="minorHAnsi" w:cstheme="minorHAnsi"/>
          <w:sz w:val="22"/>
          <w:szCs w:val="22"/>
        </w:rPr>
      </w:pPr>
    </w:p>
    <w:p w14:paraId="496359AF"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Participation in key global and regional dialogue processes to showcase GEF IW results, build partnerships and facilitate cooperation</w:t>
      </w:r>
    </w:p>
    <w:p w14:paraId="03745B01" w14:textId="77777777" w:rsidR="00D54A54" w:rsidRDefault="00D54A54" w:rsidP="00D54A54">
      <w:pPr>
        <w:shd w:val="clear" w:color="auto" w:fill="E7E6E6"/>
        <w:jc w:val="both"/>
        <w:rPr>
          <w:rFonts w:asciiTheme="minorHAnsi" w:hAnsiTheme="minorHAnsi" w:cstheme="minorHAnsi"/>
          <w:sz w:val="22"/>
          <w:szCs w:val="22"/>
        </w:rPr>
      </w:pPr>
    </w:p>
    <w:p w14:paraId="21D3F355"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1.4 is:</w:t>
      </w:r>
    </w:p>
    <w:p w14:paraId="5B2ABFAC" w14:textId="77777777" w:rsidR="00D54A54" w:rsidRDefault="00D54A54" w:rsidP="00D54A54">
      <w:pPr>
        <w:shd w:val="clear" w:color="auto" w:fill="E7E6E6"/>
        <w:jc w:val="both"/>
        <w:rPr>
          <w:rFonts w:asciiTheme="minorHAnsi" w:hAnsiTheme="minorHAnsi" w:cstheme="minorHAnsi"/>
          <w:sz w:val="22"/>
          <w:szCs w:val="22"/>
        </w:rPr>
      </w:pPr>
    </w:p>
    <w:p w14:paraId="12080161" w14:textId="77777777" w:rsidR="00D54A54" w:rsidRDefault="00D54A54" w:rsidP="00D54A54">
      <w:pPr>
        <w:shd w:val="clear" w:color="auto" w:fill="E7E6E6"/>
        <w:jc w:val="both"/>
        <w:rPr>
          <w:rFonts w:asciiTheme="minorHAnsi" w:hAnsiTheme="minorHAnsi" w:cstheme="minorHAnsi"/>
          <w:sz w:val="22"/>
          <w:szCs w:val="22"/>
        </w:rPr>
      </w:pPr>
      <w:r>
        <w:rPr>
          <w:rFonts w:asciiTheme="minorHAnsi" w:hAnsiTheme="minorHAnsi" w:cstheme="minorHAnsi"/>
          <w:sz w:val="22"/>
          <w:szCs w:val="22"/>
        </w:rPr>
        <w:t>Increased global awareness of GEF IW results and enhanced collaboration with the IW portfolio</w:t>
      </w:r>
    </w:p>
    <w:p w14:paraId="58299C2F" w14:textId="77777777" w:rsidR="00D54A54" w:rsidRDefault="00D54A54" w:rsidP="00D54A54">
      <w:pPr>
        <w:shd w:val="clear" w:color="auto" w:fill="E7E6E6"/>
        <w:jc w:val="both"/>
        <w:rPr>
          <w:rFonts w:asciiTheme="minorHAnsi" w:hAnsiTheme="minorHAnsi" w:cstheme="minorHAnsi"/>
          <w:sz w:val="22"/>
          <w:szCs w:val="22"/>
        </w:rPr>
      </w:pPr>
    </w:p>
    <w:p w14:paraId="4F59AEE2" w14:textId="77777777" w:rsidR="00D54A54" w:rsidRDefault="00D54A54" w:rsidP="00D54A54">
      <w:pPr>
        <w:shd w:val="clear" w:color="auto" w:fill="E7E6E6"/>
        <w:rPr>
          <w:rFonts w:asciiTheme="minorHAnsi" w:hAnsiTheme="minorHAnsi" w:cstheme="minorHAnsi"/>
          <w:b/>
          <w:sz w:val="22"/>
          <w:szCs w:val="22"/>
        </w:rPr>
      </w:pPr>
      <w:r>
        <w:rPr>
          <w:rFonts w:asciiTheme="minorHAnsi" w:hAnsiTheme="minorHAnsi" w:cstheme="minorHAnsi"/>
          <w:b/>
          <w:sz w:val="22"/>
          <w:szCs w:val="22"/>
        </w:rPr>
        <w:t>The overall costs for Component 1: GEF Grant USD 1,717,200</w:t>
      </w:r>
    </w:p>
    <w:p w14:paraId="3E96FEF3" w14:textId="77777777" w:rsidR="00D54A54" w:rsidRDefault="00D54A54" w:rsidP="00D54A54">
      <w:pPr>
        <w:shd w:val="clear" w:color="auto" w:fill="E7E6E6"/>
        <w:jc w:val="both"/>
        <w:rPr>
          <w:rFonts w:asciiTheme="minorHAnsi" w:hAnsiTheme="minorHAnsi" w:cstheme="minorHAnsi"/>
          <w:b/>
          <w:sz w:val="22"/>
          <w:szCs w:val="22"/>
        </w:rPr>
      </w:pPr>
    </w:p>
    <w:p w14:paraId="41BF8ADE" w14:textId="77777777" w:rsidR="00D54A54" w:rsidRDefault="00D54A54" w:rsidP="00D54A54">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 xml:space="preserve">This sub-component links to the following sub-components: </w:t>
      </w:r>
      <w:r>
        <w:rPr>
          <w:rFonts w:asciiTheme="minorHAnsi" w:hAnsiTheme="minorHAnsi" w:cstheme="minorHAnsi"/>
          <w:sz w:val="22"/>
          <w:szCs w:val="22"/>
        </w:rPr>
        <w:t>All</w:t>
      </w:r>
    </w:p>
    <w:p w14:paraId="6C3F3146" w14:textId="77777777" w:rsidR="00D54A54" w:rsidRDefault="00D54A54" w:rsidP="00D54A54">
      <w:pPr>
        <w:jc w:val="both"/>
        <w:rPr>
          <w:rFonts w:asciiTheme="minorHAnsi" w:hAnsiTheme="minorHAnsi" w:cstheme="minorHAnsi"/>
          <w:b/>
          <w:sz w:val="22"/>
          <w:szCs w:val="22"/>
        </w:rPr>
      </w:pPr>
    </w:p>
    <w:p w14:paraId="4F524756"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GEF IW:LEARN is the vehicle to support the dissemination of GEF IW project results to global fora. These include regular events, such as Stockholm World Water Week, World Water Forum and ad hoc events, such as the Partnership for Regional Ocean Governance’s Marine Regions Forum. In the past, the project has assisted many GEF IW project stakeholders attend numerous global or regional dialogue processes. The result has been an increased awareness of GEF IW project interventions that aids building partnerships beyond the IW portfolio as well as replication and scale-up of results. </w:t>
      </w:r>
    </w:p>
    <w:p w14:paraId="2287804A" w14:textId="77777777" w:rsidR="00D54A54" w:rsidRDefault="00D54A54" w:rsidP="00D54A54">
      <w:pPr>
        <w:jc w:val="both"/>
        <w:rPr>
          <w:rFonts w:asciiTheme="minorHAnsi" w:hAnsiTheme="minorHAnsi" w:cstheme="minorHAnsi"/>
          <w:sz w:val="22"/>
          <w:szCs w:val="22"/>
        </w:rPr>
      </w:pPr>
    </w:p>
    <w:p w14:paraId="43516CC0"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lastRenderedPageBreak/>
        <w:t xml:space="preserve">In this phase, the activity will continue to ensure the visibility and influence of the GEF IW Focal Area and increase the outreach and interactions between the GEF IW portfolio and the broader water resources, coastal and marine management and scientific community. </w:t>
      </w:r>
    </w:p>
    <w:p w14:paraId="25C5E1BC" w14:textId="77777777" w:rsidR="00D54A54" w:rsidRDefault="00D54A54" w:rsidP="00D54A54">
      <w:pPr>
        <w:jc w:val="both"/>
        <w:rPr>
          <w:rFonts w:asciiTheme="minorHAnsi" w:hAnsiTheme="minorHAnsi" w:cstheme="minorHAnsi"/>
          <w:sz w:val="22"/>
          <w:szCs w:val="22"/>
        </w:rPr>
      </w:pPr>
    </w:p>
    <w:p w14:paraId="3371B6EC"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This sub-component will be managed by the PCU. As in previous phases, travel support will be allocated for GEF IW projects to participate in global dialogue processes. The project will support </w:t>
      </w:r>
      <w:sdt>
        <w:sdtPr>
          <w:rPr>
            <w:rFonts w:asciiTheme="minorHAnsi" w:hAnsiTheme="minorHAnsi" w:cstheme="minorHAnsi"/>
          </w:rPr>
          <w:tag w:val="goog_rdk_326"/>
          <w:id w:val="-1438910877"/>
          <w:showingPlcHdr/>
        </w:sdtPr>
        <w:sdtEndPr/>
        <w:sdtContent>
          <w:r>
            <w:rPr>
              <w:rFonts w:asciiTheme="minorHAnsi" w:hAnsiTheme="minorHAnsi" w:cstheme="minorHAnsi"/>
            </w:rPr>
            <w:t xml:space="preserve">     </w:t>
          </w:r>
        </w:sdtContent>
      </w:sdt>
      <w:r>
        <w:rPr>
          <w:rFonts w:asciiTheme="minorHAnsi" w:hAnsiTheme="minorHAnsi" w:cstheme="minorHAnsi"/>
          <w:sz w:val="22"/>
          <w:szCs w:val="22"/>
        </w:rPr>
        <w:t xml:space="preserve">representation GEF IW projects on planning committees, discussion panels, plenary addresses, GEF exhibit booth representation or side events. The focus will </w:t>
      </w:r>
      <w:r>
        <w:rPr>
          <w:rFonts w:asciiTheme="minorHAnsi" w:hAnsiTheme="minorHAnsi" w:cstheme="minorHAnsi"/>
          <w:color w:val="000000"/>
          <w:sz w:val="22"/>
          <w:szCs w:val="22"/>
        </w:rPr>
        <w:t>be on supporting IW participation as an organizing partner (of side events at large international IW events) to promote the IW portfolio and gain knowledge to enhance management activities.</w:t>
      </w:r>
      <w:r>
        <w:rPr>
          <w:rFonts w:asciiTheme="minorHAnsi" w:hAnsiTheme="minorHAnsi" w:cstheme="minorHAnsi"/>
          <w:sz w:val="22"/>
          <w:szCs w:val="22"/>
        </w:rPr>
        <w:t xml:space="preserve"> </w:t>
      </w:r>
    </w:p>
    <w:p w14:paraId="2C835C78" w14:textId="77777777" w:rsidR="00D54A54" w:rsidRDefault="00D54A54" w:rsidP="00D54A54">
      <w:pPr>
        <w:jc w:val="both"/>
        <w:rPr>
          <w:rFonts w:asciiTheme="minorHAnsi" w:hAnsiTheme="minorHAnsi" w:cstheme="minorHAnsi"/>
          <w:sz w:val="22"/>
          <w:szCs w:val="22"/>
        </w:rPr>
      </w:pPr>
    </w:p>
    <w:p w14:paraId="467F2E2D"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Targets for participation would include major international freshwater and marine events. </w:t>
      </w:r>
      <w:r>
        <w:rPr>
          <w:rFonts w:asciiTheme="minorHAnsi" w:hAnsiTheme="minorHAnsi" w:cstheme="minorHAnsi"/>
          <w:color w:val="000000"/>
          <w:sz w:val="22"/>
          <w:szCs w:val="22"/>
        </w:rPr>
        <w:t>In addition, this sub-component will continue to support scaling-up of proven r</w:t>
      </w:r>
      <w:r>
        <w:rPr>
          <w:rFonts w:asciiTheme="minorHAnsi" w:hAnsiTheme="minorHAnsi" w:cstheme="minorHAnsi"/>
          <w:sz w:val="22"/>
          <w:szCs w:val="22"/>
        </w:rPr>
        <w:t>egional dialogue approaches to promote transboundary cooperation through partnership with the Global Water Partnership</w:t>
      </w:r>
      <w:r>
        <w:rPr>
          <w:rFonts w:asciiTheme="minorHAnsi" w:hAnsiTheme="minorHAnsi" w:cstheme="minorHAnsi"/>
        </w:rPr>
        <w:t xml:space="preserve"> </w:t>
      </w:r>
      <w:r>
        <w:rPr>
          <w:rFonts w:asciiTheme="minorHAnsi" w:hAnsiTheme="minorHAnsi" w:cstheme="minorHAnsi"/>
          <w:sz w:val="22"/>
          <w:szCs w:val="22"/>
        </w:rPr>
        <w:t>– Mediterranean (GWP‐Med), OAS, ICPDR, SIWI and UNECE.  As an example, GWP-Med has tested and delivered tangible outcomes in South Eastern Europe (SEE) through the 2nd and 3rd phase of the IW:LEARN project (operating between 2004-2014), and during the 4</w:t>
      </w:r>
      <w:r>
        <w:rPr>
          <w:rFonts w:asciiTheme="minorHAnsi" w:hAnsiTheme="minorHAnsi" w:cstheme="minorHAnsi"/>
          <w:sz w:val="22"/>
          <w:szCs w:val="22"/>
          <w:vertAlign w:val="superscript"/>
        </w:rPr>
        <w:t>th</w:t>
      </w:r>
      <w:r>
        <w:rPr>
          <w:rFonts w:asciiTheme="minorHAnsi" w:hAnsiTheme="minorHAnsi" w:cstheme="minorHAnsi"/>
          <w:sz w:val="22"/>
          <w:szCs w:val="22"/>
        </w:rPr>
        <w:t xml:space="preserve"> phase (operating between 2016-2020) where this process was also extended to Central America. The activities in South Eastern Europe and the Mediterranean have been implemented in the framework of the </w:t>
      </w:r>
      <w:proofErr w:type="spellStart"/>
      <w:r>
        <w:rPr>
          <w:rFonts w:asciiTheme="minorHAnsi" w:hAnsiTheme="minorHAnsi" w:cstheme="minorHAnsi"/>
          <w:sz w:val="22"/>
          <w:szCs w:val="22"/>
        </w:rPr>
        <w:t>Petersberg</w:t>
      </w:r>
      <w:proofErr w:type="spellEnd"/>
      <w:r>
        <w:rPr>
          <w:rFonts w:asciiTheme="minorHAnsi" w:hAnsiTheme="minorHAnsi" w:cstheme="minorHAnsi"/>
          <w:sz w:val="22"/>
          <w:szCs w:val="22"/>
        </w:rPr>
        <w:t xml:space="preserve"> Phase II / Athens Declaration Process.</w:t>
      </w:r>
    </w:p>
    <w:p w14:paraId="181B523C" w14:textId="77777777" w:rsidR="00D54A54" w:rsidRDefault="00D54A54" w:rsidP="00D54A54">
      <w:pPr>
        <w:jc w:val="both"/>
        <w:rPr>
          <w:rFonts w:asciiTheme="minorHAnsi" w:hAnsiTheme="minorHAnsi" w:cstheme="minorHAnsi"/>
          <w:sz w:val="22"/>
          <w:szCs w:val="22"/>
        </w:rPr>
      </w:pPr>
    </w:p>
    <w:p w14:paraId="6B2E9220"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sub-component’s objectives include:</w:t>
      </w:r>
    </w:p>
    <w:p w14:paraId="74A8B6A7" w14:textId="77777777" w:rsidR="00D54A54" w:rsidRDefault="00D54A54" w:rsidP="00D54A54">
      <w:pPr>
        <w:jc w:val="both"/>
        <w:rPr>
          <w:rFonts w:asciiTheme="minorHAnsi" w:hAnsiTheme="minorHAnsi" w:cstheme="minorHAnsi"/>
          <w:sz w:val="22"/>
          <w:szCs w:val="22"/>
        </w:rPr>
      </w:pPr>
    </w:p>
    <w:p w14:paraId="07742D91" w14:textId="77777777" w:rsidR="00D54A54" w:rsidRDefault="00D54A54" w:rsidP="00D54A54">
      <w:pPr>
        <w:numPr>
          <w:ilvl w:val="0"/>
          <w:numId w:val="25"/>
        </w:numPr>
        <w:jc w:val="both"/>
        <w:rPr>
          <w:rFonts w:asciiTheme="minorHAnsi" w:hAnsiTheme="minorHAnsi" w:cstheme="minorHAnsi"/>
          <w:color w:val="000000"/>
          <w:sz w:val="22"/>
          <w:szCs w:val="22"/>
        </w:rPr>
      </w:pPr>
      <w:r>
        <w:rPr>
          <w:rFonts w:asciiTheme="minorHAnsi" w:hAnsiTheme="minorHAnsi" w:cstheme="minorHAnsi"/>
          <w:color w:val="000000"/>
          <w:sz w:val="22"/>
          <w:szCs w:val="22"/>
        </w:rPr>
        <w:t>Ensure a presence of GEF IW on the agenda of key global and regional dialogue processes in both freshwater and marine communities;</w:t>
      </w:r>
    </w:p>
    <w:p w14:paraId="0F04C1C3" w14:textId="77777777" w:rsidR="00D54A54" w:rsidRDefault="00D54A54" w:rsidP="00D54A54">
      <w:pPr>
        <w:numPr>
          <w:ilvl w:val="0"/>
          <w:numId w:val="25"/>
        </w:numPr>
        <w:jc w:val="both"/>
        <w:rPr>
          <w:rFonts w:asciiTheme="minorHAnsi" w:hAnsiTheme="minorHAnsi" w:cstheme="minorHAnsi"/>
          <w:color w:val="000000"/>
          <w:sz w:val="22"/>
          <w:szCs w:val="22"/>
        </w:rPr>
      </w:pPr>
      <w:r>
        <w:rPr>
          <w:rFonts w:asciiTheme="minorHAnsi" w:hAnsiTheme="minorHAnsi" w:cstheme="minorHAnsi"/>
          <w:color w:val="000000"/>
          <w:sz w:val="22"/>
          <w:szCs w:val="22"/>
        </w:rPr>
        <w:t>Transfer knowledge from external dialogue processes back to the GEF IW portfolio;</w:t>
      </w:r>
    </w:p>
    <w:p w14:paraId="4489FE27" w14:textId="77777777" w:rsidR="00D54A54" w:rsidRDefault="00D54A54" w:rsidP="00D54A54">
      <w:pPr>
        <w:numPr>
          <w:ilvl w:val="0"/>
          <w:numId w:val="25"/>
        </w:numPr>
        <w:jc w:val="both"/>
        <w:rPr>
          <w:rFonts w:asciiTheme="minorHAnsi" w:hAnsiTheme="minorHAnsi" w:cstheme="minorHAnsi"/>
          <w:color w:val="000000"/>
          <w:sz w:val="22"/>
          <w:szCs w:val="22"/>
        </w:rPr>
      </w:pPr>
      <w:r>
        <w:rPr>
          <w:rFonts w:asciiTheme="minorHAnsi" w:hAnsiTheme="minorHAnsi" w:cstheme="minorHAnsi"/>
          <w:color w:val="000000"/>
          <w:sz w:val="22"/>
          <w:szCs w:val="22"/>
        </w:rPr>
        <w:t>Facilitate dissemination of best practices from GEF IW projects and partners in approved global dialogues processes to transfer experiences and know-how;</w:t>
      </w:r>
      <w:sdt>
        <w:sdtPr>
          <w:rPr>
            <w:rFonts w:asciiTheme="minorHAnsi" w:hAnsiTheme="minorHAnsi" w:cstheme="minorHAnsi"/>
          </w:rPr>
          <w:tag w:val="goog_rdk_327"/>
          <w:id w:val="-1769843508"/>
        </w:sdtPr>
        <w:sdtEndPr/>
        <w:sdtContent>
          <w:r>
            <w:rPr>
              <w:rFonts w:asciiTheme="minorHAnsi" w:hAnsiTheme="minorHAnsi" w:cstheme="minorHAnsi"/>
              <w:color w:val="000000"/>
              <w:sz w:val="22"/>
              <w:szCs w:val="22"/>
            </w:rPr>
            <w:t xml:space="preserve"> and</w:t>
          </w:r>
        </w:sdtContent>
      </w:sdt>
    </w:p>
    <w:p w14:paraId="7CE7ED5D" w14:textId="77777777" w:rsidR="00D54A54" w:rsidRDefault="00D54A54" w:rsidP="00D54A54">
      <w:pPr>
        <w:numPr>
          <w:ilvl w:val="0"/>
          <w:numId w:val="25"/>
        </w:numPr>
        <w:jc w:val="both"/>
        <w:rPr>
          <w:rFonts w:asciiTheme="minorHAnsi" w:hAnsiTheme="minorHAnsi" w:cstheme="minorHAnsi"/>
          <w:color w:val="000000"/>
          <w:sz w:val="22"/>
          <w:szCs w:val="22"/>
        </w:rPr>
      </w:pPr>
      <w:r>
        <w:rPr>
          <w:rFonts w:asciiTheme="minorHAnsi" w:hAnsiTheme="minorHAnsi" w:cstheme="minorHAnsi"/>
          <w:color w:val="000000"/>
          <w:sz w:val="22"/>
          <w:szCs w:val="22"/>
        </w:rPr>
        <w:t>Sustain the Regional Dialogue and CoP established in the SEE, MENA and Central America, as well as apply the Methodological Approach  in a new region.</w:t>
      </w:r>
    </w:p>
    <w:p w14:paraId="688A08C3" w14:textId="77777777" w:rsidR="00D54A54" w:rsidRDefault="00D54A54" w:rsidP="00D54A54">
      <w:pPr>
        <w:jc w:val="both"/>
        <w:rPr>
          <w:rFonts w:asciiTheme="minorHAnsi" w:hAnsiTheme="minorHAnsi" w:cstheme="minorHAnsi"/>
          <w:sz w:val="22"/>
          <w:szCs w:val="22"/>
        </w:rPr>
      </w:pPr>
    </w:p>
    <w:p w14:paraId="127F03F9"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It is expected that this sub-component will directly contribute to the component outcome by both Increasing global awareness of GEF IW results and collaboration with partners within and beyond the portfolio.</w:t>
      </w:r>
    </w:p>
    <w:p w14:paraId="2DC826D9" w14:textId="77777777" w:rsidR="00D54A54" w:rsidRDefault="00D54A54" w:rsidP="00D54A54">
      <w:pPr>
        <w:jc w:val="both"/>
        <w:rPr>
          <w:rFonts w:asciiTheme="minorHAnsi" w:hAnsiTheme="minorHAnsi" w:cstheme="minorHAnsi"/>
          <w:sz w:val="22"/>
          <w:szCs w:val="22"/>
        </w:rPr>
      </w:pPr>
    </w:p>
    <w:p w14:paraId="72871FEE"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The PCU will coordinate the overall participation in global and regional dialogues, together with the GEF Secretariat. UNECE will support the global dialogue activity through its organization of several key global dialogue processes as part of the Helsinki Water Convention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of work. IOC-UNESCO will contribute its extensive work on the UN Decade of Ocean Science for Sustainable Development as support to the project.</w:t>
      </w:r>
    </w:p>
    <w:p w14:paraId="44E0EA24" w14:textId="77777777" w:rsidR="00D54A54" w:rsidRDefault="00D54A54" w:rsidP="00D54A54">
      <w:pPr>
        <w:jc w:val="both"/>
        <w:rPr>
          <w:rFonts w:asciiTheme="minorHAnsi" w:hAnsiTheme="minorHAnsi" w:cstheme="minorHAnsi"/>
          <w:sz w:val="22"/>
          <w:szCs w:val="22"/>
        </w:rPr>
      </w:pPr>
    </w:p>
    <w:p w14:paraId="03834A83"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Sub-component 1.4 is comprised of two activities:</w:t>
      </w:r>
    </w:p>
    <w:p w14:paraId="5ECE387D" w14:textId="77777777" w:rsidR="00D54A54" w:rsidRDefault="00D54A54" w:rsidP="00D54A54">
      <w:pPr>
        <w:jc w:val="both"/>
        <w:rPr>
          <w:rFonts w:asciiTheme="minorHAnsi" w:hAnsiTheme="minorHAnsi" w:cstheme="minorHAnsi"/>
          <w:sz w:val="22"/>
          <w:szCs w:val="22"/>
        </w:rPr>
      </w:pPr>
    </w:p>
    <w:p w14:paraId="2859F664" w14:textId="77777777" w:rsidR="00D54A54" w:rsidRDefault="00D54A54" w:rsidP="00D54A54">
      <w:pPr>
        <w:numPr>
          <w:ilvl w:val="0"/>
          <w:numId w:val="26"/>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1.4.1: Active Engagement of the GEF IW Portfolio in key global and regional events</w:t>
      </w:r>
      <w:sdt>
        <w:sdtPr>
          <w:rPr>
            <w:rFonts w:asciiTheme="minorHAnsi" w:hAnsiTheme="minorHAnsi" w:cstheme="minorHAnsi"/>
          </w:rPr>
          <w:tag w:val="goog_rdk_328"/>
          <w:id w:val="1691262353"/>
        </w:sdtPr>
        <w:sdtEndPr/>
        <w:sdtContent>
          <w:r>
            <w:rPr>
              <w:rFonts w:asciiTheme="minorHAnsi" w:hAnsiTheme="minorHAnsi" w:cstheme="minorHAnsi"/>
              <w:color w:val="000000"/>
              <w:sz w:val="22"/>
              <w:szCs w:val="22"/>
            </w:rPr>
            <w:t>; and</w:t>
          </w:r>
        </w:sdtContent>
      </w:sdt>
    </w:p>
    <w:p w14:paraId="1E4E3225" w14:textId="77777777" w:rsidR="00D54A54" w:rsidRDefault="00D54A54" w:rsidP="00D54A54">
      <w:pPr>
        <w:numPr>
          <w:ilvl w:val="0"/>
          <w:numId w:val="26"/>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1.4.2:  Supporting cooperation on shared water resources through regional and thematic transboundary dialogues</w:t>
      </w:r>
      <w:sdt>
        <w:sdtPr>
          <w:rPr>
            <w:rFonts w:asciiTheme="minorHAnsi" w:hAnsiTheme="minorHAnsi" w:cstheme="minorHAnsi"/>
          </w:rPr>
          <w:tag w:val="goog_rdk_329"/>
          <w:id w:val="694503251"/>
        </w:sdtPr>
        <w:sdtEndPr/>
        <w:sdtContent>
          <w:r>
            <w:rPr>
              <w:rFonts w:asciiTheme="minorHAnsi" w:hAnsiTheme="minorHAnsi" w:cstheme="minorHAnsi"/>
              <w:color w:val="000000"/>
              <w:sz w:val="22"/>
              <w:szCs w:val="22"/>
            </w:rPr>
            <w:t>.</w:t>
          </w:r>
        </w:sdtContent>
      </w:sdt>
    </w:p>
    <w:p w14:paraId="38E68AC9" w14:textId="77777777" w:rsidR="00D54A54" w:rsidRDefault="00D54A54" w:rsidP="00D54A54">
      <w:pPr>
        <w:jc w:val="both"/>
        <w:rPr>
          <w:rFonts w:asciiTheme="minorHAnsi" w:hAnsiTheme="minorHAnsi" w:cstheme="minorHAnsi"/>
          <w:sz w:val="22"/>
          <w:szCs w:val="22"/>
        </w:rPr>
      </w:pPr>
    </w:p>
    <w:p w14:paraId="2BDEC148" w14:textId="2570BC90" w:rsidR="00D54A54" w:rsidRP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Due to the COVID-19 pandemics, constraints on travel and group gatherings will affect the implementation of the activities in this sub-component during the first year of the project’s implementation. Other options are being considered, in particular for the global and regional </w:t>
      </w:r>
      <w:r>
        <w:rPr>
          <w:rFonts w:asciiTheme="minorHAnsi" w:hAnsiTheme="minorHAnsi" w:cstheme="minorHAnsi"/>
          <w:sz w:val="22"/>
          <w:szCs w:val="22"/>
        </w:rPr>
        <w:lastRenderedPageBreak/>
        <w:t>dialogues, such as on-line or remote communication options. They will be used where necessary, adjusting some of the equipment related costs to ensure equal opportunity to all beneficiaries.</w:t>
      </w:r>
    </w:p>
    <w:p w14:paraId="6A181BFE" w14:textId="77777777" w:rsidR="00D54A54" w:rsidRPr="00D54A54" w:rsidRDefault="00D54A54" w:rsidP="00D54A54"/>
    <w:p w14:paraId="1BA9BD54" w14:textId="74116632" w:rsidR="00D54A54" w:rsidRDefault="00D54A54" w:rsidP="00D54A54">
      <w:pPr>
        <w:pStyle w:val="Heading5"/>
        <w:rPr>
          <w:rFonts w:asciiTheme="minorHAnsi" w:hAnsiTheme="minorHAnsi" w:cstheme="minorHAnsi"/>
          <w:b/>
          <w:bCs/>
          <w:color w:val="000000" w:themeColor="text1"/>
          <w:sz w:val="22"/>
          <w:szCs w:val="22"/>
        </w:rPr>
      </w:pPr>
      <w:r w:rsidRPr="00D54A54">
        <w:rPr>
          <w:rFonts w:asciiTheme="minorHAnsi" w:hAnsiTheme="minorHAnsi" w:cstheme="minorHAnsi"/>
          <w:b/>
          <w:bCs/>
          <w:color w:val="000000" w:themeColor="text1"/>
          <w:sz w:val="22"/>
          <w:szCs w:val="22"/>
        </w:rPr>
        <w:t>Activity 1.</w:t>
      </w:r>
      <w:r>
        <w:rPr>
          <w:rFonts w:asciiTheme="minorHAnsi" w:hAnsiTheme="minorHAnsi" w:cstheme="minorHAnsi"/>
          <w:b/>
          <w:bCs/>
          <w:color w:val="000000" w:themeColor="text1"/>
          <w:sz w:val="22"/>
          <w:szCs w:val="22"/>
        </w:rPr>
        <w:t>4</w:t>
      </w:r>
      <w:r w:rsidRPr="00D54A54">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1</w:t>
      </w:r>
      <w:r w:rsidRPr="00D54A54">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 xml:space="preserve"> </w:t>
      </w:r>
      <w:r w:rsidRPr="00D54A54">
        <w:rPr>
          <w:rFonts w:asciiTheme="minorHAnsi" w:hAnsiTheme="minorHAnsi" w:cstheme="minorHAnsi"/>
          <w:b/>
          <w:bCs/>
          <w:color w:val="000000" w:themeColor="text1"/>
          <w:sz w:val="22"/>
          <w:szCs w:val="22"/>
        </w:rPr>
        <w:t>Active Engagement of the GEF IW Portfolio in key global and regional events</w:t>
      </w:r>
    </w:p>
    <w:p w14:paraId="26826DB2"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activity will support the GEF IW:LEARN and other GEF IW projects to attend and disseminate their work at key events, examples of which include:</w:t>
      </w:r>
    </w:p>
    <w:p w14:paraId="74B70B0B" w14:textId="77777777" w:rsidR="00D54A54" w:rsidRDefault="00D54A54" w:rsidP="00D54A54">
      <w:pPr>
        <w:jc w:val="both"/>
        <w:rPr>
          <w:rFonts w:asciiTheme="minorHAnsi" w:hAnsiTheme="minorHAnsi" w:cstheme="minorHAnsi"/>
          <w:color w:val="000000"/>
          <w:sz w:val="22"/>
          <w:szCs w:val="22"/>
        </w:rPr>
      </w:pPr>
    </w:p>
    <w:p w14:paraId="2D2FACD8" w14:textId="77777777" w:rsidR="00D54A54" w:rsidRDefault="00D54A54" w:rsidP="00D54A54">
      <w:pPr>
        <w:numPr>
          <w:ilvl w:val="0"/>
          <w:numId w:val="27"/>
        </w:numPr>
        <w:jc w:val="both"/>
        <w:rPr>
          <w:rFonts w:asciiTheme="minorHAnsi" w:hAnsiTheme="minorHAnsi" w:cstheme="minorHAnsi"/>
          <w:color w:val="000000"/>
          <w:sz w:val="22"/>
          <w:szCs w:val="22"/>
        </w:rPr>
      </w:pPr>
      <w:r>
        <w:rPr>
          <w:rFonts w:asciiTheme="minorHAnsi" w:hAnsiTheme="minorHAnsi" w:cstheme="minorHAnsi"/>
          <w:color w:val="000000"/>
          <w:sz w:val="22"/>
          <w:szCs w:val="22"/>
        </w:rPr>
        <w:t>World Water Forum;</w:t>
      </w:r>
    </w:p>
    <w:p w14:paraId="19069A16" w14:textId="77777777" w:rsidR="00D54A54" w:rsidRDefault="00D54A54" w:rsidP="00D54A54">
      <w:pPr>
        <w:numPr>
          <w:ilvl w:val="0"/>
          <w:numId w:val="27"/>
        </w:numPr>
        <w:jc w:val="both"/>
        <w:rPr>
          <w:rFonts w:asciiTheme="minorHAnsi" w:hAnsiTheme="minorHAnsi" w:cstheme="minorHAnsi"/>
          <w:color w:val="000000"/>
          <w:sz w:val="22"/>
          <w:szCs w:val="22"/>
        </w:rPr>
      </w:pPr>
      <w:r>
        <w:rPr>
          <w:rFonts w:asciiTheme="minorHAnsi" w:hAnsiTheme="minorHAnsi" w:cstheme="minorHAnsi"/>
          <w:color w:val="000000"/>
          <w:sz w:val="22"/>
          <w:szCs w:val="22"/>
        </w:rPr>
        <w:t>Stockholm World Water Week;</w:t>
      </w:r>
    </w:p>
    <w:p w14:paraId="2D51F9A3" w14:textId="77777777" w:rsidR="00D54A54" w:rsidRDefault="00D54A54" w:rsidP="00D54A54">
      <w:pPr>
        <w:numPr>
          <w:ilvl w:val="0"/>
          <w:numId w:val="27"/>
        </w:numPr>
        <w:jc w:val="both"/>
        <w:rPr>
          <w:rFonts w:asciiTheme="minorHAnsi" w:hAnsiTheme="minorHAnsi" w:cstheme="minorHAnsi"/>
          <w:color w:val="000000"/>
          <w:sz w:val="22"/>
          <w:szCs w:val="22"/>
        </w:rPr>
      </w:pPr>
      <w:r>
        <w:rPr>
          <w:rFonts w:asciiTheme="minorHAnsi" w:hAnsiTheme="minorHAnsi" w:cstheme="minorHAnsi"/>
          <w:color w:val="000000"/>
          <w:sz w:val="22"/>
          <w:szCs w:val="22"/>
        </w:rPr>
        <w:t>UN Ocean Conference;</w:t>
      </w:r>
    </w:p>
    <w:p w14:paraId="3CE2AC2B" w14:textId="77777777" w:rsidR="00D54A54" w:rsidRDefault="00D54A54" w:rsidP="00D54A54">
      <w:pPr>
        <w:numPr>
          <w:ilvl w:val="0"/>
          <w:numId w:val="27"/>
        </w:numPr>
        <w:jc w:val="both"/>
        <w:rPr>
          <w:rFonts w:asciiTheme="minorHAnsi" w:hAnsiTheme="minorHAnsi" w:cstheme="minorHAnsi"/>
          <w:color w:val="000000"/>
          <w:sz w:val="22"/>
          <w:szCs w:val="22"/>
        </w:rPr>
      </w:pPr>
      <w:r>
        <w:rPr>
          <w:rFonts w:asciiTheme="minorHAnsi" w:hAnsiTheme="minorHAnsi" w:cstheme="minorHAnsi"/>
          <w:color w:val="000000"/>
          <w:sz w:val="22"/>
          <w:szCs w:val="22"/>
        </w:rPr>
        <w:t>FAO International Symposium of Fisheries Sustainability;</w:t>
      </w:r>
    </w:p>
    <w:sdt>
      <w:sdtPr>
        <w:rPr>
          <w:rFonts w:asciiTheme="minorHAnsi" w:hAnsiTheme="minorHAnsi" w:cstheme="minorHAnsi"/>
        </w:rPr>
        <w:tag w:val="goog_rdk_332"/>
        <w:id w:val="-509140296"/>
      </w:sdtPr>
      <w:sdtEndPr/>
      <w:sdtContent>
        <w:p w14:paraId="5EF3D22C" w14:textId="77777777" w:rsidR="00D54A54" w:rsidRDefault="00D54A54" w:rsidP="00D54A54">
          <w:pPr>
            <w:numPr>
              <w:ilvl w:val="0"/>
              <w:numId w:val="27"/>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Sustainable Blue Economy Conference; </w:t>
          </w:r>
          <w:sdt>
            <w:sdtPr>
              <w:rPr>
                <w:rFonts w:asciiTheme="minorHAnsi" w:hAnsiTheme="minorHAnsi" w:cstheme="minorHAnsi"/>
              </w:rPr>
              <w:tag w:val="goog_rdk_330"/>
              <w:id w:val="-1967576502"/>
              <w:showingPlcHdr/>
            </w:sdtPr>
            <w:sdtEndPr/>
            <w:sdtContent>
              <w:r>
                <w:rPr>
                  <w:rFonts w:asciiTheme="minorHAnsi" w:hAnsiTheme="minorHAnsi" w:cstheme="minorHAnsi"/>
                </w:rPr>
                <w:t xml:space="preserve">     </w:t>
              </w:r>
            </w:sdtContent>
          </w:sdt>
          <w:sdt>
            <w:sdtPr>
              <w:rPr>
                <w:rFonts w:asciiTheme="minorHAnsi" w:hAnsiTheme="minorHAnsi" w:cstheme="minorHAnsi"/>
              </w:rPr>
              <w:tag w:val="goog_rdk_331"/>
              <w:id w:val="-1341153538"/>
              <w:showingPlcHdr/>
            </w:sdtPr>
            <w:sdtEndPr/>
            <w:sdtContent>
              <w:r>
                <w:rPr>
                  <w:rFonts w:asciiTheme="minorHAnsi" w:hAnsiTheme="minorHAnsi" w:cstheme="minorHAnsi"/>
                </w:rPr>
                <w:t xml:space="preserve">     </w:t>
              </w:r>
            </w:sdtContent>
          </w:sdt>
        </w:p>
      </w:sdtContent>
    </w:sdt>
    <w:sdt>
      <w:sdtPr>
        <w:rPr>
          <w:rFonts w:asciiTheme="minorHAnsi" w:hAnsiTheme="minorHAnsi" w:cstheme="minorHAnsi"/>
        </w:rPr>
        <w:tag w:val="goog_rdk_334"/>
        <w:id w:val="1818690381"/>
      </w:sdtPr>
      <w:sdtEndPr/>
      <w:sdtContent>
        <w:p w14:paraId="4AD2D90C" w14:textId="77777777" w:rsidR="00D54A54" w:rsidRDefault="00F57A55" w:rsidP="00D54A54">
          <w:pPr>
            <w:numPr>
              <w:ilvl w:val="0"/>
              <w:numId w:val="27"/>
            </w:numPr>
            <w:jc w:val="both"/>
            <w:rPr>
              <w:rFonts w:asciiTheme="minorHAnsi" w:hAnsiTheme="minorHAnsi" w:cstheme="minorHAnsi"/>
              <w:color w:val="000000"/>
              <w:sz w:val="22"/>
              <w:szCs w:val="22"/>
            </w:rPr>
          </w:pPr>
          <w:sdt>
            <w:sdtPr>
              <w:rPr>
                <w:rFonts w:asciiTheme="minorHAnsi" w:hAnsiTheme="minorHAnsi" w:cstheme="minorHAnsi"/>
              </w:rPr>
              <w:tag w:val="goog_rdk_333"/>
              <w:id w:val="1090354530"/>
            </w:sdtPr>
            <w:sdtEndPr/>
            <w:sdtContent>
              <w:r w:rsidR="00D54A54">
                <w:rPr>
                  <w:rFonts w:asciiTheme="minorHAnsi" w:hAnsiTheme="minorHAnsi" w:cstheme="minorHAnsi"/>
                  <w:color w:val="000000"/>
                  <w:sz w:val="22"/>
                  <w:szCs w:val="22"/>
                </w:rPr>
                <w:t>BBNJ negotiation and implementation process related meetings;</w:t>
              </w:r>
            </w:sdtContent>
          </w:sdt>
        </w:p>
      </w:sdtContent>
    </w:sdt>
    <w:sdt>
      <w:sdtPr>
        <w:rPr>
          <w:rFonts w:asciiTheme="minorHAnsi" w:hAnsiTheme="minorHAnsi" w:cstheme="minorHAnsi"/>
        </w:rPr>
        <w:tag w:val="goog_rdk_336"/>
        <w:id w:val="1294408203"/>
      </w:sdtPr>
      <w:sdtEndPr/>
      <w:sdtContent>
        <w:p w14:paraId="15DD6CE4" w14:textId="77777777" w:rsidR="00D54A54" w:rsidRDefault="00F57A55" w:rsidP="00D54A54">
          <w:pPr>
            <w:numPr>
              <w:ilvl w:val="0"/>
              <w:numId w:val="27"/>
            </w:numPr>
            <w:jc w:val="both"/>
            <w:rPr>
              <w:rFonts w:asciiTheme="minorHAnsi" w:hAnsiTheme="minorHAnsi" w:cstheme="minorHAnsi"/>
              <w:color w:val="000000"/>
              <w:sz w:val="22"/>
              <w:szCs w:val="22"/>
            </w:rPr>
          </w:pPr>
          <w:sdt>
            <w:sdtPr>
              <w:rPr>
                <w:rFonts w:asciiTheme="minorHAnsi" w:hAnsiTheme="minorHAnsi" w:cstheme="minorHAnsi"/>
              </w:rPr>
              <w:tag w:val="goog_rdk_335"/>
              <w:id w:val="-66648944"/>
            </w:sdtPr>
            <w:sdtEndPr/>
            <w:sdtContent>
              <w:r w:rsidR="00D54A54">
                <w:rPr>
                  <w:rFonts w:asciiTheme="minorHAnsi" w:hAnsiTheme="minorHAnsi" w:cstheme="minorHAnsi"/>
                  <w:color w:val="000000"/>
                  <w:sz w:val="22"/>
                  <w:szCs w:val="22"/>
                </w:rPr>
                <w:t>Global and regional conferences of the UN Decade of Ocean Sciences for Sustainable Development;</w:t>
              </w:r>
            </w:sdtContent>
          </w:sdt>
        </w:p>
      </w:sdtContent>
    </w:sdt>
    <w:p w14:paraId="6AA71DE6" w14:textId="77777777" w:rsidR="00D54A54" w:rsidRDefault="00F57A55" w:rsidP="00D54A54">
      <w:pPr>
        <w:numPr>
          <w:ilvl w:val="0"/>
          <w:numId w:val="27"/>
        </w:numPr>
        <w:jc w:val="both"/>
        <w:rPr>
          <w:rFonts w:asciiTheme="minorHAnsi" w:hAnsiTheme="minorHAnsi" w:cstheme="minorHAnsi"/>
          <w:color w:val="000000"/>
          <w:sz w:val="22"/>
          <w:szCs w:val="22"/>
        </w:rPr>
      </w:pPr>
      <w:sdt>
        <w:sdtPr>
          <w:rPr>
            <w:rFonts w:asciiTheme="minorHAnsi" w:hAnsiTheme="minorHAnsi" w:cstheme="minorHAnsi"/>
          </w:rPr>
          <w:tag w:val="goog_rdk_337"/>
          <w:id w:val="1761252375"/>
        </w:sdtPr>
        <w:sdtEndPr/>
        <w:sdtContent>
          <w:r w:rsidR="00D54A54">
            <w:rPr>
              <w:rFonts w:asciiTheme="minorHAnsi" w:hAnsiTheme="minorHAnsi" w:cstheme="minorHAnsi"/>
              <w:color w:val="000000"/>
              <w:sz w:val="22"/>
              <w:szCs w:val="22"/>
            </w:rPr>
            <w:t>SIDS Conference 2024; etc.</w:t>
          </w:r>
        </w:sdtContent>
      </w:sdt>
    </w:p>
    <w:p w14:paraId="2832EDCD" w14:textId="77777777" w:rsidR="00D54A54" w:rsidRDefault="00D54A54" w:rsidP="00D54A54">
      <w:pPr>
        <w:ind w:left="360"/>
        <w:jc w:val="both"/>
        <w:rPr>
          <w:rFonts w:asciiTheme="minorHAnsi" w:hAnsiTheme="minorHAnsi" w:cstheme="minorHAnsi"/>
          <w:color w:val="000000"/>
          <w:sz w:val="22"/>
          <w:szCs w:val="22"/>
        </w:rPr>
      </w:pPr>
    </w:p>
    <w:p w14:paraId="44D9A4DE" w14:textId="77777777" w:rsidR="00D54A54" w:rsidRDefault="00D54A54" w:rsidP="00D54A54">
      <w:pPr>
        <w:jc w:val="both"/>
        <w:rPr>
          <w:rFonts w:asciiTheme="minorHAnsi" w:hAnsiTheme="minorHAnsi" w:cstheme="minorHAnsi"/>
          <w:sz w:val="22"/>
          <w:szCs w:val="22"/>
        </w:rPr>
      </w:pPr>
    </w:p>
    <w:p w14:paraId="6C96B8DB"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GEF increment will fund:</w:t>
      </w:r>
    </w:p>
    <w:p w14:paraId="6D3E8C16" w14:textId="77777777" w:rsidR="00D54A54" w:rsidRDefault="00D54A54" w:rsidP="00D54A54">
      <w:pPr>
        <w:numPr>
          <w:ilvl w:val="0"/>
          <w:numId w:val="28"/>
        </w:numPr>
        <w:jc w:val="both"/>
        <w:rPr>
          <w:rFonts w:asciiTheme="minorHAnsi" w:hAnsiTheme="minorHAnsi" w:cstheme="minorHAnsi"/>
          <w:color w:val="000000"/>
          <w:sz w:val="22"/>
          <w:szCs w:val="22"/>
        </w:rPr>
      </w:pPr>
      <w:r>
        <w:rPr>
          <w:rFonts w:asciiTheme="minorHAnsi" w:hAnsiTheme="minorHAnsi" w:cstheme="minorHAnsi"/>
          <w:color w:val="000000"/>
          <w:sz w:val="22"/>
          <w:szCs w:val="22"/>
        </w:rPr>
        <w:t>A booth presence, where appropriate, in partnership with GEF S</w:t>
      </w:r>
      <w:r>
        <w:rPr>
          <w:rFonts w:asciiTheme="minorHAnsi" w:hAnsiTheme="minorHAnsi" w:cstheme="minorHAnsi"/>
          <w:sz w:val="22"/>
          <w:szCs w:val="22"/>
        </w:rPr>
        <w:t>ecretariat</w:t>
      </w:r>
      <w:r>
        <w:rPr>
          <w:rFonts w:asciiTheme="minorHAnsi" w:hAnsiTheme="minorHAnsi" w:cstheme="minorHAnsi"/>
          <w:color w:val="000000"/>
          <w:sz w:val="22"/>
          <w:szCs w:val="22"/>
        </w:rPr>
        <w:t>, GEF agencies and GEF IW:LEARN; and</w:t>
      </w:r>
    </w:p>
    <w:p w14:paraId="139122CD" w14:textId="77777777" w:rsidR="00D54A54" w:rsidRDefault="00D54A54" w:rsidP="00D54A54">
      <w:pPr>
        <w:numPr>
          <w:ilvl w:val="0"/>
          <w:numId w:val="2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GEF IW project staff participating at key events will receive travel support (return economy flight tickets and daily subsistence allowance), if they </w:t>
      </w:r>
      <w:sdt>
        <w:sdtPr>
          <w:rPr>
            <w:rFonts w:asciiTheme="minorHAnsi" w:hAnsiTheme="minorHAnsi" w:cstheme="minorHAnsi"/>
          </w:rPr>
          <w:tag w:val="goog_rdk_338"/>
          <w:id w:val="-1510288273"/>
        </w:sdtPr>
        <w:sdtEndPr/>
        <w:sdtContent>
          <w:r>
            <w:rPr>
              <w:rFonts w:asciiTheme="minorHAnsi" w:hAnsiTheme="minorHAnsi" w:cstheme="minorHAnsi"/>
              <w:color w:val="000000"/>
              <w:sz w:val="22"/>
              <w:szCs w:val="22"/>
            </w:rPr>
            <w:t>actively participate</w:t>
          </w:r>
        </w:sdtContent>
      </w:sdt>
      <w:r>
        <w:rPr>
          <w:rFonts w:asciiTheme="minorHAnsi" w:hAnsiTheme="minorHAnsi" w:cstheme="minorHAnsi"/>
          <w:color w:val="000000"/>
          <w:sz w:val="22"/>
          <w:szCs w:val="22"/>
        </w:rPr>
        <w:t xml:space="preserve"> on panels or deliver presentations during sessions.</w:t>
      </w:r>
    </w:p>
    <w:p w14:paraId="41F0E139" w14:textId="77777777" w:rsidR="00D54A54" w:rsidRDefault="00D54A54" w:rsidP="00D54A54">
      <w:pPr>
        <w:ind w:left="720"/>
        <w:jc w:val="both"/>
        <w:rPr>
          <w:rFonts w:asciiTheme="minorHAnsi" w:hAnsiTheme="minorHAnsi" w:cstheme="minorHAnsi"/>
          <w:color w:val="000000"/>
          <w:sz w:val="22"/>
          <w:szCs w:val="22"/>
        </w:rPr>
      </w:pPr>
    </w:p>
    <w:p w14:paraId="50FD1DE0"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 xml:space="preserve">In addition to completing the standard GEF IW:LEARN mission report, GEF IW projects receiving support will be requested to work with GEF IW:LEARN on a joint article to elaborate on the benefits of their attendance, a summary of the sessions which the GEF IW Portfolio was represented in,  and how they will apply the knowledge gained from the experience. </w:t>
      </w:r>
    </w:p>
    <w:p w14:paraId="196FEFDF" w14:textId="77777777" w:rsidR="00D54A54" w:rsidRDefault="00D54A54" w:rsidP="00D54A54">
      <w:pPr>
        <w:jc w:val="both"/>
        <w:rPr>
          <w:rFonts w:asciiTheme="minorHAnsi" w:hAnsiTheme="minorHAnsi" w:cstheme="minorHAnsi"/>
          <w:sz w:val="22"/>
          <w:szCs w:val="22"/>
        </w:rPr>
      </w:pPr>
    </w:p>
    <w:p w14:paraId="3AD86575" w14:textId="139E0C54" w:rsidR="00D54A54" w:rsidRDefault="00D54A54" w:rsidP="00D54A54">
      <w:pPr>
        <w:rPr>
          <w:rFonts w:asciiTheme="minorHAnsi" w:hAnsiTheme="minorHAnsi" w:cstheme="minorHAnsi"/>
          <w:sz w:val="22"/>
          <w:szCs w:val="22"/>
        </w:rPr>
      </w:pPr>
      <w:r>
        <w:rPr>
          <w:rFonts w:asciiTheme="minorHAnsi" w:hAnsiTheme="minorHAnsi" w:cstheme="minorHAnsi"/>
          <w:sz w:val="22"/>
          <w:szCs w:val="22"/>
        </w:rPr>
        <w:t>The intent of the activity is to share the IW portfolio’s innovations and to influence the course of global dialogues on water and ocean management. This activity will support the sub-component by increasing awareness and building partnerships.</w:t>
      </w:r>
    </w:p>
    <w:p w14:paraId="46B824B4" w14:textId="77777777" w:rsidR="00D54A54" w:rsidRPr="00D54A54" w:rsidRDefault="00D54A54" w:rsidP="00D54A54"/>
    <w:p w14:paraId="2164F2B2" w14:textId="6F77E9DA" w:rsidR="00D54A54" w:rsidRDefault="00D54A54" w:rsidP="00D54A54">
      <w:pPr>
        <w:pStyle w:val="Heading5"/>
        <w:rPr>
          <w:rFonts w:asciiTheme="minorHAnsi" w:hAnsiTheme="minorHAnsi" w:cstheme="minorHAnsi"/>
          <w:b/>
          <w:bCs/>
          <w:color w:val="000000" w:themeColor="text1"/>
          <w:sz w:val="22"/>
          <w:szCs w:val="22"/>
        </w:rPr>
      </w:pPr>
      <w:r w:rsidRPr="00D54A54">
        <w:rPr>
          <w:rFonts w:asciiTheme="minorHAnsi" w:hAnsiTheme="minorHAnsi" w:cstheme="minorHAnsi"/>
          <w:b/>
          <w:bCs/>
          <w:color w:val="000000" w:themeColor="text1"/>
          <w:sz w:val="22"/>
          <w:szCs w:val="22"/>
        </w:rPr>
        <w:t>Activity 1.</w:t>
      </w:r>
      <w:r>
        <w:rPr>
          <w:rFonts w:asciiTheme="minorHAnsi" w:hAnsiTheme="minorHAnsi" w:cstheme="minorHAnsi"/>
          <w:b/>
          <w:bCs/>
          <w:color w:val="000000" w:themeColor="text1"/>
          <w:sz w:val="22"/>
          <w:szCs w:val="22"/>
        </w:rPr>
        <w:t>4</w:t>
      </w:r>
      <w:r w:rsidRPr="00D54A54">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2</w:t>
      </w:r>
      <w:r w:rsidRPr="00D54A54">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 xml:space="preserve"> </w:t>
      </w:r>
      <w:r w:rsidRPr="00D54A54">
        <w:rPr>
          <w:rFonts w:asciiTheme="minorHAnsi" w:hAnsiTheme="minorHAnsi" w:cstheme="minorHAnsi"/>
          <w:b/>
          <w:bCs/>
          <w:color w:val="000000" w:themeColor="text1"/>
          <w:sz w:val="22"/>
          <w:szCs w:val="22"/>
        </w:rPr>
        <w:t>Supporting cooperation on shared water resources through regional and thematic transboundary dialogues</w:t>
      </w:r>
    </w:p>
    <w:p w14:paraId="05805000"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This phase of the project will see a continuation of support to the</w:t>
      </w:r>
      <w:r>
        <w:rPr>
          <w:rFonts w:asciiTheme="minorHAnsi" w:hAnsiTheme="minorHAnsi" w:cstheme="minorHAnsi"/>
          <w:lang w:val="hr-HR"/>
        </w:rPr>
        <w:t xml:space="preserve"> </w:t>
      </w:r>
      <w:r>
        <w:rPr>
          <w:rFonts w:asciiTheme="minorHAnsi" w:hAnsiTheme="minorHAnsi" w:cstheme="minorHAnsi"/>
          <w:sz w:val="22"/>
          <w:szCs w:val="22"/>
          <w:lang w:val="en-GB"/>
        </w:rPr>
        <w:t>South-Eastern Europe</w:t>
      </w:r>
      <w:r>
        <w:rPr>
          <w:rFonts w:asciiTheme="minorHAnsi" w:hAnsiTheme="minorHAnsi" w:cstheme="minorHAnsi"/>
          <w:lang w:val="hr-HR"/>
        </w:rPr>
        <w:t xml:space="preserve"> (</w:t>
      </w:r>
      <w:r>
        <w:rPr>
          <w:rFonts w:asciiTheme="minorHAnsi" w:hAnsiTheme="minorHAnsi" w:cstheme="minorHAnsi"/>
          <w:sz w:val="22"/>
          <w:szCs w:val="22"/>
        </w:rPr>
        <w:t>SEE</w:t>
      </w:r>
      <w:r>
        <w:rPr>
          <w:rFonts w:asciiTheme="minorHAnsi" w:hAnsiTheme="minorHAnsi" w:cstheme="minorHAnsi"/>
          <w:sz w:val="22"/>
          <w:szCs w:val="22"/>
          <w:lang w:val="hr-HR"/>
        </w:rPr>
        <w:t>)</w:t>
      </w:r>
      <w:r>
        <w:rPr>
          <w:rFonts w:asciiTheme="minorHAnsi" w:hAnsiTheme="minorHAnsi" w:cstheme="minorHAnsi"/>
          <w:sz w:val="22"/>
          <w:szCs w:val="22"/>
        </w:rPr>
        <w:t xml:space="preserve"> and scaling-up of the regional dialogue process in Central America, </w:t>
      </w:r>
      <w:sdt>
        <w:sdtPr>
          <w:rPr>
            <w:rFonts w:asciiTheme="minorHAnsi" w:hAnsiTheme="minorHAnsi" w:cstheme="minorHAnsi"/>
          </w:rPr>
          <w:tag w:val="goog_rdk_343"/>
          <w:id w:val="-478085243"/>
        </w:sdtPr>
        <w:sdtEndPr/>
        <w:sdtContent>
          <w:r>
            <w:rPr>
              <w:rFonts w:asciiTheme="minorHAnsi" w:hAnsiTheme="minorHAnsi" w:cstheme="minorHAnsi"/>
              <w:color w:val="000000"/>
              <w:sz w:val="22"/>
              <w:szCs w:val="22"/>
            </w:rPr>
            <w:t>on the basis of the related Ministerial Declaration made during the previous phase,</w:t>
          </w:r>
          <w:r>
            <w:rPr>
              <w:rFonts w:asciiTheme="minorHAnsi" w:hAnsiTheme="minorHAnsi" w:cstheme="minorHAnsi"/>
              <w:sz w:val="22"/>
              <w:szCs w:val="22"/>
            </w:rPr>
            <w:t xml:space="preserve"> </w:t>
          </w:r>
        </w:sdtContent>
      </w:sdt>
      <w:r>
        <w:rPr>
          <w:rFonts w:asciiTheme="minorHAnsi" w:hAnsiTheme="minorHAnsi" w:cstheme="minorHAnsi"/>
          <w:sz w:val="22"/>
          <w:szCs w:val="22"/>
        </w:rPr>
        <w:t xml:space="preserve">with potential geographic expansion to transboundary </w:t>
      </w:r>
      <w:sdt>
        <w:sdtPr>
          <w:rPr>
            <w:rFonts w:asciiTheme="minorHAnsi" w:hAnsiTheme="minorHAnsi" w:cstheme="minorHAnsi"/>
          </w:rPr>
          <w:tag w:val="goog_rdk_345"/>
          <w:id w:val="1629740434"/>
        </w:sdtPr>
        <w:sdtEndPr/>
        <w:sdtContent>
          <w:r>
            <w:rPr>
              <w:rFonts w:asciiTheme="minorHAnsi" w:hAnsiTheme="minorHAnsi" w:cstheme="minorHAnsi"/>
              <w:sz w:val="22"/>
              <w:szCs w:val="22"/>
            </w:rPr>
            <w:t>b</w:t>
          </w:r>
        </w:sdtContent>
      </w:sdt>
      <w:r>
        <w:rPr>
          <w:rFonts w:asciiTheme="minorHAnsi" w:hAnsiTheme="minorHAnsi" w:cstheme="minorHAnsi"/>
          <w:sz w:val="22"/>
          <w:szCs w:val="22"/>
        </w:rPr>
        <w:t xml:space="preserve">asins in Southern/Eastern Africa with the linkages to regional convening partners, </w:t>
      </w:r>
      <w:proofErr w:type="spellStart"/>
      <w:r>
        <w:rPr>
          <w:rFonts w:asciiTheme="minorHAnsi" w:hAnsiTheme="minorHAnsi" w:cstheme="minorHAnsi"/>
          <w:sz w:val="22"/>
          <w:szCs w:val="22"/>
        </w:rPr>
        <w:t>utilising</w:t>
      </w:r>
      <w:proofErr w:type="spellEnd"/>
      <w:r>
        <w:rPr>
          <w:rFonts w:asciiTheme="minorHAnsi" w:hAnsiTheme="minorHAnsi" w:cstheme="minorHAnsi"/>
          <w:sz w:val="22"/>
          <w:szCs w:val="22"/>
        </w:rPr>
        <w:t xml:space="preserve"> the Methodological Approach (MA) document developed in phase 4 of IW:LEARN. The area/region of replication may be re‐examined taking into consideration political realities and opportunities that may emerge. The activity will result in strengthened capacities for transboundary cooperation on shared water systems in the identified region(s) by harnessing the essential lessons from sixteen years of conducting a successful process in </w:t>
      </w:r>
      <w:sdt>
        <w:sdtPr>
          <w:rPr>
            <w:rFonts w:asciiTheme="minorHAnsi" w:hAnsiTheme="minorHAnsi" w:cstheme="minorHAnsi"/>
          </w:rPr>
          <w:tag w:val="goog_rdk_347"/>
          <w:id w:val="-131246198"/>
        </w:sdtPr>
        <w:sdtEndPr/>
        <w:sdtContent>
          <w:r>
            <w:rPr>
              <w:rFonts w:asciiTheme="minorHAnsi" w:hAnsiTheme="minorHAnsi" w:cstheme="minorHAnsi"/>
              <w:sz w:val="22"/>
              <w:szCs w:val="22"/>
            </w:rPr>
            <w:t xml:space="preserve">SEE </w:t>
          </w:r>
        </w:sdtContent>
      </w:sdt>
      <w:sdt>
        <w:sdtPr>
          <w:rPr>
            <w:rFonts w:asciiTheme="minorHAnsi" w:hAnsiTheme="minorHAnsi" w:cstheme="minorHAnsi"/>
          </w:rPr>
          <w:tag w:val="goog_rdk_349"/>
          <w:id w:val="666915608"/>
        </w:sdtPr>
        <w:sdtEndPr/>
        <w:sdtContent>
          <w:r>
            <w:rPr>
              <w:rFonts w:asciiTheme="minorHAnsi" w:hAnsiTheme="minorHAnsi" w:cstheme="minorHAnsi"/>
              <w:sz w:val="22"/>
              <w:szCs w:val="22"/>
            </w:rPr>
            <w:t>and the Mediterranean</w:t>
          </w:r>
        </w:sdtContent>
      </w:sdt>
      <w:r>
        <w:rPr>
          <w:rFonts w:asciiTheme="minorHAnsi" w:hAnsiTheme="minorHAnsi" w:cstheme="minorHAnsi"/>
          <w:sz w:val="22"/>
          <w:szCs w:val="22"/>
        </w:rPr>
        <w:t xml:space="preserve">. The MA will be used as a guidance document by the GEF IW portfolio and project partners for the creation of </w:t>
      </w:r>
      <w:sdt>
        <w:sdtPr>
          <w:rPr>
            <w:rFonts w:asciiTheme="minorHAnsi" w:hAnsiTheme="minorHAnsi" w:cstheme="minorHAnsi"/>
          </w:rPr>
          <w:tag w:val="goog_rdk_350"/>
          <w:id w:val="593281582"/>
        </w:sdtPr>
        <w:sdtEndPr/>
        <w:sdtContent>
          <w:r>
            <w:rPr>
              <w:rFonts w:asciiTheme="minorHAnsi" w:hAnsiTheme="minorHAnsi" w:cstheme="minorHAnsi"/>
              <w:sz w:val="22"/>
              <w:szCs w:val="22"/>
            </w:rPr>
            <w:t>Communities of Practice (</w:t>
          </w:r>
        </w:sdtContent>
      </w:sdt>
      <w:r>
        <w:rPr>
          <w:rFonts w:asciiTheme="minorHAnsi" w:hAnsiTheme="minorHAnsi" w:cstheme="minorHAnsi"/>
          <w:sz w:val="22"/>
          <w:szCs w:val="22"/>
        </w:rPr>
        <w:t>CoPs</w:t>
      </w:r>
      <w:sdt>
        <w:sdtPr>
          <w:rPr>
            <w:rFonts w:asciiTheme="minorHAnsi" w:hAnsiTheme="minorHAnsi" w:cstheme="minorHAnsi"/>
          </w:rPr>
          <w:tag w:val="goog_rdk_351"/>
          <w:id w:val="-1123993797"/>
        </w:sdtPr>
        <w:sdtEndPr/>
        <w:sdtContent>
          <w:r>
            <w:rPr>
              <w:rFonts w:asciiTheme="minorHAnsi" w:hAnsiTheme="minorHAnsi" w:cstheme="minorHAnsi"/>
              <w:sz w:val="22"/>
              <w:szCs w:val="22"/>
            </w:rPr>
            <w:t>)</w:t>
          </w:r>
        </w:sdtContent>
      </w:sdt>
      <w:r>
        <w:rPr>
          <w:rFonts w:asciiTheme="minorHAnsi" w:hAnsiTheme="minorHAnsi" w:cstheme="minorHAnsi"/>
          <w:sz w:val="22"/>
          <w:szCs w:val="22"/>
        </w:rPr>
        <w:t xml:space="preserve"> at the basin level to sustain the outcomes of GEF IW projects and the establishment of dialogue processes in basins and/or regions following lessons codified in the MA. </w:t>
      </w:r>
      <w:sdt>
        <w:sdtPr>
          <w:rPr>
            <w:rFonts w:asciiTheme="minorHAnsi" w:hAnsiTheme="minorHAnsi" w:cstheme="minorHAnsi"/>
          </w:rPr>
          <w:tag w:val="goog_rdk_352"/>
          <w:id w:val="607162543"/>
        </w:sdtPr>
        <w:sdtEndPr/>
        <w:sdtContent/>
      </w:sdt>
      <w:sdt>
        <w:sdtPr>
          <w:rPr>
            <w:rFonts w:asciiTheme="minorHAnsi" w:hAnsiTheme="minorHAnsi" w:cstheme="minorHAnsi"/>
          </w:rPr>
          <w:tag w:val="goog_rdk_356"/>
          <w:id w:val="2055655874"/>
        </w:sdtPr>
        <w:sdtEndPr/>
        <w:sdtContent>
          <w:sdt>
            <w:sdtPr>
              <w:rPr>
                <w:rFonts w:asciiTheme="minorHAnsi" w:hAnsiTheme="minorHAnsi" w:cstheme="minorHAnsi"/>
              </w:rPr>
              <w:tag w:val="goog_rdk_355"/>
              <w:id w:val="-1611580060"/>
              <w:showingPlcHdr/>
            </w:sdtPr>
            <w:sdtEndPr/>
            <w:sdtContent>
              <w:r>
                <w:rPr>
                  <w:rFonts w:asciiTheme="minorHAnsi" w:hAnsiTheme="minorHAnsi" w:cstheme="minorHAnsi"/>
                </w:rPr>
                <w:t xml:space="preserve">     </w:t>
              </w:r>
            </w:sdtContent>
          </w:sdt>
        </w:sdtContent>
      </w:sdt>
    </w:p>
    <w:p w14:paraId="2689C919" w14:textId="77777777" w:rsidR="00D54A54" w:rsidRDefault="00D54A54" w:rsidP="00D54A54">
      <w:pPr>
        <w:jc w:val="both"/>
        <w:rPr>
          <w:rFonts w:asciiTheme="minorHAnsi" w:hAnsiTheme="minorHAnsi" w:cstheme="minorHAnsi"/>
          <w:sz w:val="22"/>
          <w:szCs w:val="22"/>
        </w:rPr>
      </w:pPr>
    </w:p>
    <w:p w14:paraId="0EF4874C" w14:textId="77777777" w:rsidR="00D54A54" w:rsidRDefault="00F57A55" w:rsidP="00D54A54">
      <w:pPr>
        <w:jc w:val="both"/>
        <w:rPr>
          <w:rFonts w:asciiTheme="minorHAnsi" w:hAnsiTheme="minorHAnsi" w:cstheme="minorHAnsi"/>
          <w:sz w:val="22"/>
          <w:szCs w:val="22"/>
        </w:rPr>
      </w:pPr>
      <w:sdt>
        <w:sdtPr>
          <w:rPr>
            <w:rFonts w:asciiTheme="minorHAnsi" w:hAnsiTheme="minorHAnsi" w:cstheme="minorHAnsi"/>
          </w:rPr>
          <w:tag w:val="goog_rdk_375"/>
          <w:id w:val="-167873509"/>
        </w:sdtPr>
        <w:sdtEndPr/>
        <w:sdtContent>
          <w:sdt>
            <w:sdtPr>
              <w:rPr>
                <w:rFonts w:asciiTheme="minorHAnsi" w:hAnsiTheme="minorHAnsi" w:cstheme="minorHAnsi"/>
              </w:rPr>
              <w:tag w:val="goog_rdk_374"/>
              <w:id w:val="-806708818"/>
            </w:sdtPr>
            <w:sdtEndPr/>
            <w:sdtContent/>
          </w:sdt>
        </w:sdtContent>
      </w:sdt>
      <w:r w:rsidR="00D54A54">
        <w:rPr>
          <w:rFonts w:asciiTheme="minorHAnsi" w:hAnsiTheme="minorHAnsi" w:cstheme="minorHAnsi"/>
          <w:sz w:val="22"/>
          <w:szCs w:val="22"/>
        </w:rPr>
        <w:t xml:space="preserve">The activity will be supported by the following organizations, and during project implementation others will be approached: </w:t>
      </w:r>
    </w:p>
    <w:p w14:paraId="55F71F76" w14:textId="77777777" w:rsidR="00D54A54" w:rsidRDefault="00D54A54" w:rsidP="00D54A54">
      <w:pPr>
        <w:jc w:val="both"/>
        <w:rPr>
          <w:rFonts w:asciiTheme="minorHAnsi" w:hAnsiTheme="minorHAnsi" w:cstheme="minorHAnsi"/>
          <w:sz w:val="22"/>
          <w:szCs w:val="22"/>
        </w:rPr>
      </w:pPr>
    </w:p>
    <w:p w14:paraId="047EDC32" w14:textId="77777777" w:rsidR="00D54A54" w:rsidRDefault="00D54A54" w:rsidP="00D54A54">
      <w:pPr>
        <w:numPr>
          <w:ilvl w:val="0"/>
          <w:numId w:val="29"/>
        </w:numPr>
        <w:ind w:hanging="43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OAS: Can support the regional dialogues. A high-level dialogue with three vice presidents of the countries of the </w:t>
      </w:r>
      <w:proofErr w:type="spellStart"/>
      <w:r>
        <w:rPr>
          <w:rFonts w:asciiTheme="minorHAnsi" w:hAnsiTheme="minorHAnsi" w:cstheme="minorHAnsi"/>
          <w:color w:val="000000"/>
          <w:sz w:val="22"/>
          <w:szCs w:val="22"/>
        </w:rPr>
        <w:t>Trifinio</w:t>
      </w:r>
      <w:proofErr w:type="spellEnd"/>
      <w:r>
        <w:rPr>
          <w:rFonts w:asciiTheme="minorHAnsi" w:hAnsiTheme="minorHAnsi" w:cstheme="minorHAnsi"/>
          <w:color w:val="000000"/>
          <w:sz w:val="22"/>
          <w:szCs w:val="22"/>
        </w:rPr>
        <w:t xml:space="preserve"> project is planned in 2021. OAS can support and participate as part of the group from the Americas, specifically in the areas of political dialogues and water diplomacy for the TDA-SAP process</w:t>
      </w:r>
      <w:sdt>
        <w:sdtPr>
          <w:rPr>
            <w:rFonts w:asciiTheme="minorHAnsi" w:hAnsiTheme="minorHAnsi" w:cstheme="minorHAnsi"/>
          </w:rPr>
          <w:tag w:val="goog_rdk_376"/>
          <w:id w:val="-1954777402"/>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377"/>
          <w:id w:val="-513994463"/>
          <w:showingPlcHdr/>
        </w:sdtPr>
        <w:sdtEndPr/>
        <w:sdtContent>
          <w:r>
            <w:rPr>
              <w:rFonts w:asciiTheme="minorHAnsi" w:hAnsiTheme="minorHAnsi" w:cstheme="minorHAnsi"/>
            </w:rPr>
            <w:t xml:space="preserve">     </w:t>
          </w:r>
        </w:sdtContent>
      </w:sdt>
    </w:p>
    <w:p w14:paraId="11D213FA" w14:textId="77777777" w:rsidR="00D54A54" w:rsidRDefault="00D54A54" w:rsidP="00D54A54">
      <w:pPr>
        <w:numPr>
          <w:ilvl w:val="0"/>
          <w:numId w:val="30"/>
        </w:numPr>
        <w:ind w:hanging="436"/>
        <w:jc w:val="both"/>
        <w:rPr>
          <w:rFonts w:asciiTheme="minorHAnsi" w:hAnsiTheme="minorHAnsi" w:cstheme="minorHAnsi"/>
          <w:color w:val="000000"/>
        </w:rPr>
      </w:pPr>
      <w:r>
        <w:rPr>
          <w:rFonts w:asciiTheme="minorHAnsi" w:hAnsiTheme="minorHAnsi" w:cstheme="minorHAnsi"/>
          <w:color w:val="000000"/>
          <w:sz w:val="22"/>
          <w:szCs w:val="22"/>
        </w:rPr>
        <w:t>ICPDR: The connective tissue between observers and the ICPDR is a shared ‘community responsibility’ essential to achieving long-term sustainable water management goals. Based upon years of experience collaborating with this community, the ICPDR can contribute an innate understanding of how to facilitate fruitful partnerships, dialogue, and cooperation</w:t>
      </w:r>
      <w:sdt>
        <w:sdtPr>
          <w:rPr>
            <w:rFonts w:asciiTheme="minorHAnsi" w:hAnsiTheme="minorHAnsi" w:cstheme="minorHAnsi"/>
          </w:rPr>
          <w:tag w:val="goog_rdk_378"/>
          <w:id w:val="1895544969"/>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379"/>
          <w:id w:val="-993324266"/>
          <w:showingPlcHdr/>
        </w:sdtPr>
        <w:sdtEndPr/>
        <w:sdtContent>
          <w:r>
            <w:rPr>
              <w:rFonts w:asciiTheme="minorHAnsi" w:hAnsiTheme="minorHAnsi" w:cstheme="minorHAnsi"/>
            </w:rPr>
            <w:t xml:space="preserve">     </w:t>
          </w:r>
        </w:sdtContent>
      </w:sdt>
    </w:p>
    <w:p w14:paraId="43551EEF" w14:textId="77777777" w:rsidR="00D54A54" w:rsidRDefault="00D54A54" w:rsidP="00D54A54">
      <w:pPr>
        <w:numPr>
          <w:ilvl w:val="0"/>
          <w:numId w:val="30"/>
        </w:numPr>
        <w:ind w:hanging="436"/>
        <w:jc w:val="both"/>
        <w:rPr>
          <w:rFonts w:asciiTheme="minorHAnsi" w:hAnsiTheme="minorHAnsi" w:cstheme="minorHAnsi"/>
          <w:color w:val="000000"/>
          <w:sz w:val="22"/>
          <w:szCs w:val="22"/>
        </w:rPr>
      </w:pPr>
      <w:r>
        <w:rPr>
          <w:rFonts w:asciiTheme="minorHAnsi" w:hAnsiTheme="minorHAnsi" w:cstheme="minorHAnsi"/>
          <w:color w:val="000000"/>
          <w:sz w:val="22"/>
          <w:szCs w:val="22"/>
        </w:rPr>
        <w:t>SIWI: Can provide opportunities for GEF IW portfolio to share learning through the S2S Platform and its partners and contribute to S2S Platform inputs to key regional and global processes. They are also able to facilitate trust- and consensus-building regional dialogues, to promote transboundary cooperation in targeted regions. Support is also offered to facilitate dialogues across sectors and boundaries (based on specific needs) on enhancing knowledge of emerging climate-related shared risks and creating shared understanding of water-related risks. Engagement will build on experience in building epistemic communities in regions that lack framework agreements on management of shared water resources. SIWI also has strong expertise in facilitating Track 2 and Track 1.5 dialogues in the context of transboundary water cooperation</w:t>
      </w:r>
      <w:sdt>
        <w:sdtPr>
          <w:rPr>
            <w:rFonts w:asciiTheme="minorHAnsi" w:hAnsiTheme="minorHAnsi" w:cstheme="minorHAnsi"/>
          </w:rPr>
          <w:tag w:val="goog_rdk_380"/>
          <w:id w:val="1965772603"/>
        </w:sdtPr>
        <w:sdtEndPr/>
        <w:sdtContent>
          <w:r>
            <w:rPr>
              <w:rFonts w:asciiTheme="minorHAnsi" w:hAnsiTheme="minorHAnsi" w:cstheme="minorHAnsi"/>
              <w:color w:val="000000"/>
              <w:sz w:val="22"/>
              <w:szCs w:val="22"/>
            </w:rPr>
            <w:t>; and</w:t>
          </w:r>
        </w:sdtContent>
      </w:sdt>
      <w:sdt>
        <w:sdtPr>
          <w:rPr>
            <w:rFonts w:asciiTheme="minorHAnsi" w:hAnsiTheme="minorHAnsi" w:cstheme="minorHAnsi"/>
          </w:rPr>
          <w:tag w:val="goog_rdk_381"/>
          <w:id w:val="-780497897"/>
          <w:showingPlcHdr/>
        </w:sdtPr>
        <w:sdtEndPr/>
        <w:sdtContent>
          <w:r>
            <w:rPr>
              <w:rFonts w:asciiTheme="minorHAnsi" w:hAnsiTheme="minorHAnsi" w:cstheme="minorHAnsi"/>
            </w:rPr>
            <w:t xml:space="preserve">     </w:t>
          </w:r>
        </w:sdtContent>
      </w:sdt>
    </w:p>
    <w:p w14:paraId="33908ABF" w14:textId="77777777" w:rsidR="00D54A54" w:rsidRDefault="00D54A54" w:rsidP="00D54A54">
      <w:pPr>
        <w:numPr>
          <w:ilvl w:val="0"/>
          <w:numId w:val="31"/>
        </w:numPr>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GWP (Med): </w:t>
      </w:r>
      <w:sdt>
        <w:sdtPr>
          <w:rPr>
            <w:rFonts w:asciiTheme="minorHAnsi" w:hAnsiTheme="minorHAnsi" w:cstheme="minorHAnsi"/>
          </w:rPr>
          <w:tag w:val="goog_rdk_382"/>
          <w:id w:val="-1677413913"/>
        </w:sdtPr>
        <w:sdtEndPr/>
        <w:sdtContent>
          <w:r>
            <w:rPr>
              <w:rFonts w:asciiTheme="minorHAnsi" w:hAnsiTheme="minorHAnsi" w:cstheme="minorHAnsi"/>
              <w:color w:val="000000"/>
              <w:sz w:val="22"/>
              <w:szCs w:val="22"/>
            </w:rPr>
            <w:t>Can continue the facilitation of trust- and consensus-building multi-stakeholders regional dialogues and support water diplomacy to promote and enable transboundary cooperation in regions that ha</w:t>
          </w:r>
        </w:sdtContent>
      </w:sdt>
      <w:sdt>
        <w:sdtPr>
          <w:rPr>
            <w:rFonts w:asciiTheme="minorHAnsi" w:hAnsiTheme="minorHAnsi" w:cstheme="minorHAnsi"/>
          </w:rPr>
          <w:tag w:val="goog_rdk_383"/>
          <w:id w:val="1392386512"/>
        </w:sdtPr>
        <w:sdtEndPr/>
        <w:sdtContent>
          <w:r>
            <w:rPr>
              <w:rFonts w:asciiTheme="minorHAnsi" w:hAnsiTheme="minorHAnsi" w:cstheme="minorHAnsi"/>
              <w:color w:val="000000"/>
              <w:sz w:val="22"/>
              <w:szCs w:val="22"/>
            </w:rPr>
            <w:t>ve</w:t>
          </w:r>
        </w:sdtContent>
      </w:sdt>
      <w:sdt>
        <w:sdtPr>
          <w:rPr>
            <w:rFonts w:asciiTheme="minorHAnsi" w:hAnsiTheme="minorHAnsi" w:cstheme="minorHAnsi"/>
          </w:rPr>
          <w:tag w:val="goog_rdk_384"/>
          <w:id w:val="1403411667"/>
        </w:sdtPr>
        <w:sdtEndPr/>
        <w:sdtContent>
          <w:r>
            <w:rPr>
              <w:rFonts w:asciiTheme="minorHAnsi" w:hAnsiTheme="minorHAnsi" w:cstheme="minorHAnsi"/>
              <w:color w:val="000000"/>
              <w:sz w:val="22"/>
              <w:szCs w:val="22"/>
            </w:rPr>
            <w:t xml:space="preserve"> </w:t>
          </w:r>
        </w:sdtContent>
      </w:sdt>
      <w:sdt>
        <w:sdtPr>
          <w:rPr>
            <w:rFonts w:asciiTheme="minorHAnsi" w:hAnsiTheme="minorHAnsi" w:cstheme="minorHAnsi"/>
          </w:rPr>
          <w:tag w:val="goog_rdk_386"/>
          <w:id w:val="1749996903"/>
        </w:sdtPr>
        <w:sdtEndPr/>
        <w:sdtContent>
          <w:r>
            <w:rPr>
              <w:rFonts w:asciiTheme="minorHAnsi" w:hAnsiTheme="minorHAnsi" w:cstheme="minorHAnsi"/>
              <w:color w:val="000000"/>
              <w:sz w:val="22"/>
              <w:szCs w:val="22"/>
            </w:rPr>
            <w:t xml:space="preserve">already </w:t>
          </w:r>
        </w:sdtContent>
      </w:sdt>
      <w:sdt>
        <w:sdtPr>
          <w:rPr>
            <w:rFonts w:asciiTheme="minorHAnsi" w:hAnsiTheme="minorHAnsi" w:cstheme="minorHAnsi"/>
          </w:rPr>
          <w:tag w:val="goog_rdk_387"/>
          <w:id w:val="-1678180126"/>
        </w:sdtPr>
        <w:sdtEndPr/>
        <w:sdtContent>
          <w:r>
            <w:rPr>
              <w:rFonts w:asciiTheme="minorHAnsi" w:hAnsiTheme="minorHAnsi" w:cstheme="minorHAnsi"/>
              <w:color w:val="000000"/>
              <w:sz w:val="22"/>
              <w:szCs w:val="22"/>
            </w:rPr>
            <w:t>been active (in SEE and MENA areas) as well as in new ones such as Central America and Africa, where possible. Regional Dialogue and CoP as well as application of the MA will be the respective tools. Support is also offered to expand the scope of dialogues in selected areas to link the freshwater and marine systems.</w:t>
          </w:r>
        </w:sdtContent>
      </w:sdt>
      <w:r>
        <w:rPr>
          <w:rFonts w:asciiTheme="minorHAnsi" w:hAnsiTheme="minorHAnsi" w:cstheme="minorHAnsi"/>
          <w:color w:val="000000"/>
          <w:sz w:val="22"/>
          <w:szCs w:val="22"/>
        </w:rPr>
        <w:t xml:space="preserve"> </w:t>
      </w:r>
    </w:p>
    <w:p w14:paraId="4B2785A5" w14:textId="77777777" w:rsidR="00D54A54" w:rsidRDefault="00D54A54" w:rsidP="00D54A54">
      <w:pPr>
        <w:numPr>
          <w:ilvl w:val="0"/>
          <w:numId w:val="31"/>
        </w:numPr>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IDB will also support global dialogue participation of its GEF IW portfolio.</w:t>
      </w:r>
    </w:p>
    <w:p w14:paraId="463EF6FD" w14:textId="77777777" w:rsidR="00D54A54" w:rsidRDefault="00D54A54" w:rsidP="00D54A54">
      <w:pPr>
        <w:ind w:left="567" w:hanging="283"/>
        <w:jc w:val="both"/>
        <w:rPr>
          <w:rFonts w:asciiTheme="minorHAnsi" w:hAnsiTheme="minorHAnsi" w:cstheme="minorHAnsi"/>
          <w:color w:val="000000"/>
          <w:sz w:val="22"/>
          <w:szCs w:val="22"/>
        </w:rPr>
      </w:pPr>
    </w:p>
    <w:p w14:paraId="78961EE6"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The GEF increment will fund:</w:t>
      </w:r>
    </w:p>
    <w:p w14:paraId="322C5956" w14:textId="77777777" w:rsidR="00D54A54" w:rsidRDefault="00D54A54" w:rsidP="00D54A54">
      <w:pPr>
        <w:jc w:val="both"/>
        <w:rPr>
          <w:rFonts w:asciiTheme="minorHAnsi" w:hAnsiTheme="minorHAnsi" w:cstheme="minorHAnsi"/>
          <w:sz w:val="22"/>
          <w:szCs w:val="22"/>
        </w:rPr>
      </w:pPr>
    </w:p>
    <w:p w14:paraId="6A6C14C7" w14:textId="77777777" w:rsidR="00D54A54" w:rsidRDefault="00F57A55" w:rsidP="00D54A54">
      <w:pPr>
        <w:numPr>
          <w:ilvl w:val="0"/>
          <w:numId w:val="32"/>
        </w:numPr>
        <w:jc w:val="both"/>
        <w:rPr>
          <w:rFonts w:asciiTheme="minorHAnsi" w:hAnsiTheme="minorHAnsi" w:cstheme="minorHAnsi"/>
          <w:color w:val="000000"/>
          <w:sz w:val="22"/>
          <w:szCs w:val="22"/>
        </w:rPr>
      </w:pPr>
      <w:sdt>
        <w:sdtPr>
          <w:rPr>
            <w:rFonts w:asciiTheme="minorHAnsi" w:hAnsiTheme="minorHAnsi" w:cstheme="minorHAnsi"/>
          </w:rPr>
          <w:tag w:val="goog_rdk_394"/>
          <w:id w:val="1380362767"/>
        </w:sdtPr>
        <w:sdtEndPr/>
        <w:sdtContent>
          <w:r w:rsidR="00D54A54">
            <w:rPr>
              <w:rFonts w:asciiTheme="minorHAnsi" w:hAnsiTheme="minorHAnsi" w:cstheme="minorHAnsi"/>
              <w:color w:val="000000"/>
              <w:sz w:val="22"/>
              <w:szCs w:val="22"/>
            </w:rPr>
            <w:t>Continuation of support to the SEE in the form of a regional roundtable;</w:t>
          </w:r>
          <w:sdt>
            <w:sdtPr>
              <w:rPr>
                <w:rFonts w:asciiTheme="minorHAnsi" w:hAnsiTheme="minorHAnsi" w:cstheme="minorHAnsi"/>
              </w:rPr>
              <w:tag w:val="goog_rdk_392"/>
              <w:id w:val="-3059228"/>
            </w:sdtPr>
            <w:sdtEndPr/>
            <w:sdtContent>
              <w:r w:rsidR="00D54A54">
                <w:rPr>
                  <w:rFonts w:asciiTheme="minorHAnsi" w:hAnsiTheme="minorHAnsi" w:cstheme="minorHAnsi"/>
                  <w:color w:val="000000"/>
                  <w:sz w:val="22"/>
                  <w:szCs w:val="22"/>
                </w:rPr>
                <w:t xml:space="preserve"> and</w:t>
              </w:r>
            </w:sdtContent>
          </w:sdt>
          <w:sdt>
            <w:sdtPr>
              <w:rPr>
                <w:rFonts w:asciiTheme="minorHAnsi" w:hAnsiTheme="minorHAnsi" w:cstheme="minorHAnsi"/>
              </w:rPr>
              <w:tag w:val="goog_rdk_393"/>
              <w:id w:val="-143359870"/>
            </w:sdtPr>
            <w:sdtEndPr/>
            <w:sdtContent/>
          </w:sdt>
        </w:sdtContent>
      </w:sdt>
      <w:sdt>
        <w:sdtPr>
          <w:rPr>
            <w:rFonts w:asciiTheme="minorHAnsi" w:hAnsiTheme="minorHAnsi" w:cstheme="minorHAnsi"/>
          </w:rPr>
          <w:tag w:val="goog_rdk_397"/>
          <w:id w:val="776527696"/>
        </w:sdtPr>
        <w:sdtEndPr/>
        <w:sdtContent>
          <w:sdt>
            <w:sdtPr>
              <w:rPr>
                <w:rFonts w:asciiTheme="minorHAnsi" w:hAnsiTheme="minorHAnsi" w:cstheme="minorHAnsi"/>
              </w:rPr>
              <w:tag w:val="goog_rdk_396"/>
              <w:id w:val="1690021780"/>
            </w:sdtPr>
            <w:sdtEndPr/>
            <w:sdtContent/>
          </w:sdt>
        </w:sdtContent>
      </w:sdt>
    </w:p>
    <w:p w14:paraId="4F65FCA5" w14:textId="77777777" w:rsidR="00D54A54" w:rsidRDefault="00D54A54" w:rsidP="00D54A54">
      <w:pPr>
        <w:numPr>
          <w:ilvl w:val="0"/>
          <w:numId w:val="32"/>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Support and scaling up of the Regional Multi-stakeholder Dialogue Process in Central America and other regions in the form of a regional policymaker </w:t>
      </w:r>
      <w:sdt>
        <w:sdtPr>
          <w:rPr>
            <w:rFonts w:asciiTheme="minorHAnsi" w:hAnsiTheme="minorHAnsi" w:cstheme="minorHAnsi"/>
          </w:rPr>
          <w:tag w:val="goog_rdk_399"/>
          <w:id w:val="-458500165"/>
        </w:sdtPr>
        <w:sdtEndPr/>
        <w:sdtContent>
          <w:r>
            <w:rPr>
              <w:rFonts w:asciiTheme="minorHAnsi" w:hAnsiTheme="minorHAnsi" w:cstheme="minorHAnsi"/>
              <w:color w:val="000000"/>
              <w:sz w:val="22"/>
              <w:szCs w:val="22"/>
            </w:rPr>
            <w:t>roundtables and capacity-building workshops.</w:t>
          </w:r>
        </w:sdtContent>
      </w:sdt>
      <w:sdt>
        <w:sdtPr>
          <w:rPr>
            <w:rFonts w:asciiTheme="minorHAnsi" w:hAnsiTheme="minorHAnsi" w:cstheme="minorHAnsi"/>
          </w:rPr>
          <w:tag w:val="goog_rdk_400"/>
          <w:id w:val="-1738546715"/>
          <w:showingPlcHdr/>
        </w:sdtPr>
        <w:sdtEndPr/>
        <w:sdtContent>
          <w:r>
            <w:rPr>
              <w:rFonts w:asciiTheme="minorHAnsi" w:hAnsiTheme="minorHAnsi" w:cstheme="minorHAnsi"/>
            </w:rPr>
            <w:t xml:space="preserve">     </w:t>
          </w:r>
        </w:sdtContent>
      </w:sdt>
    </w:p>
    <w:p w14:paraId="169A246E" w14:textId="77777777" w:rsidR="00D54A54" w:rsidRDefault="00D54A54" w:rsidP="00D54A54">
      <w:pPr>
        <w:jc w:val="both"/>
        <w:rPr>
          <w:rFonts w:asciiTheme="minorHAnsi" w:hAnsiTheme="minorHAnsi" w:cstheme="minorHAnsi"/>
          <w:sz w:val="22"/>
          <w:szCs w:val="22"/>
        </w:rPr>
      </w:pPr>
      <w:r>
        <w:rPr>
          <w:rFonts w:asciiTheme="minorHAnsi" w:hAnsiTheme="minorHAnsi" w:cstheme="minorHAnsi"/>
          <w:sz w:val="22"/>
          <w:szCs w:val="22"/>
        </w:rPr>
        <w:t>Partner co-finance will support:</w:t>
      </w:r>
    </w:p>
    <w:p w14:paraId="32744550" w14:textId="77777777" w:rsidR="00D54A54" w:rsidRDefault="00D54A54" w:rsidP="00D54A54">
      <w:pPr>
        <w:jc w:val="both"/>
        <w:rPr>
          <w:rFonts w:asciiTheme="minorHAnsi" w:hAnsiTheme="minorHAnsi" w:cstheme="minorHAnsi"/>
          <w:sz w:val="22"/>
          <w:szCs w:val="22"/>
        </w:rPr>
      </w:pPr>
    </w:p>
    <w:p w14:paraId="3193CE21" w14:textId="77777777" w:rsidR="00D54A54" w:rsidRDefault="00D54A54" w:rsidP="00D54A54">
      <w:pPr>
        <w:numPr>
          <w:ilvl w:val="0"/>
          <w:numId w:val="33"/>
        </w:numPr>
        <w:jc w:val="both"/>
        <w:rPr>
          <w:rFonts w:asciiTheme="minorHAnsi" w:hAnsiTheme="minorHAnsi" w:cstheme="minorHAnsi"/>
          <w:color w:val="000000"/>
          <w:sz w:val="22"/>
          <w:szCs w:val="22"/>
        </w:rPr>
      </w:pPr>
      <w:r>
        <w:rPr>
          <w:rFonts w:asciiTheme="minorHAnsi" w:hAnsiTheme="minorHAnsi" w:cstheme="minorHAnsi"/>
          <w:color w:val="000000"/>
          <w:sz w:val="22"/>
          <w:szCs w:val="22"/>
        </w:rPr>
        <w:t>Periodic multi-stakeholder events including Regional Roundtables, Capacity Building</w:t>
      </w:r>
      <w:sdt>
        <w:sdtPr>
          <w:rPr>
            <w:rFonts w:asciiTheme="minorHAnsi" w:hAnsiTheme="minorHAnsi" w:cstheme="minorHAnsi"/>
          </w:rPr>
          <w:tag w:val="goog_rdk_404"/>
          <w:id w:val="-2061622038"/>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Workshops and Study Visits as means to share experiences and knowledge on addressing management and socio-economic issues in transboundary water bodies;</w:t>
      </w:r>
    </w:p>
    <w:p w14:paraId="0E578715" w14:textId="77777777" w:rsidR="00D54A54" w:rsidRDefault="00D54A54" w:rsidP="00D54A54">
      <w:pPr>
        <w:numPr>
          <w:ilvl w:val="0"/>
          <w:numId w:val="33"/>
        </w:numPr>
        <w:jc w:val="both"/>
        <w:rPr>
          <w:rFonts w:asciiTheme="minorHAnsi" w:hAnsiTheme="minorHAnsi" w:cstheme="minorHAnsi"/>
          <w:color w:val="000000"/>
          <w:sz w:val="22"/>
          <w:szCs w:val="22"/>
        </w:rPr>
      </w:pPr>
      <w:r>
        <w:rPr>
          <w:rFonts w:asciiTheme="minorHAnsi" w:hAnsiTheme="minorHAnsi" w:cstheme="minorHAnsi"/>
          <w:color w:val="000000"/>
          <w:sz w:val="22"/>
          <w:szCs w:val="22"/>
        </w:rPr>
        <w:t>Creation of a Strategic/Core Working Group focused on Transboundary Water Management in support of Regional Dialogue Processes;</w:t>
      </w:r>
    </w:p>
    <w:p w14:paraId="4EE5E1DB" w14:textId="77777777" w:rsidR="00D54A54" w:rsidRDefault="00D54A54" w:rsidP="00D54A54">
      <w:pPr>
        <w:numPr>
          <w:ilvl w:val="0"/>
          <w:numId w:val="33"/>
        </w:numPr>
        <w:jc w:val="both"/>
        <w:rPr>
          <w:rFonts w:asciiTheme="minorHAnsi" w:hAnsiTheme="minorHAnsi" w:cstheme="minorHAnsi"/>
          <w:color w:val="000000"/>
          <w:sz w:val="22"/>
          <w:szCs w:val="22"/>
        </w:rPr>
      </w:pPr>
      <w:r>
        <w:rPr>
          <w:rFonts w:asciiTheme="minorHAnsi" w:hAnsiTheme="minorHAnsi" w:cstheme="minorHAnsi"/>
          <w:color w:val="000000"/>
          <w:sz w:val="22"/>
          <w:szCs w:val="22"/>
        </w:rPr>
        <w:t>Facilitate the preparation of case studies, as well as the exchange of experiences among relevant stakeholders;</w:t>
      </w:r>
    </w:p>
    <w:p w14:paraId="6416755C" w14:textId="77777777" w:rsidR="00D54A54" w:rsidRDefault="00D54A54" w:rsidP="00D54A54">
      <w:pPr>
        <w:numPr>
          <w:ilvl w:val="0"/>
          <w:numId w:val="33"/>
        </w:numPr>
        <w:jc w:val="both"/>
        <w:rPr>
          <w:rFonts w:asciiTheme="minorHAnsi" w:hAnsiTheme="minorHAnsi" w:cstheme="minorHAnsi"/>
          <w:color w:val="000000"/>
          <w:sz w:val="22"/>
          <w:szCs w:val="22"/>
        </w:rPr>
      </w:pPr>
      <w:r>
        <w:rPr>
          <w:rFonts w:asciiTheme="minorHAnsi" w:hAnsiTheme="minorHAnsi" w:cstheme="minorHAnsi"/>
          <w:color w:val="000000"/>
          <w:sz w:val="22"/>
          <w:szCs w:val="22"/>
        </w:rPr>
        <w:t>Application of the Methodological Approach (MA) document;</w:t>
      </w:r>
      <w:sdt>
        <w:sdtPr>
          <w:rPr>
            <w:rFonts w:asciiTheme="minorHAnsi" w:hAnsiTheme="minorHAnsi" w:cstheme="minorHAnsi"/>
          </w:rPr>
          <w:tag w:val="goog_rdk_405"/>
          <w:id w:val="-2038881602"/>
        </w:sdtPr>
        <w:sdtEndPr/>
        <w:sdtContent>
          <w:r>
            <w:rPr>
              <w:rFonts w:asciiTheme="minorHAnsi" w:hAnsiTheme="minorHAnsi" w:cstheme="minorHAnsi"/>
              <w:color w:val="000000"/>
              <w:sz w:val="22"/>
              <w:szCs w:val="22"/>
            </w:rPr>
            <w:t xml:space="preserve"> and</w:t>
          </w:r>
        </w:sdtContent>
      </w:sdt>
    </w:p>
    <w:p w14:paraId="4CA12C5A" w14:textId="77777777" w:rsidR="00D54A54" w:rsidRDefault="00D54A54" w:rsidP="00D54A54">
      <w:pPr>
        <w:numPr>
          <w:ilvl w:val="0"/>
          <w:numId w:val="33"/>
        </w:numPr>
        <w:jc w:val="both"/>
        <w:rPr>
          <w:rFonts w:asciiTheme="minorHAnsi" w:hAnsiTheme="minorHAnsi" w:cstheme="minorHAnsi"/>
          <w:color w:val="000000"/>
          <w:sz w:val="22"/>
          <w:szCs w:val="22"/>
        </w:rPr>
      </w:pPr>
      <w:r>
        <w:rPr>
          <w:rFonts w:asciiTheme="minorHAnsi" w:hAnsiTheme="minorHAnsi" w:cstheme="minorHAnsi"/>
          <w:color w:val="000000"/>
          <w:sz w:val="22"/>
          <w:szCs w:val="22"/>
        </w:rPr>
        <w:t>Sharing of experiences and knowledge at thematic regional roundtables, and addressing identified follow up actions and opportunities in response to the needs of the GEF IW portfolio</w:t>
      </w:r>
      <w:sdt>
        <w:sdtPr>
          <w:rPr>
            <w:rFonts w:asciiTheme="minorHAnsi" w:hAnsiTheme="minorHAnsi" w:cstheme="minorHAnsi"/>
          </w:rPr>
          <w:tag w:val="goog_rdk_406"/>
          <w:id w:val="-1666854266"/>
        </w:sdtPr>
        <w:sdtEndPr/>
        <w:sdtContent>
          <w:r>
            <w:rPr>
              <w:rFonts w:asciiTheme="minorHAnsi" w:hAnsiTheme="minorHAnsi" w:cstheme="minorHAnsi"/>
              <w:color w:val="000000"/>
              <w:sz w:val="22"/>
              <w:szCs w:val="22"/>
            </w:rPr>
            <w:t>.</w:t>
          </w:r>
        </w:sdtContent>
      </w:sdt>
    </w:p>
    <w:p w14:paraId="6653399E" w14:textId="43DFA9D2" w:rsidR="00D54A54" w:rsidRDefault="00D54A54" w:rsidP="00D54A54"/>
    <w:p w14:paraId="7682A418" w14:textId="77777777" w:rsidR="001F3D4A" w:rsidRPr="00D54A54" w:rsidRDefault="001F3D4A" w:rsidP="00D54A54"/>
    <w:p w14:paraId="00A2843C" w14:textId="0503286A" w:rsidR="001F3D4A" w:rsidRDefault="001F3D4A" w:rsidP="001F3D4A">
      <w:pPr>
        <w:pStyle w:val="Heading3"/>
        <w:rPr>
          <w:rFonts w:asciiTheme="minorHAnsi" w:hAnsiTheme="minorHAnsi" w:cstheme="minorHAnsi"/>
          <w:b/>
          <w:bCs/>
          <w:color w:val="000000" w:themeColor="text1"/>
          <w:u w:val="single"/>
        </w:rPr>
      </w:pPr>
      <w:bookmarkStart w:id="13" w:name="_Toc115094376"/>
      <w:bookmarkStart w:id="14" w:name="_Hlk115084967"/>
      <w:r w:rsidRPr="0032322D">
        <w:rPr>
          <w:rFonts w:asciiTheme="minorHAnsi" w:hAnsiTheme="minorHAnsi" w:cstheme="minorHAnsi"/>
          <w:b/>
          <w:bCs/>
          <w:color w:val="000000" w:themeColor="text1"/>
          <w:u w:val="single"/>
        </w:rPr>
        <w:lastRenderedPageBreak/>
        <w:t xml:space="preserve">Component </w:t>
      </w:r>
      <w:r>
        <w:rPr>
          <w:rFonts w:asciiTheme="minorHAnsi" w:hAnsiTheme="minorHAnsi" w:cstheme="minorHAnsi"/>
          <w:b/>
          <w:bCs/>
          <w:color w:val="000000" w:themeColor="text1"/>
          <w:u w:val="single"/>
        </w:rPr>
        <w:t>2</w:t>
      </w:r>
      <w:r w:rsidR="00F439E2">
        <w:rPr>
          <w:rFonts w:asciiTheme="minorHAnsi" w:hAnsiTheme="minorHAnsi" w:cstheme="minorHAnsi"/>
          <w:b/>
          <w:bCs/>
          <w:color w:val="000000" w:themeColor="text1"/>
          <w:u w:val="single"/>
        </w:rPr>
        <w:t xml:space="preserve">: </w:t>
      </w:r>
      <w:r w:rsidR="00F439E2" w:rsidRPr="00F439E2">
        <w:rPr>
          <w:rFonts w:asciiTheme="minorHAnsi" w:hAnsiTheme="minorHAnsi" w:cstheme="minorHAnsi"/>
          <w:b/>
          <w:bCs/>
          <w:color w:val="000000" w:themeColor="text1"/>
          <w:u w:val="single"/>
        </w:rPr>
        <w:t>Support the Communication and Replication of Portfolio Results and Experiences</w:t>
      </w:r>
      <w:bookmarkEnd w:id="13"/>
    </w:p>
    <w:bookmarkEnd w:id="14"/>
    <w:p w14:paraId="63DDA562" w14:textId="77777777" w:rsidR="001F3D4A" w:rsidRDefault="001F3D4A" w:rsidP="001F3D4A">
      <w:pPr>
        <w:jc w:val="both"/>
        <w:rPr>
          <w:rFonts w:asciiTheme="minorHAnsi" w:hAnsiTheme="minorHAnsi" w:cstheme="minorHAnsi"/>
          <w:sz w:val="22"/>
          <w:szCs w:val="22"/>
        </w:rPr>
      </w:pPr>
    </w:p>
    <w:p w14:paraId="491E8023" w14:textId="77777777" w:rsidR="001F3D4A" w:rsidRDefault="001F3D4A" w:rsidP="001F3D4A">
      <w:pPr>
        <w:jc w:val="both"/>
        <w:rPr>
          <w:rFonts w:asciiTheme="minorHAnsi" w:hAnsiTheme="minorHAnsi" w:cstheme="minorHAnsi"/>
          <w:sz w:val="22"/>
          <w:szCs w:val="22"/>
        </w:rPr>
      </w:pPr>
      <w:r>
        <w:rPr>
          <w:rFonts w:asciiTheme="minorHAnsi" w:hAnsiTheme="minorHAnsi" w:cstheme="minorHAnsi"/>
          <w:sz w:val="22"/>
          <w:szCs w:val="22"/>
        </w:rPr>
        <w:t xml:space="preserve">Information and knowledge management, backed by a robust online platform, forms a key GEF IW:LEARN service that backstops the experience-sharing and capacity-development activities the project conducts. The portfolio’s management of data, information and knowledge products have progressed since the start of IW:LEARN, almost two decades ago (see Figure 2). However, key stories and achievements, with their ability to influence policymakers and engage communities, are not always easy to discover. The project will build on past achievements but will increase focus on improving the portfolio’s capacity to harvest, codify, communicate and replicate its results, and will continue to provide technical support and capacity to the projects, with communication as a key cross-cutting theme. First, the Component will see an essential upgrading of GEF IW:LEARN Web Platform’s system and user interface, including enhanced digital access to project experience as well as the integration of and continued support to the LME Hub, which was developed during the preceding GEF LME:LEARN project. The component will also see easier access to a synthesis of key individual project results and experience. Second, the Component will provide: (a) support to the use of a number of information technology platforms, including the IW:LEARN </w:t>
      </w:r>
      <w:sdt>
        <w:sdtPr>
          <w:rPr>
            <w:rFonts w:asciiTheme="minorHAnsi" w:hAnsiTheme="minorHAnsi" w:cstheme="minorHAnsi"/>
            <w:sz w:val="22"/>
            <w:szCs w:val="22"/>
          </w:rPr>
          <w:tag w:val="goog_rdk_412"/>
          <w:id w:val="-1047370842"/>
        </w:sdtPr>
        <w:sdtEndPr/>
        <w:sdtContent>
          <w:r>
            <w:rPr>
              <w:rFonts w:asciiTheme="minorHAnsi" w:hAnsiTheme="minorHAnsi" w:cstheme="minorHAnsi"/>
              <w:sz w:val="22"/>
              <w:szCs w:val="22"/>
            </w:rPr>
            <w:t>w</w:t>
          </w:r>
        </w:sdtContent>
      </w:sdt>
      <w:sdt>
        <w:sdtPr>
          <w:rPr>
            <w:rFonts w:asciiTheme="minorHAnsi" w:hAnsiTheme="minorHAnsi" w:cstheme="minorHAnsi"/>
            <w:sz w:val="22"/>
            <w:szCs w:val="22"/>
          </w:rPr>
          <w:tag w:val="goog_rdk_413"/>
          <w:id w:val="-745030960"/>
        </w:sdtPr>
        <w:sdtEndPr/>
        <w:sdtContent>
          <w:sdt>
            <w:sdtPr>
              <w:rPr>
                <w:rFonts w:asciiTheme="minorHAnsi" w:hAnsiTheme="minorHAnsi" w:cstheme="minorHAnsi"/>
                <w:sz w:val="22"/>
                <w:szCs w:val="22"/>
              </w:rPr>
              <w:tag w:val="goog_rdk_414"/>
              <w:id w:val="740681048"/>
            </w:sdtPr>
            <w:sdtEndPr/>
            <w:sdtContent>
              <w:r>
                <w:rPr>
                  <w:rFonts w:asciiTheme="minorHAnsi" w:hAnsiTheme="minorHAnsi" w:cstheme="minorHAnsi"/>
                  <w:sz w:val="22"/>
                  <w:szCs w:val="22"/>
                </w:rPr>
                <w:t xml:space="preserve">ebsite </w:t>
              </w:r>
            </w:sdtContent>
          </w:sdt>
        </w:sdtContent>
      </w:sdt>
      <w:r>
        <w:rPr>
          <w:rFonts w:asciiTheme="minorHAnsi" w:hAnsiTheme="minorHAnsi" w:cstheme="minorHAnsi"/>
          <w:sz w:val="22"/>
          <w:szCs w:val="22"/>
        </w:rPr>
        <w:t>solutions</w:t>
      </w:r>
      <w:r>
        <w:rPr>
          <w:rFonts w:asciiTheme="minorHAnsi" w:hAnsiTheme="minorHAnsi" w:cstheme="minorHAnsi"/>
          <w:sz w:val="22"/>
          <w:szCs w:val="22"/>
          <w:vertAlign w:val="superscript"/>
        </w:rPr>
        <w:footnoteReference w:id="1"/>
      </w:r>
      <w:sdt>
        <w:sdtPr>
          <w:rPr>
            <w:rFonts w:asciiTheme="minorHAnsi" w:hAnsiTheme="minorHAnsi" w:cstheme="minorHAnsi"/>
            <w:sz w:val="22"/>
            <w:szCs w:val="22"/>
          </w:rPr>
          <w:tag w:val="goog_rdk_416"/>
          <w:id w:val="1385680118"/>
        </w:sdtPr>
        <w:sdtEndPr/>
        <w:sdtContent>
          <w:r>
            <w:rPr>
              <w:rFonts w:asciiTheme="minorHAnsi" w:hAnsiTheme="minorHAnsi" w:cstheme="minorHAnsi"/>
              <w:sz w:val="22"/>
              <w:szCs w:val="22"/>
            </w:rPr>
            <w:t xml:space="preserve">, utilized by many portfolio projects, and online networking tools (social media, chat groups, </w:t>
          </w:r>
          <w:proofErr w:type="spellStart"/>
          <w:r>
            <w:rPr>
              <w:rFonts w:asciiTheme="minorHAnsi" w:hAnsiTheme="minorHAnsi" w:cstheme="minorHAnsi"/>
              <w:sz w:val="22"/>
              <w:szCs w:val="22"/>
            </w:rPr>
            <w:t>Listserve</w:t>
          </w:r>
          <w:proofErr w:type="spellEnd"/>
          <w:r>
            <w:rPr>
              <w:rFonts w:asciiTheme="minorHAnsi" w:hAnsiTheme="minorHAnsi" w:cstheme="minorHAnsi"/>
              <w:sz w:val="22"/>
              <w:szCs w:val="22"/>
            </w:rPr>
            <w:t xml:space="preserve">, etc.); and (b) access to industry-standard best practices to improve projects’ capacity to manage and publish information about themselves. And finally, the Component will feature training activities on project communication and visualization, and on data and information management (DIM) building on the previous work in the GEF LME:LEARN project. </w:t>
          </w:r>
        </w:sdtContent>
      </w:sdt>
      <w:sdt>
        <w:sdtPr>
          <w:rPr>
            <w:rFonts w:asciiTheme="minorHAnsi" w:hAnsiTheme="minorHAnsi" w:cstheme="minorHAnsi"/>
            <w:sz w:val="22"/>
            <w:szCs w:val="22"/>
          </w:rPr>
          <w:tag w:val="goog_rdk_418"/>
          <w:id w:val="1829178156"/>
        </w:sdtPr>
        <w:sdtEndPr/>
        <w:sdtContent>
          <w:sdt>
            <w:sdtPr>
              <w:rPr>
                <w:rFonts w:asciiTheme="minorHAnsi" w:hAnsiTheme="minorHAnsi" w:cstheme="minorHAnsi"/>
                <w:sz w:val="22"/>
                <w:szCs w:val="22"/>
              </w:rPr>
              <w:tag w:val="goog_rdk_419"/>
              <w:id w:val="1534536198"/>
              <w:showingPlcHdr/>
            </w:sdtPr>
            <w:sdtEndPr/>
            <w:sdtContent>
              <w:r>
                <w:rPr>
                  <w:rFonts w:asciiTheme="minorHAnsi" w:hAnsiTheme="minorHAnsi" w:cstheme="minorHAnsi"/>
                  <w:sz w:val="22"/>
                  <w:szCs w:val="22"/>
                </w:rPr>
                <w:t xml:space="preserve">     </w:t>
              </w:r>
            </w:sdtContent>
          </w:sdt>
        </w:sdtContent>
      </w:sdt>
    </w:p>
    <w:p w14:paraId="322688E5" w14:textId="0CA56697" w:rsidR="001F3D4A" w:rsidRDefault="00F57A55" w:rsidP="001F3D4A">
      <w:pPr>
        <w:rPr>
          <w:rFonts w:asciiTheme="minorHAnsi" w:hAnsiTheme="minorHAnsi" w:cstheme="minorHAnsi"/>
        </w:rPr>
      </w:pPr>
      <w:sdt>
        <w:sdtPr>
          <w:rPr>
            <w:rFonts w:asciiTheme="minorHAnsi" w:hAnsiTheme="minorHAnsi" w:cstheme="minorHAnsi"/>
          </w:rPr>
          <w:tag w:val="goog_rdk_423"/>
          <w:id w:val="-17086015"/>
        </w:sdtPr>
        <w:sdtEndPr/>
        <w:sdtContent>
          <w:sdt>
            <w:sdtPr>
              <w:rPr>
                <w:rFonts w:asciiTheme="minorHAnsi" w:hAnsiTheme="minorHAnsi" w:cstheme="minorHAnsi"/>
              </w:rPr>
              <w:tag w:val="goog_rdk_422"/>
              <w:id w:val="-1183503242"/>
              <w:showingPlcHdr/>
            </w:sdtPr>
            <w:sdtEndPr/>
            <w:sdtContent>
              <w:r w:rsidR="001F3D4A">
                <w:rPr>
                  <w:rFonts w:asciiTheme="minorHAnsi" w:hAnsiTheme="minorHAnsi" w:cstheme="minorHAnsi"/>
                </w:rPr>
                <w:t xml:space="preserve">     </w:t>
              </w:r>
            </w:sdtContent>
          </w:sdt>
        </w:sdtContent>
      </w:sdt>
      <w:sdt>
        <w:sdtPr>
          <w:rPr>
            <w:rFonts w:asciiTheme="minorHAnsi" w:hAnsiTheme="minorHAnsi" w:cstheme="minorHAnsi"/>
          </w:rPr>
          <w:tag w:val="goog_rdk_425"/>
          <w:id w:val="-525248205"/>
        </w:sdtPr>
        <w:sdtEndPr/>
        <w:sdtContent>
          <w:sdt>
            <w:sdtPr>
              <w:rPr>
                <w:rFonts w:asciiTheme="minorHAnsi" w:hAnsiTheme="minorHAnsi" w:cstheme="minorHAnsi"/>
              </w:rPr>
              <w:tag w:val="goog_rdk_424"/>
              <w:id w:val="-1024315251"/>
            </w:sdtPr>
            <w:sdtEndPr/>
            <w:sdtContent/>
          </w:sdt>
        </w:sdtContent>
      </w:sdt>
      <w:sdt>
        <w:sdtPr>
          <w:rPr>
            <w:rFonts w:asciiTheme="minorHAnsi" w:hAnsiTheme="minorHAnsi" w:cstheme="minorHAnsi"/>
          </w:rPr>
          <w:tag w:val="goog_rdk_426"/>
          <w:id w:val="1041565074"/>
          <w:showingPlcHdr/>
        </w:sdtPr>
        <w:sdtEndPr/>
        <w:sdtContent>
          <w:r w:rsidR="001F3D4A">
            <w:rPr>
              <w:rFonts w:asciiTheme="minorHAnsi" w:hAnsiTheme="minorHAnsi" w:cstheme="minorHAnsi"/>
            </w:rPr>
            <w:t xml:space="preserve">     </w:t>
          </w:r>
        </w:sdtContent>
      </w:sdt>
      <w:r w:rsidR="001F3D4A">
        <w:rPr>
          <w:rFonts w:asciiTheme="minorHAnsi" w:hAnsiTheme="minorHAnsi" w:cstheme="minorHAnsi"/>
          <w:bdr w:val="none" w:sz="0" w:space="0" w:color="auto" w:frame="1"/>
        </w:rPr>
        <w:t xml:space="preserve"> </w:t>
      </w:r>
      <w:r w:rsidR="001F3D4A">
        <w:rPr>
          <w:rFonts w:asciiTheme="minorHAnsi" w:hAnsiTheme="minorHAnsi" w:cstheme="minorHAnsi"/>
          <w:noProof/>
          <w:bdr w:val="none" w:sz="0" w:space="0" w:color="auto" w:frame="1"/>
          <w:lang w:eastAsia="en-US"/>
        </w:rPr>
        <w:drawing>
          <wp:inline distT="0" distB="0" distL="0" distR="0" wp14:anchorId="11ED1323" wp14:editId="11693866">
            <wp:extent cx="5457825" cy="2809875"/>
            <wp:effectExtent l="0" t="0" r="9525" b="9525"/>
            <wp:docPr id="7" name="Picture 7" descr="https://lh6.googleusercontent.com/rdXmr6_TelvOxPSLyEljJywfhTc-eSFSCzsBWrtwn02lRUeW7w887zQmegNfPLnseC8OYDqdfd_m17QqbxC6JWHnRfgH01r68HNDagN6a_HPQ4qmRnHpt_5YfzrWrXnWo60jc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rdXmr6_TelvOxPSLyEljJywfhTc-eSFSCzsBWrtwn02lRUeW7w887zQmegNfPLnseC8OYDqdfd_m17QqbxC6JWHnRfgH01r68HNDagN6a_HPQ4qmRnHpt_5YfzrWrXnWo60jcuo"/>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457825" cy="2809875"/>
                    </a:xfrm>
                    <a:prstGeom prst="rect">
                      <a:avLst/>
                    </a:prstGeom>
                    <a:noFill/>
                    <a:ln>
                      <a:noFill/>
                    </a:ln>
                  </pic:spPr>
                </pic:pic>
              </a:graphicData>
            </a:graphic>
          </wp:inline>
        </w:drawing>
      </w:r>
    </w:p>
    <w:p w14:paraId="0B5E8C4A" w14:textId="77777777" w:rsidR="001F3D4A" w:rsidRDefault="001F3D4A" w:rsidP="001F3D4A">
      <w:pPr>
        <w:rPr>
          <w:rFonts w:asciiTheme="minorHAnsi" w:hAnsiTheme="minorHAnsi" w:cstheme="minorHAnsi"/>
          <w:sz w:val="22"/>
          <w:szCs w:val="22"/>
        </w:rPr>
      </w:pPr>
    </w:p>
    <w:p w14:paraId="4538B738" w14:textId="77777777" w:rsidR="001F3D4A" w:rsidRDefault="001F3D4A" w:rsidP="001F3D4A">
      <w:pPr>
        <w:ind w:left="720"/>
        <w:jc w:val="center"/>
        <w:rPr>
          <w:rFonts w:asciiTheme="minorHAnsi" w:hAnsiTheme="minorHAnsi" w:cstheme="minorHAnsi"/>
          <w:sz w:val="22"/>
          <w:szCs w:val="22"/>
        </w:rPr>
      </w:pPr>
      <w:r>
        <w:rPr>
          <w:rFonts w:asciiTheme="minorHAnsi" w:hAnsiTheme="minorHAnsi" w:cstheme="minorHAnsi"/>
          <w:color w:val="000000"/>
          <w:sz w:val="22"/>
          <w:szCs w:val="22"/>
        </w:rPr>
        <w:t>Figure 2</w:t>
      </w:r>
      <w:sdt>
        <w:sdtPr>
          <w:rPr>
            <w:rFonts w:asciiTheme="minorHAnsi" w:hAnsiTheme="minorHAnsi" w:cstheme="minorHAnsi"/>
            <w:sz w:val="22"/>
            <w:szCs w:val="22"/>
          </w:rPr>
          <w:tag w:val="goog_rdk_428"/>
          <w:id w:val="-589613135"/>
        </w:sdtPr>
        <w:sdtEndPr/>
        <w:sdtContent>
          <w:r>
            <w:rPr>
              <w:rFonts w:asciiTheme="minorHAnsi" w:hAnsiTheme="minorHAnsi" w:cstheme="minorHAnsi"/>
              <w:color w:val="000000"/>
              <w:sz w:val="22"/>
              <w:szCs w:val="22"/>
            </w:rPr>
            <w:t xml:space="preserve">: </w:t>
          </w:r>
        </w:sdtContent>
      </w:sdt>
      <w:r>
        <w:rPr>
          <w:rFonts w:asciiTheme="minorHAnsi" w:hAnsiTheme="minorHAnsi" w:cstheme="minorHAnsi"/>
          <w:color w:val="000000"/>
          <w:sz w:val="22"/>
          <w:szCs w:val="22"/>
        </w:rPr>
        <w:t>Diagram showing the information flow between iwlearn.net and project websites, and the access to a wealth of data and information it provides the IW community</w:t>
      </w:r>
      <w:sdt>
        <w:sdtPr>
          <w:rPr>
            <w:rFonts w:asciiTheme="minorHAnsi" w:hAnsiTheme="minorHAnsi" w:cstheme="minorHAnsi"/>
            <w:sz w:val="22"/>
            <w:szCs w:val="22"/>
          </w:rPr>
          <w:tag w:val="goog_rdk_430"/>
          <w:id w:val="-562480477"/>
          <w:showingPlcHdr/>
        </w:sdtPr>
        <w:sdtEndPr/>
        <w:sdtContent>
          <w:r>
            <w:rPr>
              <w:rFonts w:asciiTheme="minorHAnsi" w:hAnsiTheme="minorHAnsi" w:cstheme="minorHAnsi"/>
              <w:sz w:val="22"/>
              <w:szCs w:val="22"/>
            </w:rPr>
            <w:t xml:space="preserve">     </w:t>
          </w:r>
        </w:sdtContent>
      </w:sdt>
      <w:sdt>
        <w:sdtPr>
          <w:rPr>
            <w:rFonts w:asciiTheme="minorHAnsi" w:hAnsiTheme="minorHAnsi" w:cstheme="minorHAnsi"/>
            <w:sz w:val="22"/>
            <w:szCs w:val="22"/>
          </w:rPr>
          <w:tag w:val="goog_rdk_431"/>
          <w:id w:val="-1057629232"/>
        </w:sdtPr>
        <w:sdtEndPr/>
        <w:sdtContent/>
      </w:sdt>
    </w:p>
    <w:p w14:paraId="58A82882" w14:textId="77777777" w:rsidR="001F3D4A" w:rsidRDefault="001F3D4A" w:rsidP="001F3D4A">
      <w:pPr>
        <w:rPr>
          <w:rFonts w:asciiTheme="minorHAnsi" w:hAnsiTheme="minorHAnsi" w:cstheme="minorHAnsi"/>
          <w:sz w:val="22"/>
          <w:szCs w:val="22"/>
        </w:rPr>
      </w:pPr>
    </w:p>
    <w:p w14:paraId="4626D905" w14:textId="77777777" w:rsidR="001F3D4A" w:rsidRDefault="001F3D4A" w:rsidP="001F3D4A">
      <w:pPr>
        <w:jc w:val="both"/>
        <w:rPr>
          <w:rFonts w:asciiTheme="minorHAnsi" w:hAnsiTheme="minorHAnsi" w:cstheme="minorHAnsi"/>
          <w:sz w:val="22"/>
          <w:szCs w:val="22"/>
        </w:rPr>
      </w:pPr>
      <w:r>
        <w:rPr>
          <w:rFonts w:asciiTheme="minorHAnsi" w:hAnsiTheme="minorHAnsi" w:cstheme="minorHAnsi"/>
          <w:sz w:val="22"/>
          <w:szCs w:val="22"/>
        </w:rPr>
        <w:t xml:space="preserve">The activities in this Component will lead to increased experience sharing and replication of successes within and across the IW portfolio, as well as enhanced understanding of GEF IW project interventions beyond the portfolio. </w:t>
      </w:r>
    </w:p>
    <w:p w14:paraId="5B606DD4" w14:textId="77777777" w:rsidR="001F3D4A" w:rsidRDefault="001F3D4A" w:rsidP="001F3D4A">
      <w:pPr>
        <w:jc w:val="both"/>
        <w:rPr>
          <w:rFonts w:asciiTheme="minorHAnsi" w:hAnsiTheme="minorHAnsi" w:cstheme="minorHAnsi"/>
          <w:sz w:val="22"/>
          <w:szCs w:val="22"/>
        </w:rPr>
      </w:pPr>
    </w:p>
    <w:p w14:paraId="1D625621" w14:textId="77777777" w:rsidR="001F3D4A" w:rsidRDefault="001F3D4A" w:rsidP="001F3D4A">
      <w:pPr>
        <w:jc w:val="both"/>
        <w:rPr>
          <w:rFonts w:asciiTheme="minorHAnsi" w:hAnsiTheme="minorHAnsi" w:cstheme="minorHAnsi"/>
          <w:sz w:val="22"/>
          <w:szCs w:val="22"/>
        </w:rPr>
      </w:pPr>
      <w:r>
        <w:rPr>
          <w:rFonts w:asciiTheme="minorHAnsi" w:hAnsiTheme="minorHAnsi" w:cstheme="minorHAnsi"/>
          <w:sz w:val="22"/>
          <w:szCs w:val="22"/>
        </w:rPr>
        <w:t>Three sub-components are foreseen under Component 2:</w:t>
      </w:r>
    </w:p>
    <w:p w14:paraId="608EE9FB" w14:textId="77777777" w:rsidR="001F3D4A" w:rsidRDefault="001F3D4A" w:rsidP="001F3D4A">
      <w:pPr>
        <w:jc w:val="both"/>
        <w:rPr>
          <w:rFonts w:asciiTheme="minorHAnsi" w:hAnsiTheme="minorHAnsi" w:cstheme="minorHAnsi"/>
          <w:sz w:val="22"/>
          <w:szCs w:val="22"/>
        </w:rPr>
      </w:pPr>
    </w:p>
    <w:p w14:paraId="65B332A6" w14:textId="77777777" w:rsidR="001F3D4A" w:rsidRDefault="001F3D4A" w:rsidP="001F3D4A">
      <w:pPr>
        <w:numPr>
          <w:ilvl w:val="0"/>
          <w:numId w:val="34"/>
        </w:numPr>
        <w:spacing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2.1:</w:t>
      </w:r>
      <w:r>
        <w:rPr>
          <w:rFonts w:asciiTheme="minorHAnsi" w:hAnsiTheme="minorHAnsi" w:cstheme="minorHAnsi"/>
          <w:color w:val="000000"/>
          <w:sz w:val="22"/>
          <w:szCs w:val="22"/>
        </w:rPr>
        <w:t xml:space="preserve"> GEF IW:LEARN website supporting improved GEF IW project snapshots and a searchable knowledge bank of project experience</w:t>
      </w:r>
      <w:sdt>
        <w:sdtPr>
          <w:rPr>
            <w:rFonts w:asciiTheme="minorHAnsi" w:hAnsiTheme="minorHAnsi" w:cstheme="minorHAnsi"/>
          </w:rPr>
          <w:tag w:val="goog_rdk_433"/>
          <w:id w:val="1873795947"/>
        </w:sdtPr>
        <w:sdtEndPr/>
        <w:sdtContent>
          <w:r>
            <w:rPr>
              <w:rFonts w:asciiTheme="minorHAnsi" w:hAnsiTheme="minorHAnsi" w:cstheme="minorHAnsi"/>
              <w:color w:val="000000"/>
              <w:sz w:val="22"/>
              <w:szCs w:val="22"/>
            </w:rPr>
            <w:t>;</w:t>
          </w:r>
        </w:sdtContent>
      </w:sdt>
    </w:p>
    <w:p w14:paraId="26AAFCCC" w14:textId="77777777" w:rsidR="001F3D4A" w:rsidRDefault="001F3D4A" w:rsidP="001F3D4A">
      <w:pPr>
        <w:numPr>
          <w:ilvl w:val="0"/>
          <w:numId w:val="34"/>
        </w:numPr>
        <w:spacing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2.2:</w:t>
      </w:r>
      <w:r>
        <w:rPr>
          <w:rFonts w:asciiTheme="minorHAnsi" w:hAnsiTheme="minorHAnsi" w:cstheme="minorHAnsi"/>
          <w:color w:val="000000"/>
          <w:sz w:val="22"/>
          <w:szCs w:val="22"/>
        </w:rPr>
        <w:t xml:space="preserve"> Support to the use of information technology platforms to establish project websites and for improved management of information by GEF projects</w:t>
      </w:r>
      <w:sdt>
        <w:sdtPr>
          <w:rPr>
            <w:rFonts w:asciiTheme="minorHAnsi" w:hAnsiTheme="minorHAnsi" w:cstheme="minorHAnsi"/>
          </w:rPr>
          <w:tag w:val="goog_rdk_434"/>
          <w:id w:val="303517073"/>
        </w:sdtPr>
        <w:sdtEndPr/>
        <w:sdtContent>
          <w:r>
            <w:rPr>
              <w:rFonts w:asciiTheme="minorHAnsi" w:hAnsiTheme="minorHAnsi" w:cstheme="minorHAnsi"/>
              <w:color w:val="000000"/>
              <w:sz w:val="22"/>
              <w:szCs w:val="22"/>
            </w:rPr>
            <w:t>; and</w:t>
          </w:r>
        </w:sdtContent>
      </w:sdt>
    </w:p>
    <w:p w14:paraId="512642DB" w14:textId="2C024CE2" w:rsidR="001F3D4A" w:rsidRPr="00F439E2" w:rsidRDefault="001F3D4A" w:rsidP="00F439E2">
      <w:pPr>
        <w:numPr>
          <w:ilvl w:val="0"/>
          <w:numId w:val="34"/>
        </w:numPr>
        <w:spacing w:after="160" w:line="256" w:lineRule="auto"/>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2.3:</w:t>
      </w:r>
      <w:r>
        <w:rPr>
          <w:rFonts w:asciiTheme="minorHAnsi" w:hAnsiTheme="minorHAnsi" w:cstheme="minorHAnsi"/>
          <w:color w:val="000000"/>
          <w:sz w:val="22"/>
          <w:szCs w:val="22"/>
        </w:rPr>
        <w:t xml:space="preserve"> Hands-on communications and project visualization training, including support to the production of Experience Notes, for improved project storytelling, data packaging and focal area thematic review publications</w:t>
      </w:r>
      <w:r>
        <w:rPr>
          <w:rFonts w:asciiTheme="minorHAnsi" w:hAnsiTheme="minorHAnsi" w:cstheme="minorHAnsi"/>
          <w:sz w:val="22"/>
          <w:szCs w:val="22"/>
        </w:rPr>
        <w:t>.</w:t>
      </w:r>
    </w:p>
    <w:p w14:paraId="3D50788E" w14:textId="77777777" w:rsidR="00055FC7" w:rsidRPr="001F3D4A" w:rsidRDefault="00055FC7" w:rsidP="001F3D4A"/>
    <w:p w14:paraId="532DBC92" w14:textId="321E2DF4" w:rsidR="00055FC7" w:rsidRDefault="00055FC7" w:rsidP="00055FC7">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2.1</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GEF IW:LEARN website supporting improved GEF IW project snapshots and a searchable knowledge bank of project experience (UNDP)</w:t>
      </w:r>
    </w:p>
    <w:p w14:paraId="78D4EF29" w14:textId="77777777" w:rsidR="00055FC7" w:rsidRDefault="00055FC7" w:rsidP="00055FC7">
      <w:pPr>
        <w:jc w:val="both"/>
        <w:rPr>
          <w:rFonts w:asciiTheme="minorHAnsi" w:hAnsiTheme="minorHAnsi" w:cstheme="minorHAnsi"/>
          <w:b/>
          <w:sz w:val="22"/>
          <w:szCs w:val="22"/>
        </w:rPr>
      </w:pPr>
    </w:p>
    <w:p w14:paraId="1BE7F21B" w14:textId="77777777" w:rsidR="00055FC7" w:rsidRDefault="00055FC7" w:rsidP="00055FC7">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2C3FB32D" w14:textId="77777777" w:rsidR="00055FC7" w:rsidRDefault="00055FC7" w:rsidP="00055FC7">
      <w:pPr>
        <w:shd w:val="clear" w:color="auto" w:fill="E7E6E6"/>
        <w:jc w:val="both"/>
        <w:rPr>
          <w:rFonts w:asciiTheme="minorHAnsi" w:hAnsiTheme="minorHAnsi" w:cstheme="minorHAnsi"/>
          <w:sz w:val="22"/>
          <w:szCs w:val="22"/>
        </w:rPr>
      </w:pPr>
    </w:p>
    <w:p w14:paraId="22C9961F"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2.1 is:</w:t>
      </w:r>
    </w:p>
    <w:p w14:paraId="2A90F5C2" w14:textId="77777777" w:rsidR="00055FC7" w:rsidRDefault="00055FC7" w:rsidP="00055FC7">
      <w:pPr>
        <w:shd w:val="clear" w:color="auto" w:fill="E7E6E6"/>
        <w:jc w:val="both"/>
        <w:rPr>
          <w:rFonts w:asciiTheme="minorHAnsi" w:hAnsiTheme="minorHAnsi" w:cstheme="minorHAnsi"/>
          <w:sz w:val="22"/>
          <w:szCs w:val="22"/>
        </w:rPr>
      </w:pPr>
    </w:p>
    <w:p w14:paraId="1630ECCB"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GEF IW: LEARN website supporting improved GEF IW project snapshots and a searchable knowledge bank of project experience</w:t>
      </w:r>
    </w:p>
    <w:p w14:paraId="6DF8EF00" w14:textId="77777777" w:rsidR="00055FC7" w:rsidRDefault="00055FC7" w:rsidP="00055FC7">
      <w:pPr>
        <w:shd w:val="clear" w:color="auto" w:fill="E7E6E6"/>
        <w:jc w:val="both"/>
        <w:rPr>
          <w:rFonts w:asciiTheme="minorHAnsi" w:hAnsiTheme="minorHAnsi" w:cstheme="minorHAnsi"/>
          <w:sz w:val="22"/>
          <w:szCs w:val="22"/>
        </w:rPr>
      </w:pPr>
    </w:p>
    <w:p w14:paraId="01F5C93E"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2.1 is: </w:t>
      </w:r>
    </w:p>
    <w:p w14:paraId="4D35F4EA" w14:textId="77777777" w:rsidR="00055FC7" w:rsidRDefault="00055FC7" w:rsidP="00055FC7">
      <w:pPr>
        <w:shd w:val="clear" w:color="auto" w:fill="E7E6E6"/>
        <w:jc w:val="both"/>
        <w:rPr>
          <w:rFonts w:asciiTheme="minorHAnsi" w:hAnsiTheme="minorHAnsi" w:cstheme="minorHAnsi"/>
          <w:sz w:val="22"/>
          <w:szCs w:val="22"/>
        </w:rPr>
      </w:pPr>
    </w:p>
    <w:p w14:paraId="2A0180FD"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Increased experience sharing and replication of successes within and across the IW portfolio, as well as enhanced understanding of GEF IW project interventions beyond the portfolio</w:t>
      </w:r>
    </w:p>
    <w:p w14:paraId="16BE3B6F" w14:textId="77777777" w:rsidR="00055FC7" w:rsidRDefault="00055FC7" w:rsidP="00055FC7">
      <w:pPr>
        <w:shd w:val="clear" w:color="auto" w:fill="E7E6E6"/>
        <w:jc w:val="both"/>
        <w:rPr>
          <w:rFonts w:asciiTheme="minorHAnsi" w:hAnsiTheme="minorHAnsi" w:cstheme="minorHAnsi"/>
          <w:b/>
          <w:sz w:val="22"/>
          <w:szCs w:val="22"/>
        </w:rPr>
      </w:pPr>
    </w:p>
    <w:p w14:paraId="1AFADCC8" w14:textId="77777777" w:rsidR="00055FC7" w:rsidRDefault="00055FC7" w:rsidP="00055FC7">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2: GEF Grant USD640,000</w:t>
      </w:r>
    </w:p>
    <w:p w14:paraId="24F494C3"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55FBC7D8" w14:textId="77777777" w:rsidR="00055FC7" w:rsidRDefault="00055FC7" w:rsidP="00055FC7">
      <w:pPr>
        <w:shd w:val="clear" w:color="auto" w:fill="E7E6E6"/>
        <w:jc w:val="both"/>
        <w:rPr>
          <w:rFonts w:asciiTheme="minorHAnsi" w:hAnsiTheme="minorHAnsi" w:cstheme="minorHAnsi"/>
          <w:sz w:val="22"/>
          <w:szCs w:val="22"/>
        </w:rPr>
      </w:pPr>
    </w:p>
    <w:p w14:paraId="372E7C7D"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2.2: Support to the use of information technology platforms to establish project websites and for improved management of information by GEF projects </w:t>
      </w:r>
    </w:p>
    <w:p w14:paraId="0D6AAB25" w14:textId="77777777" w:rsidR="00055FC7" w:rsidRDefault="00055FC7" w:rsidP="00055FC7">
      <w:pPr>
        <w:shd w:val="clear" w:color="auto" w:fill="E7E6E6"/>
        <w:jc w:val="both"/>
        <w:rPr>
          <w:rFonts w:asciiTheme="minorHAnsi" w:hAnsiTheme="minorHAnsi" w:cstheme="minorHAnsi"/>
          <w:sz w:val="22"/>
          <w:szCs w:val="22"/>
        </w:rPr>
      </w:pPr>
    </w:p>
    <w:p w14:paraId="503454DA"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2.3: Hands-on communications and project visualization training to both projects &amp; journalists, including support to the production of Experience Notes, for improved project storytelling, data packaging and focal area thematic review publications</w:t>
      </w:r>
    </w:p>
    <w:p w14:paraId="02A801B2" w14:textId="77777777" w:rsidR="00055FC7" w:rsidRDefault="00055FC7" w:rsidP="00055FC7">
      <w:pPr>
        <w:shd w:val="clear" w:color="auto" w:fill="E7E6E6"/>
        <w:jc w:val="both"/>
        <w:rPr>
          <w:rFonts w:asciiTheme="minorHAnsi" w:hAnsiTheme="minorHAnsi" w:cstheme="minorHAnsi"/>
          <w:sz w:val="22"/>
          <w:szCs w:val="22"/>
        </w:rPr>
      </w:pPr>
    </w:p>
    <w:p w14:paraId="0255BC9F"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3.2: Strengthened web portal and resource catalogue to facilitate information-sharing and learning across the SIDS project portfolio in support of the SAMOA Pathway</w:t>
      </w:r>
    </w:p>
    <w:p w14:paraId="2E31C0A9" w14:textId="77777777" w:rsidR="00055FC7" w:rsidRDefault="00055FC7" w:rsidP="00055FC7">
      <w:pPr>
        <w:shd w:val="clear" w:color="auto" w:fill="E7E6E6"/>
        <w:jc w:val="both"/>
        <w:rPr>
          <w:rFonts w:asciiTheme="minorHAnsi" w:hAnsiTheme="minorHAnsi" w:cstheme="minorHAnsi"/>
          <w:sz w:val="22"/>
          <w:szCs w:val="22"/>
        </w:rPr>
      </w:pPr>
    </w:p>
    <w:p w14:paraId="45B8D3E7" w14:textId="77777777" w:rsidR="00055FC7" w:rsidRDefault="00055FC7" w:rsidP="00055FC7">
      <w:pPr>
        <w:shd w:val="clear" w:color="auto" w:fill="E7E6E6"/>
        <w:jc w:val="both"/>
        <w:rPr>
          <w:rFonts w:asciiTheme="minorHAnsi" w:hAnsiTheme="minorHAnsi" w:cstheme="minorHAnsi"/>
          <w:sz w:val="22"/>
          <w:szCs w:val="22"/>
        </w:rPr>
      </w:pPr>
      <w:r>
        <w:rPr>
          <w:rFonts w:asciiTheme="minorHAnsi" w:hAnsiTheme="minorHAnsi" w:cstheme="minorHAnsi"/>
          <w:sz w:val="22"/>
          <w:szCs w:val="22"/>
        </w:rPr>
        <w:t>4.1: Knowledge exchanges on Water, Food, Energy and Environmental Security in transboundary basins</w:t>
      </w:r>
    </w:p>
    <w:p w14:paraId="5EA6262C" w14:textId="77777777" w:rsidR="00055FC7" w:rsidRDefault="00055FC7" w:rsidP="00055FC7">
      <w:pPr>
        <w:jc w:val="both"/>
        <w:rPr>
          <w:rFonts w:asciiTheme="minorHAnsi" w:hAnsiTheme="minorHAnsi" w:cstheme="minorHAnsi"/>
          <w:sz w:val="22"/>
          <w:szCs w:val="22"/>
        </w:rPr>
      </w:pPr>
    </w:p>
    <w:sdt>
      <w:sdtPr>
        <w:rPr>
          <w:rFonts w:asciiTheme="minorHAnsi" w:hAnsiTheme="minorHAnsi" w:cstheme="minorHAnsi"/>
        </w:rPr>
        <w:tag w:val="goog_rdk_437"/>
        <w:id w:val="-728308298"/>
      </w:sdtPr>
      <w:sdtEndPr/>
      <w:sdtContent>
        <w:sdt>
          <w:sdtPr>
            <w:rPr>
              <w:rFonts w:asciiTheme="minorHAnsi" w:hAnsiTheme="minorHAnsi" w:cstheme="minorHAnsi"/>
            </w:rPr>
            <w:tag w:val="goog_rdk_436"/>
            <w:id w:val="-147055253"/>
          </w:sdtPr>
          <w:sdtEndPr/>
          <w:sdtContent>
            <w:p w14:paraId="27135D59" w14:textId="77777777" w:rsidR="00055FC7" w:rsidRDefault="00055FC7" w:rsidP="00055FC7">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While many websites serve as the main online presence and a marketing platform of an organization, IWLEARN.NET’s significance to the GEF IW portfolio goes beyond such goals, as it is regarded as the main online resource for all GEF IW information, a true knowledge management system for the portfolio, as acknowledged once again by stakeholders in the recent Terminal Evaluation (TE), citing it as “very important for the entire IW portfolio”. On the contrary, the TE report also revealed that “although it (the IW:LEARN website) has improved significantly in recent years, there is still room for improvement,” thus emphasizing the need to further enhance IWLEARN.NET’s features and enrich its </w:t>
              </w:r>
              <w:r>
                <w:rPr>
                  <w:rFonts w:asciiTheme="minorHAnsi" w:hAnsiTheme="minorHAnsi" w:cstheme="minorHAnsi"/>
                  <w:color w:val="000000"/>
                  <w:sz w:val="22"/>
                  <w:szCs w:val="22"/>
                </w:rPr>
                <w:lastRenderedPageBreak/>
                <w:t>content. The stakeholder consultations during the project preparation phase also amplified managers’ preference in seeing IW:LEARN knowledge and communication products, presented more visually. There is also an increasing need to make project experiences as well as key IW:LEARN products easily discoverable aimed at helping GEF IW project staff maneuver through transboundary waters management.</w:t>
              </w:r>
            </w:p>
          </w:sdtContent>
        </w:sdt>
      </w:sdtContent>
    </w:sdt>
    <w:sdt>
      <w:sdtPr>
        <w:rPr>
          <w:rFonts w:asciiTheme="minorHAnsi" w:hAnsiTheme="minorHAnsi" w:cstheme="minorHAnsi"/>
        </w:rPr>
        <w:tag w:val="goog_rdk_439"/>
        <w:id w:val="-909611184"/>
      </w:sdtPr>
      <w:sdtEndPr/>
      <w:sdtContent>
        <w:p w14:paraId="2CF0E05F" w14:textId="77777777" w:rsidR="00055FC7" w:rsidRDefault="00F57A55" w:rsidP="00055FC7">
          <w:pPr>
            <w:jc w:val="both"/>
            <w:rPr>
              <w:rFonts w:asciiTheme="minorHAnsi" w:hAnsiTheme="minorHAnsi" w:cstheme="minorHAnsi"/>
              <w:color w:val="000000"/>
              <w:sz w:val="22"/>
              <w:szCs w:val="22"/>
            </w:rPr>
          </w:pPr>
          <w:sdt>
            <w:sdtPr>
              <w:rPr>
                <w:rFonts w:asciiTheme="minorHAnsi" w:hAnsiTheme="minorHAnsi" w:cstheme="minorHAnsi"/>
              </w:rPr>
              <w:tag w:val="goog_rdk_438"/>
              <w:id w:val="-567039210"/>
              <w:showingPlcHdr/>
            </w:sdtPr>
            <w:sdtEndPr/>
            <w:sdtContent>
              <w:r w:rsidR="00055FC7">
                <w:rPr>
                  <w:rFonts w:asciiTheme="minorHAnsi" w:hAnsiTheme="minorHAnsi" w:cstheme="minorHAnsi"/>
                </w:rPr>
                <w:t xml:space="preserve">     </w:t>
              </w:r>
            </w:sdtContent>
          </w:sdt>
        </w:p>
      </w:sdtContent>
    </w:sdt>
    <w:sdt>
      <w:sdtPr>
        <w:rPr>
          <w:rFonts w:asciiTheme="minorHAnsi" w:hAnsiTheme="minorHAnsi" w:cstheme="minorHAnsi"/>
        </w:rPr>
        <w:tag w:val="goog_rdk_441"/>
        <w:id w:val="425087889"/>
      </w:sdtPr>
      <w:sdtEndPr/>
      <w:sdtContent>
        <w:p w14:paraId="2FDC6977" w14:textId="77777777" w:rsidR="00055FC7" w:rsidRDefault="00F57A55" w:rsidP="00055FC7">
          <w:pPr>
            <w:jc w:val="both"/>
            <w:rPr>
              <w:rFonts w:asciiTheme="minorHAnsi" w:hAnsiTheme="minorHAnsi" w:cstheme="minorHAnsi"/>
              <w:color w:val="000000"/>
              <w:sz w:val="22"/>
              <w:szCs w:val="22"/>
            </w:rPr>
          </w:pPr>
          <w:sdt>
            <w:sdtPr>
              <w:rPr>
                <w:rFonts w:asciiTheme="minorHAnsi" w:hAnsiTheme="minorHAnsi" w:cstheme="minorHAnsi"/>
              </w:rPr>
              <w:tag w:val="goog_rdk_440"/>
              <w:id w:val="-1671403140"/>
            </w:sdtPr>
            <w:sdtEndPr/>
            <w:sdtContent>
              <w:r w:rsidR="00055FC7">
                <w:rPr>
                  <w:rFonts w:asciiTheme="minorHAnsi" w:hAnsiTheme="minorHAnsi" w:cstheme="minorHAnsi"/>
                  <w:color w:val="000000"/>
                  <w:sz w:val="22"/>
                  <w:szCs w:val="22"/>
                </w:rPr>
                <w:t xml:space="preserve">Experience Notes (EN) and Results Notes (RN) are one of the IW:LEARN products deemed very useful and highly appreciated by project coordinators in the TE. However, out of 87 active projects in the previous phase, only a total of 31 ENs and 3 RNs were produced by the portfolio. The submission rate has, thus, been relatively low and needs to be improved. </w:t>
              </w:r>
            </w:sdtContent>
          </w:sdt>
        </w:p>
      </w:sdtContent>
    </w:sdt>
    <w:sdt>
      <w:sdtPr>
        <w:rPr>
          <w:rFonts w:asciiTheme="minorHAnsi" w:hAnsiTheme="minorHAnsi" w:cstheme="minorHAnsi"/>
        </w:rPr>
        <w:tag w:val="goog_rdk_443"/>
        <w:id w:val="-513452505"/>
      </w:sdtPr>
      <w:sdtEndPr/>
      <w:sdtContent>
        <w:p w14:paraId="35C6C29D" w14:textId="77777777" w:rsidR="00055FC7" w:rsidRDefault="00F57A55" w:rsidP="00055FC7">
          <w:pPr>
            <w:jc w:val="both"/>
            <w:rPr>
              <w:rFonts w:asciiTheme="minorHAnsi" w:hAnsiTheme="minorHAnsi" w:cstheme="minorHAnsi"/>
              <w:color w:val="000000"/>
              <w:sz w:val="22"/>
              <w:szCs w:val="22"/>
            </w:rPr>
          </w:pPr>
          <w:sdt>
            <w:sdtPr>
              <w:rPr>
                <w:rFonts w:asciiTheme="minorHAnsi" w:hAnsiTheme="minorHAnsi" w:cstheme="minorHAnsi"/>
              </w:rPr>
              <w:tag w:val="goog_rdk_442"/>
              <w:id w:val="821389797"/>
              <w:showingPlcHdr/>
            </w:sdtPr>
            <w:sdtEndPr/>
            <w:sdtContent>
              <w:r w:rsidR="00055FC7">
                <w:rPr>
                  <w:rFonts w:asciiTheme="minorHAnsi" w:hAnsiTheme="minorHAnsi" w:cstheme="minorHAnsi"/>
                </w:rPr>
                <w:t xml:space="preserve">     </w:t>
              </w:r>
            </w:sdtContent>
          </w:sdt>
        </w:p>
      </w:sdtContent>
    </w:sdt>
    <w:sdt>
      <w:sdtPr>
        <w:rPr>
          <w:rFonts w:asciiTheme="minorHAnsi" w:hAnsiTheme="minorHAnsi" w:cstheme="minorHAnsi"/>
        </w:rPr>
        <w:tag w:val="goog_rdk_446"/>
        <w:id w:val="402036740"/>
      </w:sdtPr>
      <w:sdtEndPr/>
      <w:sdtContent>
        <w:sdt>
          <w:sdtPr>
            <w:rPr>
              <w:rFonts w:asciiTheme="minorHAnsi" w:hAnsiTheme="minorHAnsi" w:cstheme="minorHAnsi"/>
            </w:rPr>
            <w:tag w:val="goog_rdk_444"/>
            <w:id w:val="-106433589"/>
          </w:sdtPr>
          <w:sdtEndPr/>
          <w:sdtContent>
            <w:p w14:paraId="2524C659" w14:textId="77777777" w:rsidR="00055FC7" w:rsidRDefault="00055FC7" w:rsidP="00055FC7">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Trends in website design and web apps change rapidly, and the standard practice is to redesign and improve the technology of an </w:t>
              </w:r>
              <w:proofErr w:type="spellStart"/>
              <w:r>
                <w:rPr>
                  <w:rFonts w:asciiTheme="minorHAnsi" w:hAnsiTheme="minorHAnsi" w:cstheme="minorHAnsi"/>
                  <w:color w:val="000000"/>
                  <w:sz w:val="22"/>
                  <w:szCs w:val="22"/>
                </w:rPr>
                <w:t>organisation’s</w:t>
              </w:r>
              <w:proofErr w:type="spellEnd"/>
              <w:r>
                <w:rPr>
                  <w:rFonts w:asciiTheme="minorHAnsi" w:hAnsiTheme="minorHAnsi" w:cstheme="minorHAnsi"/>
                  <w:color w:val="000000"/>
                  <w:sz w:val="22"/>
                  <w:szCs w:val="22"/>
                </w:rPr>
                <w:t xml:space="preserve"> web site every 3-4 years, particularly to keep up with web standards. A major revamp on the front- and back-end</w:t>
              </w:r>
              <w:r>
                <w:rPr>
                  <w:rFonts w:asciiTheme="minorHAnsi" w:eastAsia="Arial" w:hAnsiTheme="minorHAnsi" w:cstheme="minorHAnsi"/>
                  <w:color w:val="000000"/>
                  <w:sz w:val="18"/>
                  <w:szCs w:val="18"/>
                  <w:vertAlign w:val="superscript"/>
                </w:rPr>
                <w:footnoteReference w:id="2"/>
              </w:r>
              <w:r>
                <w:rPr>
                  <w:rFonts w:asciiTheme="minorHAnsi" w:hAnsiTheme="minorHAnsi" w:cstheme="minorHAnsi"/>
                  <w:color w:val="000000"/>
                  <w:sz w:val="22"/>
                  <w:szCs w:val="22"/>
                </w:rPr>
                <w:t xml:space="preserve">, in addition to performing regular security and module updates, makes a website reliable, relevant and efficient, which brings positive experience to users resulting in longer and frequent visits, and which also leads to higher Google Search ranking. </w:t>
              </w:r>
              <w:sdt>
                <w:sdtPr>
                  <w:rPr>
                    <w:rFonts w:asciiTheme="minorHAnsi" w:hAnsiTheme="minorHAnsi" w:cstheme="minorHAnsi"/>
                  </w:rPr>
                  <w:tag w:val="goog_rdk_445"/>
                  <w:id w:val="2019504316"/>
                  <w:showingPlcHdr/>
                </w:sdtPr>
                <w:sdtEndPr/>
                <w:sdtContent>
                  <w:r>
                    <w:rPr>
                      <w:rFonts w:asciiTheme="minorHAnsi" w:hAnsiTheme="minorHAnsi" w:cstheme="minorHAnsi"/>
                    </w:rPr>
                    <w:t xml:space="preserve">     </w:t>
                  </w:r>
                </w:sdtContent>
              </w:sdt>
            </w:p>
          </w:sdtContent>
        </w:sdt>
      </w:sdtContent>
    </w:sdt>
    <w:p w14:paraId="0ED9F87C" w14:textId="77777777" w:rsidR="00055FC7" w:rsidRDefault="00F57A55" w:rsidP="00055FC7">
      <w:pPr>
        <w:jc w:val="both"/>
        <w:rPr>
          <w:rFonts w:asciiTheme="minorHAnsi" w:hAnsiTheme="minorHAnsi" w:cstheme="minorHAnsi"/>
          <w:sz w:val="22"/>
          <w:szCs w:val="22"/>
        </w:rPr>
      </w:pPr>
      <w:sdt>
        <w:sdtPr>
          <w:rPr>
            <w:rFonts w:asciiTheme="minorHAnsi" w:hAnsiTheme="minorHAnsi" w:cstheme="minorHAnsi"/>
          </w:rPr>
          <w:tag w:val="goog_rdk_449"/>
          <w:id w:val="1712611602"/>
        </w:sdtPr>
        <w:sdtEndPr/>
        <w:sdtContent>
          <w:sdt>
            <w:sdtPr>
              <w:rPr>
                <w:rFonts w:asciiTheme="minorHAnsi" w:hAnsiTheme="minorHAnsi" w:cstheme="minorHAnsi"/>
              </w:rPr>
              <w:tag w:val="goog_rdk_448"/>
              <w:id w:val="852383157"/>
              <w:showingPlcHdr/>
            </w:sdtPr>
            <w:sdtEndPr/>
            <w:sdtContent>
              <w:r w:rsidR="00055FC7">
                <w:rPr>
                  <w:rFonts w:asciiTheme="minorHAnsi" w:hAnsiTheme="minorHAnsi" w:cstheme="minorHAnsi"/>
                </w:rPr>
                <w:t xml:space="preserve">     </w:t>
              </w:r>
            </w:sdtContent>
          </w:sdt>
        </w:sdtContent>
      </w:sdt>
      <w:sdt>
        <w:sdtPr>
          <w:rPr>
            <w:rFonts w:asciiTheme="minorHAnsi" w:hAnsiTheme="minorHAnsi" w:cstheme="minorHAnsi"/>
          </w:rPr>
          <w:tag w:val="goog_rdk_451"/>
          <w:id w:val="2068296813"/>
        </w:sdtPr>
        <w:sdtEndPr/>
        <w:sdtContent>
          <w:sdt>
            <w:sdtPr>
              <w:rPr>
                <w:rFonts w:asciiTheme="minorHAnsi" w:hAnsiTheme="minorHAnsi" w:cstheme="minorHAnsi"/>
              </w:rPr>
              <w:tag w:val="goog_rdk_450"/>
              <w:id w:val="1327788115"/>
            </w:sdtPr>
            <w:sdtEndPr/>
            <w:sdtContent/>
          </w:sdt>
        </w:sdtContent>
      </w:sdt>
      <w:sdt>
        <w:sdtPr>
          <w:rPr>
            <w:rFonts w:asciiTheme="minorHAnsi" w:hAnsiTheme="minorHAnsi" w:cstheme="minorHAnsi"/>
          </w:rPr>
          <w:tag w:val="goog_rdk_453"/>
          <w:id w:val="1889537988"/>
        </w:sdtPr>
        <w:sdtEndPr/>
        <w:sdtContent>
          <w:sdt>
            <w:sdtPr>
              <w:rPr>
                <w:rFonts w:asciiTheme="minorHAnsi" w:hAnsiTheme="minorHAnsi" w:cstheme="minorHAnsi"/>
              </w:rPr>
              <w:tag w:val="goog_rdk_452"/>
              <w:id w:val="391701892"/>
              <w:showingPlcHdr/>
            </w:sdtPr>
            <w:sdtEndPr/>
            <w:sdtContent>
              <w:r w:rsidR="00055FC7">
                <w:rPr>
                  <w:rFonts w:asciiTheme="minorHAnsi" w:hAnsiTheme="minorHAnsi" w:cstheme="minorHAnsi"/>
                </w:rPr>
                <w:t xml:space="preserve">     </w:t>
              </w:r>
            </w:sdtContent>
          </w:sdt>
        </w:sdtContent>
      </w:sdt>
      <w:sdt>
        <w:sdtPr>
          <w:rPr>
            <w:rFonts w:asciiTheme="minorHAnsi" w:hAnsiTheme="minorHAnsi" w:cstheme="minorHAnsi"/>
          </w:rPr>
          <w:tag w:val="goog_rdk_455"/>
          <w:id w:val="-1972200579"/>
        </w:sdtPr>
        <w:sdtEndPr/>
        <w:sdtContent>
          <w:sdt>
            <w:sdtPr>
              <w:rPr>
                <w:rFonts w:asciiTheme="minorHAnsi" w:hAnsiTheme="minorHAnsi" w:cstheme="minorHAnsi"/>
              </w:rPr>
              <w:tag w:val="goog_rdk_454"/>
              <w:id w:val="319240251"/>
            </w:sdtPr>
            <w:sdtEndPr/>
            <w:sdtContent/>
          </w:sdt>
        </w:sdtContent>
      </w:sdt>
      <w:sdt>
        <w:sdtPr>
          <w:rPr>
            <w:rFonts w:asciiTheme="minorHAnsi" w:hAnsiTheme="minorHAnsi" w:cstheme="minorHAnsi"/>
          </w:rPr>
          <w:tag w:val="goog_rdk_457"/>
          <w:id w:val="528765277"/>
        </w:sdtPr>
        <w:sdtEndPr/>
        <w:sdtContent>
          <w:sdt>
            <w:sdtPr>
              <w:rPr>
                <w:rFonts w:asciiTheme="minorHAnsi" w:hAnsiTheme="minorHAnsi" w:cstheme="minorHAnsi"/>
              </w:rPr>
              <w:tag w:val="goog_rdk_456"/>
              <w:id w:val="1711456943"/>
              <w:showingPlcHdr/>
            </w:sdtPr>
            <w:sdtEndPr/>
            <w:sdtContent>
              <w:r w:rsidR="00055FC7">
                <w:rPr>
                  <w:rFonts w:asciiTheme="minorHAnsi" w:hAnsiTheme="minorHAnsi" w:cstheme="minorHAnsi"/>
                </w:rPr>
                <w:t xml:space="preserve">     </w:t>
              </w:r>
            </w:sdtContent>
          </w:sdt>
        </w:sdtContent>
      </w:sdt>
    </w:p>
    <w:p w14:paraId="5B1E70B5" w14:textId="77777777" w:rsidR="00055FC7" w:rsidRDefault="00055FC7" w:rsidP="00055FC7">
      <w:pPr>
        <w:jc w:val="both"/>
        <w:rPr>
          <w:rFonts w:asciiTheme="minorHAnsi" w:hAnsiTheme="minorHAnsi" w:cstheme="minorHAnsi"/>
          <w:sz w:val="22"/>
          <w:szCs w:val="22"/>
        </w:rPr>
      </w:pPr>
      <w:r>
        <w:rPr>
          <w:rFonts w:asciiTheme="minorHAnsi" w:hAnsiTheme="minorHAnsi" w:cstheme="minorHAnsi"/>
          <w:sz w:val="22"/>
          <w:szCs w:val="22"/>
        </w:rPr>
        <w:t xml:space="preserve">Subcomponent 2.1 will have four principal objectives: </w:t>
      </w:r>
    </w:p>
    <w:p w14:paraId="39D6AA6B" w14:textId="77777777" w:rsidR="00055FC7" w:rsidRDefault="00055FC7" w:rsidP="00055FC7">
      <w:pPr>
        <w:jc w:val="both"/>
        <w:rPr>
          <w:rFonts w:asciiTheme="minorHAnsi" w:hAnsiTheme="minorHAnsi" w:cstheme="minorHAnsi"/>
          <w:sz w:val="22"/>
          <w:szCs w:val="22"/>
        </w:rPr>
      </w:pPr>
    </w:p>
    <w:p w14:paraId="7B549C77" w14:textId="77777777" w:rsidR="00055FC7" w:rsidRDefault="00055FC7" w:rsidP="00055FC7">
      <w:pPr>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To implement the necessary system upgrade and maintenance to the web platform (IWLEARN.NET, Geospatial Lab) including its mobile version; </w:t>
      </w:r>
    </w:p>
    <w:p w14:paraId="78037A03" w14:textId="77777777" w:rsidR="00055FC7" w:rsidRDefault="00055FC7" w:rsidP="00055FC7">
      <w:pPr>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To </w:t>
      </w:r>
      <w:r>
        <w:rPr>
          <w:rFonts w:asciiTheme="minorHAnsi" w:hAnsiTheme="minorHAnsi"/>
          <w:sz w:val="22"/>
          <w:szCs w:val="22"/>
        </w:rPr>
        <w:t>improve access to project experience and snapshots;</w:t>
      </w:r>
    </w:p>
    <w:p w14:paraId="386CBDCD" w14:textId="77777777" w:rsidR="00055FC7" w:rsidRDefault="00055FC7" w:rsidP="00055FC7">
      <w:pPr>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To continue providing signature IW:LEARN ICT and communication services but with an improved format and accessibility; and </w:t>
      </w:r>
    </w:p>
    <w:p w14:paraId="3EBA2CED" w14:textId="77777777" w:rsidR="00055FC7" w:rsidRDefault="00055FC7" w:rsidP="00055FC7">
      <w:pPr>
        <w:numPr>
          <w:ilvl w:val="0"/>
          <w:numId w:val="35"/>
        </w:numPr>
        <w:jc w:val="both"/>
        <w:rPr>
          <w:rFonts w:asciiTheme="minorHAnsi" w:hAnsiTheme="minorHAnsi" w:cstheme="minorHAnsi"/>
          <w:color w:val="000000"/>
          <w:sz w:val="22"/>
          <w:szCs w:val="22"/>
        </w:rPr>
      </w:pPr>
      <w:r>
        <w:rPr>
          <w:rFonts w:asciiTheme="minorHAnsi" w:hAnsiTheme="minorHAnsi" w:cstheme="minorHAnsi"/>
          <w:color w:val="000000"/>
          <w:sz w:val="22"/>
          <w:szCs w:val="22"/>
        </w:rPr>
        <w:t>To support the establishment of new thematic webpages supporting other activities of the project, such as the Water</w:t>
      </w:r>
      <w:r>
        <w:rPr>
          <w:rFonts w:asciiTheme="minorHAnsi" w:hAnsiTheme="minorHAnsi" w:cstheme="minorHAnsi"/>
          <w:sz w:val="22"/>
          <w:szCs w:val="22"/>
        </w:rPr>
        <w:t>-</w:t>
      </w:r>
      <w:r>
        <w:rPr>
          <w:rFonts w:asciiTheme="minorHAnsi" w:hAnsiTheme="minorHAnsi" w:cstheme="minorHAnsi"/>
          <w:color w:val="000000"/>
          <w:sz w:val="22"/>
          <w:szCs w:val="22"/>
        </w:rPr>
        <w:t>Energy</w:t>
      </w:r>
      <w:r>
        <w:rPr>
          <w:rFonts w:asciiTheme="minorHAnsi" w:hAnsiTheme="minorHAnsi" w:cstheme="minorHAnsi"/>
          <w:sz w:val="22"/>
          <w:szCs w:val="22"/>
        </w:rPr>
        <w:t>-</w:t>
      </w:r>
      <w:r>
        <w:rPr>
          <w:rFonts w:asciiTheme="minorHAnsi" w:hAnsiTheme="minorHAnsi" w:cstheme="minorHAnsi"/>
          <w:color w:val="000000"/>
          <w:sz w:val="22"/>
          <w:szCs w:val="22"/>
        </w:rPr>
        <w:t>Food</w:t>
      </w:r>
      <w:r>
        <w:rPr>
          <w:rFonts w:asciiTheme="minorHAnsi" w:hAnsiTheme="minorHAnsi" w:cstheme="minorHAnsi"/>
          <w:sz w:val="22"/>
          <w:szCs w:val="22"/>
        </w:rPr>
        <w:t>-</w:t>
      </w:r>
      <w:r>
        <w:rPr>
          <w:rFonts w:asciiTheme="minorHAnsi" w:hAnsiTheme="minorHAnsi" w:cstheme="minorHAnsi"/>
          <w:color w:val="000000"/>
          <w:sz w:val="22"/>
          <w:szCs w:val="22"/>
        </w:rPr>
        <w:t>Nexus.</w:t>
      </w:r>
    </w:p>
    <w:p w14:paraId="075A5692" w14:textId="77777777" w:rsidR="00055FC7" w:rsidRDefault="00055FC7" w:rsidP="00055FC7">
      <w:pPr>
        <w:jc w:val="both"/>
        <w:rPr>
          <w:rFonts w:asciiTheme="minorHAnsi" w:hAnsiTheme="minorHAnsi" w:cstheme="minorHAnsi"/>
          <w:sz w:val="22"/>
          <w:szCs w:val="22"/>
        </w:rPr>
      </w:pPr>
    </w:p>
    <w:p w14:paraId="2FB7C3AE" w14:textId="77777777" w:rsidR="00055FC7" w:rsidRDefault="00055FC7" w:rsidP="00055FC7">
      <w:pPr>
        <w:jc w:val="both"/>
        <w:rPr>
          <w:rFonts w:asciiTheme="minorHAnsi" w:hAnsiTheme="minorHAnsi" w:cstheme="minorHAnsi"/>
          <w:sz w:val="22"/>
          <w:szCs w:val="22"/>
        </w:rPr>
      </w:pPr>
      <w:r>
        <w:rPr>
          <w:rFonts w:asciiTheme="minorHAnsi" w:hAnsiTheme="minorHAnsi" w:cstheme="minorHAnsi"/>
          <w:sz w:val="22"/>
          <w:szCs w:val="22"/>
        </w:rPr>
        <w:t>Sub-Component 2.1 will contribute to the overall goal of the Component by allowing uncomplicated access to, and timely dissemination of data and information, project experience and results, toolbox, manuals and many more, through the IW:LEARN web platforms, and with this, provide an online means to facilitate continued learning, conversation, knowledge and experience sharing, and collaboration, and motivate managers and practitioners to adopt replicable solutions within the portfolio and beyond.</w:t>
      </w:r>
    </w:p>
    <w:p w14:paraId="37DABD3B" w14:textId="77777777" w:rsidR="00055FC7" w:rsidRDefault="00055FC7" w:rsidP="00055FC7">
      <w:pPr>
        <w:jc w:val="both"/>
        <w:rPr>
          <w:rFonts w:asciiTheme="minorHAnsi" w:hAnsiTheme="minorHAnsi" w:cstheme="minorHAnsi"/>
          <w:sz w:val="22"/>
          <w:szCs w:val="22"/>
        </w:rPr>
      </w:pPr>
    </w:p>
    <w:p w14:paraId="5D9A6429" w14:textId="77777777" w:rsidR="00055FC7" w:rsidRDefault="00055FC7" w:rsidP="00055FC7">
      <w:pPr>
        <w:jc w:val="both"/>
        <w:rPr>
          <w:rFonts w:asciiTheme="minorHAnsi" w:hAnsiTheme="minorHAnsi" w:cstheme="minorHAnsi"/>
          <w:sz w:val="22"/>
          <w:szCs w:val="22"/>
        </w:rPr>
      </w:pPr>
      <w:r>
        <w:rPr>
          <w:rFonts w:asciiTheme="minorHAnsi" w:hAnsiTheme="minorHAnsi" w:cstheme="minorHAnsi"/>
          <w:sz w:val="22"/>
          <w:szCs w:val="22"/>
        </w:rPr>
        <w:t xml:space="preserve">This sub-component will be fully executed by the PCU with the </w:t>
      </w:r>
      <w:r>
        <w:rPr>
          <w:rFonts w:asciiTheme="minorHAnsi" w:hAnsiTheme="minorHAnsi" w:cstheme="minorHAnsi"/>
          <w:color w:val="000000"/>
          <w:sz w:val="22"/>
          <w:szCs w:val="22"/>
        </w:rPr>
        <w:t xml:space="preserve">help of external expertise </w:t>
      </w:r>
      <w:r>
        <w:rPr>
          <w:rFonts w:asciiTheme="minorHAnsi" w:hAnsiTheme="minorHAnsi" w:cstheme="minorHAnsi"/>
          <w:sz w:val="22"/>
          <w:szCs w:val="22"/>
        </w:rPr>
        <w:t>to bring in support to content management, user interface/user experience design, system development and administration. For the creation of new website sections such as for Nexus and SIDS, this sub-component will interface with partners of Component 3 and 4 respectively, to secure that necessary content is obtained for publishing in IWLEARN.NET.</w:t>
      </w:r>
    </w:p>
    <w:p w14:paraId="07017009" w14:textId="77777777" w:rsidR="00055FC7" w:rsidRDefault="00055FC7" w:rsidP="00055FC7">
      <w:pPr>
        <w:jc w:val="both"/>
        <w:rPr>
          <w:rFonts w:asciiTheme="minorHAnsi" w:hAnsiTheme="minorHAnsi" w:cstheme="minorHAnsi"/>
          <w:sz w:val="22"/>
          <w:szCs w:val="22"/>
        </w:rPr>
      </w:pPr>
    </w:p>
    <w:p w14:paraId="5D33B567" w14:textId="77777777" w:rsidR="00055FC7" w:rsidRDefault="00055FC7" w:rsidP="00055FC7">
      <w:pPr>
        <w:jc w:val="both"/>
        <w:rPr>
          <w:rFonts w:asciiTheme="minorHAnsi" w:hAnsiTheme="minorHAnsi" w:cstheme="minorHAnsi"/>
          <w:sz w:val="22"/>
          <w:szCs w:val="22"/>
        </w:rPr>
      </w:pPr>
      <w:r>
        <w:rPr>
          <w:rFonts w:asciiTheme="minorHAnsi" w:hAnsiTheme="minorHAnsi" w:cstheme="minorHAnsi"/>
          <w:sz w:val="22"/>
          <w:szCs w:val="22"/>
        </w:rPr>
        <w:t>Sub-component 2.1 is comprised of the following activities:</w:t>
      </w:r>
    </w:p>
    <w:p w14:paraId="23C309BC" w14:textId="77777777" w:rsidR="00055FC7" w:rsidRDefault="00055FC7" w:rsidP="00055FC7">
      <w:pPr>
        <w:jc w:val="both"/>
        <w:rPr>
          <w:rFonts w:asciiTheme="minorHAnsi" w:hAnsiTheme="minorHAnsi" w:cstheme="minorHAnsi"/>
          <w:sz w:val="22"/>
          <w:szCs w:val="22"/>
        </w:rPr>
      </w:pPr>
    </w:p>
    <w:p w14:paraId="0C59388F" w14:textId="77777777" w:rsidR="00055FC7" w:rsidRDefault="00055FC7" w:rsidP="00055FC7">
      <w:pPr>
        <w:numPr>
          <w:ilvl w:val="0"/>
          <w:numId w:val="36"/>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2.1.1: Upgrade existing system and functionalities</w:t>
      </w:r>
      <w:sdt>
        <w:sdtPr>
          <w:rPr>
            <w:rFonts w:asciiTheme="minorHAnsi" w:hAnsiTheme="minorHAnsi" w:cstheme="minorHAnsi"/>
          </w:rPr>
          <w:tag w:val="goog_rdk_458"/>
          <w:id w:val="-1284506762"/>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459"/>
          <w:id w:val="1121037855"/>
          <w:showingPlcHdr/>
        </w:sdtPr>
        <w:sdtEndPr/>
        <w:sdtContent>
          <w:r>
            <w:rPr>
              <w:rFonts w:asciiTheme="minorHAnsi" w:hAnsiTheme="minorHAnsi" w:cstheme="minorHAnsi"/>
            </w:rPr>
            <w:t xml:space="preserve">     </w:t>
          </w:r>
        </w:sdtContent>
      </w:sdt>
    </w:p>
    <w:p w14:paraId="55DB6F75" w14:textId="77777777" w:rsidR="00055FC7" w:rsidRDefault="00055FC7" w:rsidP="00055FC7">
      <w:pPr>
        <w:numPr>
          <w:ilvl w:val="0"/>
          <w:numId w:val="36"/>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2.1.2: Update existing portfolio visualization maps and creation of new thematic maps</w:t>
      </w:r>
      <w:sdt>
        <w:sdtPr>
          <w:rPr>
            <w:rFonts w:asciiTheme="minorHAnsi" w:hAnsiTheme="minorHAnsi" w:cstheme="minorHAnsi"/>
          </w:rPr>
          <w:tag w:val="goog_rdk_460"/>
          <w:id w:val="1018581360"/>
        </w:sdtPr>
        <w:sdtEndPr/>
        <w:sdtContent>
          <w:r>
            <w:rPr>
              <w:rFonts w:asciiTheme="minorHAnsi" w:hAnsiTheme="minorHAnsi" w:cstheme="minorHAnsi"/>
              <w:color w:val="000000"/>
              <w:sz w:val="22"/>
              <w:szCs w:val="22"/>
            </w:rPr>
            <w:t>; and</w:t>
          </w:r>
        </w:sdtContent>
      </w:sdt>
    </w:p>
    <w:p w14:paraId="5E4FCD78" w14:textId="77777777" w:rsidR="00055FC7" w:rsidRDefault="00055FC7" w:rsidP="00055FC7">
      <w:pPr>
        <w:numPr>
          <w:ilvl w:val="0"/>
          <w:numId w:val="36"/>
        </w:numPr>
        <w:jc w:val="both"/>
        <w:rPr>
          <w:rFonts w:asciiTheme="minorHAnsi" w:hAnsiTheme="minorHAnsi" w:cstheme="minorHAnsi"/>
          <w:b/>
          <w:color w:val="000000"/>
          <w:sz w:val="22"/>
          <w:szCs w:val="22"/>
        </w:rPr>
      </w:pPr>
      <w:r>
        <w:rPr>
          <w:rFonts w:asciiTheme="minorHAnsi" w:hAnsiTheme="minorHAnsi" w:cstheme="minorHAnsi"/>
          <w:color w:val="000000"/>
          <w:sz w:val="22"/>
          <w:szCs w:val="22"/>
        </w:rPr>
        <w:t>Activity 2.1.3: Disseminate project results, experiences and stories</w:t>
      </w:r>
      <w:sdt>
        <w:sdtPr>
          <w:rPr>
            <w:rFonts w:asciiTheme="minorHAnsi" w:hAnsiTheme="minorHAnsi" w:cstheme="minorHAnsi"/>
          </w:rPr>
          <w:tag w:val="goog_rdk_461"/>
          <w:id w:val="-2041960341"/>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p>
    <w:p w14:paraId="646779DA" w14:textId="5F195F6D" w:rsidR="00055FC7" w:rsidRDefault="00055FC7" w:rsidP="00055FC7"/>
    <w:p w14:paraId="6B6ED3DA" w14:textId="77777777" w:rsidR="008112AA" w:rsidRPr="00055FC7" w:rsidRDefault="008112AA" w:rsidP="00055FC7"/>
    <w:p w14:paraId="15C24AAF" w14:textId="682856D3" w:rsidR="008112AA" w:rsidRDefault="008112AA" w:rsidP="008112AA">
      <w:pPr>
        <w:pStyle w:val="Heading5"/>
        <w:rPr>
          <w:rFonts w:asciiTheme="minorHAnsi" w:hAnsiTheme="minorHAnsi" w:cstheme="minorHAnsi"/>
          <w:b/>
          <w:bCs/>
          <w:color w:val="000000" w:themeColor="text1"/>
          <w:sz w:val="22"/>
          <w:szCs w:val="22"/>
        </w:rPr>
      </w:pPr>
      <w:bookmarkStart w:id="15" w:name="_Hlk115084550"/>
      <w:r w:rsidRPr="00D54A54">
        <w:rPr>
          <w:rFonts w:asciiTheme="minorHAnsi" w:hAnsiTheme="minorHAnsi" w:cstheme="minorHAnsi"/>
          <w:b/>
          <w:bCs/>
          <w:color w:val="000000" w:themeColor="text1"/>
          <w:sz w:val="22"/>
          <w:szCs w:val="22"/>
        </w:rPr>
        <w:lastRenderedPageBreak/>
        <w:t xml:space="preserve">Activity </w:t>
      </w:r>
      <w:r>
        <w:rPr>
          <w:rFonts w:asciiTheme="minorHAnsi" w:hAnsiTheme="minorHAnsi" w:cstheme="minorHAnsi"/>
          <w:b/>
          <w:bCs/>
          <w:color w:val="000000" w:themeColor="text1"/>
          <w:sz w:val="22"/>
          <w:szCs w:val="22"/>
        </w:rPr>
        <w:t>2.1.</w:t>
      </w:r>
      <w:r w:rsidRPr="00D54A54">
        <w:rPr>
          <w:rFonts w:asciiTheme="minorHAnsi" w:hAnsiTheme="minorHAnsi" w:cstheme="minorHAnsi"/>
          <w:b/>
          <w:bCs/>
          <w:color w:val="000000" w:themeColor="text1"/>
          <w:sz w:val="22"/>
          <w:szCs w:val="22"/>
        </w:rPr>
        <w:t>1:</w:t>
      </w:r>
      <w:r>
        <w:rPr>
          <w:rFonts w:asciiTheme="minorHAnsi" w:hAnsiTheme="minorHAnsi" w:cstheme="minorHAnsi"/>
          <w:b/>
          <w:bCs/>
          <w:color w:val="000000" w:themeColor="text1"/>
          <w:sz w:val="22"/>
          <w:szCs w:val="22"/>
        </w:rPr>
        <w:t xml:space="preserve"> </w:t>
      </w:r>
      <w:r w:rsidRPr="008112AA">
        <w:rPr>
          <w:rFonts w:asciiTheme="minorHAnsi" w:hAnsiTheme="minorHAnsi" w:cstheme="minorHAnsi"/>
          <w:b/>
          <w:bCs/>
          <w:color w:val="000000" w:themeColor="text1"/>
          <w:sz w:val="22"/>
          <w:szCs w:val="22"/>
        </w:rPr>
        <w:t>Upgrade existing system and functionalities</w:t>
      </w:r>
    </w:p>
    <w:bookmarkEnd w:id="15" w:displacedByCustomXml="next"/>
    <w:sdt>
      <w:sdtPr>
        <w:rPr>
          <w:rFonts w:asciiTheme="minorHAnsi" w:hAnsiTheme="minorHAnsi" w:cstheme="minorHAnsi"/>
        </w:rPr>
        <w:tag w:val="goog_rdk_463"/>
        <w:id w:val="-455250290"/>
      </w:sdtPr>
      <w:sdtEndPr/>
      <w:sdtContent>
        <w:p w14:paraId="43E830F9" w14:textId="77777777" w:rsidR="008112AA" w:rsidRDefault="008112AA" w:rsidP="008112AA">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This activity will start with the migration of the GEF IW:LEARN platform to its own server. This will then be succeeded by the vital enhancement and updating the front-end and back-end of the current IWLEARN.NET, Geospatial Lab and related tools and services to cope up with current web standards and technology, which is crucial to keeping the system stable and secure and that all hosted online services work as intended. </w:t>
          </w:r>
        </w:p>
        <w:p w14:paraId="6E97D61C" w14:textId="4FA68FD1" w:rsidR="008112AA" w:rsidRDefault="00F57A55" w:rsidP="008112AA">
          <w:pPr>
            <w:rPr>
              <w:rFonts w:asciiTheme="minorHAnsi" w:hAnsiTheme="minorHAnsi" w:cstheme="minorHAnsi"/>
            </w:rPr>
          </w:pPr>
        </w:p>
      </w:sdtContent>
    </w:sdt>
    <w:p w14:paraId="0AE86C29" w14:textId="77777777" w:rsidR="008112AA" w:rsidRDefault="00F57A55" w:rsidP="008112AA">
      <w:pPr>
        <w:jc w:val="both"/>
        <w:rPr>
          <w:rFonts w:asciiTheme="minorHAnsi" w:hAnsiTheme="minorHAnsi" w:cstheme="minorHAnsi"/>
          <w:sz w:val="22"/>
          <w:szCs w:val="22"/>
        </w:rPr>
      </w:pPr>
      <w:sdt>
        <w:sdtPr>
          <w:rPr>
            <w:rFonts w:asciiTheme="minorHAnsi" w:hAnsiTheme="minorHAnsi" w:cstheme="minorHAnsi"/>
          </w:rPr>
          <w:tag w:val="goog_rdk_469"/>
          <w:id w:val="-721132014"/>
        </w:sdtPr>
        <w:sdtEndPr/>
        <w:sdtContent>
          <w:sdt>
            <w:sdtPr>
              <w:rPr>
                <w:rFonts w:asciiTheme="minorHAnsi" w:hAnsiTheme="minorHAnsi" w:cstheme="minorHAnsi"/>
              </w:rPr>
              <w:tag w:val="goog_rdk_467"/>
              <w:id w:val="-1091317209"/>
            </w:sdtPr>
            <w:sdtEndPr/>
            <w:sdtContent>
              <w:r w:rsidR="008112AA">
                <w:rPr>
                  <w:rFonts w:asciiTheme="minorHAnsi" w:hAnsiTheme="minorHAnsi" w:cstheme="minorHAnsi"/>
                  <w:color w:val="000000"/>
                  <w:sz w:val="22"/>
                  <w:szCs w:val="22"/>
                </w:rPr>
                <w:t>The PCU will assess and integrate additional features to the web platforms to meet the emerging needs of stakeholders and to support other project activities planned for this phase. This could include: improved search function and dedicated search function for project experiences; ability to generate reports from the project database and export it in various formats (PDF, CSV, Excel); online training tools; dashboards for various user groups; visually-enticing templates for project stories, ENs and RNs; improved content discovery and distribution (through feeds and APIs</w:t>
              </w:r>
              <w:r w:rsidR="008112AA">
                <w:rPr>
                  <w:rFonts w:asciiTheme="minorHAnsi" w:hAnsiTheme="minorHAnsi" w:cstheme="minorHAnsi"/>
                  <w:color w:val="000000"/>
                  <w:sz w:val="22"/>
                  <w:szCs w:val="22"/>
                  <w:vertAlign w:val="superscript"/>
                </w:rPr>
                <w:footnoteReference w:id="3"/>
              </w:r>
              <w:r w:rsidR="008112AA">
                <w:rPr>
                  <w:rFonts w:asciiTheme="minorHAnsi" w:hAnsiTheme="minorHAnsi" w:cstheme="minorHAnsi"/>
                  <w:color w:val="000000"/>
                  <w:sz w:val="22"/>
                  <w:szCs w:val="22"/>
                </w:rPr>
                <w:t xml:space="preserve">), among others. In the same manner, this activity will ensure that key information, documents, new thematic web pages and functionalities are accessible in the mobile version.   </w:t>
              </w:r>
            </w:sdtContent>
          </w:sdt>
          <w:sdt>
            <w:sdtPr>
              <w:rPr>
                <w:rFonts w:asciiTheme="minorHAnsi" w:hAnsiTheme="minorHAnsi" w:cstheme="minorHAnsi"/>
              </w:rPr>
              <w:tag w:val="goog_rdk_468"/>
              <w:id w:val="2056959497"/>
              <w:showingPlcHdr/>
            </w:sdtPr>
            <w:sdtEndPr/>
            <w:sdtContent>
              <w:r w:rsidR="008112AA">
                <w:rPr>
                  <w:rFonts w:asciiTheme="minorHAnsi" w:hAnsiTheme="minorHAnsi" w:cstheme="minorHAnsi"/>
                </w:rPr>
                <w:t xml:space="preserve">     </w:t>
              </w:r>
            </w:sdtContent>
          </w:sdt>
        </w:sdtContent>
      </w:sdt>
      <w:sdt>
        <w:sdtPr>
          <w:rPr>
            <w:rFonts w:asciiTheme="minorHAnsi" w:hAnsiTheme="minorHAnsi" w:cstheme="minorHAnsi"/>
          </w:rPr>
          <w:tag w:val="goog_rdk_471"/>
          <w:id w:val="2071068580"/>
        </w:sdtPr>
        <w:sdtEndPr/>
        <w:sdtContent>
          <w:sdt>
            <w:sdtPr>
              <w:rPr>
                <w:rFonts w:asciiTheme="minorHAnsi" w:hAnsiTheme="minorHAnsi" w:cstheme="minorHAnsi"/>
              </w:rPr>
              <w:tag w:val="goog_rdk_470"/>
              <w:id w:val="448903483"/>
            </w:sdtPr>
            <w:sdtEndPr/>
            <w:sdtContent/>
          </w:sdt>
        </w:sdtContent>
      </w:sdt>
      <w:sdt>
        <w:sdtPr>
          <w:rPr>
            <w:rFonts w:asciiTheme="minorHAnsi" w:hAnsiTheme="minorHAnsi" w:cstheme="minorHAnsi"/>
          </w:rPr>
          <w:tag w:val="goog_rdk_472"/>
          <w:id w:val="-1686901845"/>
          <w:showingPlcHdr/>
        </w:sdtPr>
        <w:sdtEndPr/>
        <w:sdtContent>
          <w:r w:rsidR="008112AA">
            <w:rPr>
              <w:rFonts w:asciiTheme="minorHAnsi" w:hAnsiTheme="minorHAnsi" w:cstheme="minorHAnsi"/>
            </w:rPr>
            <w:t xml:space="preserve">     </w:t>
          </w:r>
        </w:sdtContent>
      </w:sdt>
      <w:r w:rsidR="008112AA">
        <w:rPr>
          <w:rFonts w:asciiTheme="minorHAnsi" w:hAnsiTheme="minorHAnsi" w:cstheme="minorHAnsi"/>
          <w:sz w:val="22"/>
          <w:szCs w:val="22"/>
        </w:rPr>
        <w:t xml:space="preserve">    </w:t>
      </w:r>
    </w:p>
    <w:p w14:paraId="118A06D0" w14:textId="77777777" w:rsidR="008112AA" w:rsidRDefault="008112AA" w:rsidP="008112AA">
      <w:pPr>
        <w:jc w:val="both"/>
        <w:rPr>
          <w:rFonts w:asciiTheme="minorHAnsi" w:hAnsiTheme="minorHAnsi" w:cstheme="minorHAnsi"/>
          <w:sz w:val="22"/>
          <w:szCs w:val="22"/>
        </w:rPr>
      </w:pPr>
    </w:p>
    <w:p w14:paraId="77340997" w14:textId="77777777" w:rsidR="008112AA" w:rsidRDefault="008112AA" w:rsidP="008112AA">
      <w:pPr>
        <w:jc w:val="both"/>
        <w:rPr>
          <w:rFonts w:asciiTheme="minorHAnsi" w:hAnsiTheme="minorHAnsi" w:cstheme="minorHAnsi"/>
          <w:sz w:val="22"/>
          <w:szCs w:val="22"/>
        </w:rPr>
      </w:pPr>
      <w:r>
        <w:rPr>
          <w:rFonts w:asciiTheme="minorHAnsi" w:hAnsiTheme="minorHAnsi" w:cstheme="minorHAnsi"/>
          <w:sz w:val="22"/>
          <w:szCs w:val="22"/>
        </w:rPr>
        <w:t xml:space="preserve">The project will develop new thematic web pages (SIDS, Nexus, etc.) at the IWLEARN.NET website containing an array of data and information, tools and case studies, and links to other web portals. The project will continue providing support to the </w:t>
      </w:r>
      <w:proofErr w:type="spellStart"/>
      <w:r>
        <w:rPr>
          <w:rFonts w:asciiTheme="minorHAnsi" w:hAnsiTheme="minorHAnsi" w:cstheme="minorHAnsi"/>
          <w:sz w:val="22"/>
          <w:szCs w:val="22"/>
        </w:rPr>
        <w:t>LMEHub</w:t>
      </w:r>
      <w:proofErr w:type="spellEnd"/>
      <w:r>
        <w:rPr>
          <w:rFonts w:asciiTheme="minorHAnsi" w:hAnsiTheme="minorHAnsi" w:cstheme="minorHAnsi"/>
          <w:sz w:val="22"/>
          <w:szCs w:val="22"/>
        </w:rPr>
        <w:t xml:space="preserve">, which was developed by the GEF LME:LEARN project. It will become a highly visible feature accessible by a large number of users containing information from various sources aimed at making LMEs widely accepted concept. </w:t>
      </w:r>
    </w:p>
    <w:p w14:paraId="2260D041" w14:textId="77777777" w:rsidR="008112AA" w:rsidRDefault="008112AA" w:rsidP="008112AA">
      <w:pPr>
        <w:jc w:val="both"/>
        <w:rPr>
          <w:rFonts w:asciiTheme="minorHAnsi" w:hAnsiTheme="minorHAnsi" w:cstheme="minorHAnsi"/>
          <w:sz w:val="22"/>
          <w:szCs w:val="22"/>
        </w:rPr>
      </w:pPr>
    </w:p>
    <w:p w14:paraId="772224C0" w14:textId="77777777" w:rsidR="008112AA" w:rsidRDefault="008112AA" w:rsidP="008112AA">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lead the upgrading of the web platforms and feature enhancements, closely guiding external experts in the technical implementation as well as oversee the web site content management to be provided via external expertise. </w:t>
      </w:r>
    </w:p>
    <w:p w14:paraId="468B771C" w14:textId="77777777" w:rsidR="008112AA" w:rsidRPr="008112AA" w:rsidRDefault="008112AA" w:rsidP="008112AA"/>
    <w:p w14:paraId="16A6A401" w14:textId="502439FC" w:rsidR="008112AA" w:rsidRDefault="008112AA" w:rsidP="008112AA">
      <w:pPr>
        <w:pStyle w:val="Heading5"/>
        <w:rPr>
          <w:rFonts w:asciiTheme="minorHAnsi" w:hAnsiTheme="minorHAnsi" w:cstheme="minorHAnsi"/>
          <w:b/>
          <w:bCs/>
          <w:color w:val="000000" w:themeColor="text1"/>
          <w:sz w:val="22"/>
          <w:szCs w:val="22"/>
        </w:rPr>
      </w:pPr>
      <w:r w:rsidRPr="00D54A54">
        <w:rPr>
          <w:rFonts w:asciiTheme="minorHAnsi" w:hAnsiTheme="minorHAnsi" w:cstheme="minorHAnsi"/>
          <w:b/>
          <w:bCs/>
          <w:color w:val="000000" w:themeColor="text1"/>
          <w:sz w:val="22"/>
          <w:szCs w:val="22"/>
        </w:rPr>
        <w:t xml:space="preserve">Activity </w:t>
      </w:r>
      <w:r>
        <w:rPr>
          <w:rFonts w:asciiTheme="minorHAnsi" w:hAnsiTheme="minorHAnsi" w:cstheme="minorHAnsi"/>
          <w:b/>
          <w:bCs/>
          <w:color w:val="000000" w:themeColor="text1"/>
          <w:sz w:val="22"/>
          <w:szCs w:val="22"/>
        </w:rPr>
        <w:t>2.1.2</w:t>
      </w:r>
      <w:r w:rsidRPr="00D54A54">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 xml:space="preserve"> </w:t>
      </w:r>
      <w:r w:rsidRPr="008112AA">
        <w:rPr>
          <w:rFonts w:asciiTheme="minorHAnsi" w:hAnsiTheme="minorHAnsi" w:cstheme="minorHAnsi"/>
          <w:b/>
          <w:bCs/>
          <w:color w:val="000000" w:themeColor="text1"/>
          <w:sz w:val="22"/>
          <w:szCs w:val="22"/>
        </w:rPr>
        <w:t>Update existing portfolio visualization maps and creation of new thematic maps</w:t>
      </w:r>
    </w:p>
    <w:p w14:paraId="686CA978" w14:textId="77777777" w:rsidR="00B60E0D" w:rsidRDefault="00B60E0D" w:rsidP="00B60E0D">
      <w:pPr>
        <w:jc w:val="both"/>
        <w:rPr>
          <w:rFonts w:asciiTheme="minorHAnsi" w:hAnsiTheme="minorHAnsi" w:cstheme="minorHAnsi"/>
          <w:sz w:val="22"/>
          <w:szCs w:val="22"/>
        </w:rPr>
      </w:pPr>
      <w:r>
        <w:rPr>
          <w:rFonts w:asciiTheme="minorHAnsi" w:hAnsiTheme="minorHAnsi" w:cstheme="minorHAnsi"/>
          <w:sz w:val="22"/>
          <w:szCs w:val="22"/>
        </w:rPr>
        <w:t xml:space="preserve">New spatial data and maps covering various themes related to transboundary water management and the focal themes in this phase of IW:LEARN and the GEF7 &amp; GEF8 Programmatic Directions priorities will be uploaded and created in the Geospatial Lab. Data will be collected from project outputs such as available TDAs, technical reports, </w:t>
      </w:r>
      <w:sdt>
        <w:sdtPr>
          <w:rPr>
            <w:rFonts w:asciiTheme="minorHAnsi" w:hAnsiTheme="minorHAnsi" w:cstheme="minorHAnsi"/>
          </w:rPr>
          <w:tag w:val="goog_rdk_473"/>
          <w:id w:val="-268706847"/>
        </w:sdtPr>
        <w:sdtEndPr/>
        <w:sdtContent>
          <w:sdt>
            <w:sdtPr>
              <w:rPr>
                <w:rFonts w:asciiTheme="minorHAnsi" w:hAnsiTheme="minorHAnsi" w:cstheme="minorHAnsi"/>
              </w:rPr>
              <w:tag w:val="goog_rdk_474"/>
              <w:id w:val="1992517818"/>
            </w:sdtPr>
            <w:sdtEndPr/>
            <w:sdtContent>
              <w:r>
                <w:rPr>
                  <w:rFonts w:asciiTheme="minorHAnsi" w:hAnsiTheme="minorHAnsi" w:cstheme="minorHAnsi"/>
                  <w:color w:val="000000"/>
                  <w:sz w:val="22"/>
                  <w:szCs w:val="22"/>
                </w:rPr>
                <w:t>identified sources in the LME DIM Project Metadata report</w:t>
              </w:r>
            </w:sdtContent>
          </w:sdt>
          <w:r>
            <w:rPr>
              <w:rFonts w:asciiTheme="minorHAnsi" w:hAnsiTheme="minorHAnsi" w:cstheme="minorHAnsi"/>
              <w:color w:val="FF0000"/>
              <w:sz w:val="22"/>
              <w:szCs w:val="22"/>
            </w:rPr>
            <w:t xml:space="preserve">, </w:t>
          </w:r>
        </w:sdtContent>
      </w:sdt>
      <w:r>
        <w:rPr>
          <w:rFonts w:asciiTheme="minorHAnsi" w:hAnsiTheme="minorHAnsi" w:cstheme="minorHAnsi"/>
          <w:sz w:val="22"/>
          <w:szCs w:val="22"/>
        </w:rPr>
        <w:t xml:space="preserve">as well as online data repositories allowing open access to data sets. These repositories are provided by organizations such as IOC-UNESCO, UNEP, The World Bank, </w:t>
      </w:r>
      <w:sdt>
        <w:sdtPr>
          <w:rPr>
            <w:rFonts w:asciiTheme="minorHAnsi" w:hAnsiTheme="minorHAnsi" w:cstheme="minorHAnsi"/>
          </w:rPr>
          <w:tag w:val="goog_rdk_476"/>
          <w:id w:val="-331065520"/>
        </w:sdtPr>
        <w:sdtEndPr/>
        <w:sdtContent>
          <w:r>
            <w:rPr>
              <w:rFonts w:asciiTheme="minorHAnsi" w:hAnsiTheme="minorHAnsi" w:cstheme="minorHAnsi"/>
              <w:sz w:val="22"/>
              <w:szCs w:val="22"/>
            </w:rPr>
            <w:t xml:space="preserve">European Space Agency, GRID Geneva and GRID </w:t>
          </w:r>
          <w:proofErr w:type="spellStart"/>
          <w:r>
            <w:rPr>
              <w:rFonts w:asciiTheme="minorHAnsi" w:hAnsiTheme="minorHAnsi" w:cstheme="minorHAnsi"/>
              <w:sz w:val="22"/>
              <w:szCs w:val="22"/>
            </w:rPr>
            <w:t>Arendal</w:t>
          </w:r>
          <w:proofErr w:type="spellEnd"/>
          <w:r>
            <w:rPr>
              <w:rFonts w:asciiTheme="minorHAnsi" w:hAnsiTheme="minorHAnsi" w:cstheme="minorHAnsi"/>
              <w:sz w:val="22"/>
              <w:szCs w:val="22"/>
            </w:rPr>
            <w:t xml:space="preserve">, </w:t>
          </w:r>
        </w:sdtContent>
      </w:sdt>
      <w:r>
        <w:rPr>
          <w:rFonts w:asciiTheme="minorHAnsi" w:hAnsiTheme="minorHAnsi" w:cstheme="minorHAnsi"/>
          <w:sz w:val="22"/>
          <w:szCs w:val="22"/>
        </w:rPr>
        <w:t xml:space="preserve">World Resource Institute, Ocean Data Platform, as well as regional platforms, such as the Danube GIS, Pacific Data Hub, SEAFDEC, Caribbean Marine Atlas, to name a few. </w:t>
      </w:r>
      <w:r>
        <w:rPr>
          <w:rFonts w:asciiTheme="minorHAnsi" w:hAnsiTheme="minorHAnsi" w:cstheme="minorHAnsi"/>
          <w:color w:val="000000"/>
          <w:sz w:val="22"/>
          <w:szCs w:val="22"/>
        </w:rPr>
        <w:t>IW:LEARN will use these datasets to generate layers and maps that can provide current environmental state of a particular basin, project area or a specific topic of concern for use within the portfolio and to lend to global information networks</w:t>
      </w:r>
      <w:r>
        <w:rPr>
          <w:rFonts w:asciiTheme="minorHAnsi" w:hAnsiTheme="minorHAnsi" w:cstheme="minorHAnsi"/>
          <w:sz w:val="22"/>
          <w:szCs w:val="22"/>
        </w:rPr>
        <w:t>. These maps will also be featured in select pages in IWLEARN.NET, such as in new thematic web pages, and used in visual narratives especially story maps. The Spatial Lab will serve as the main repository for any portfolio-wide geospatial data visualization initiatives such as the LME Hub to assure uniformity of data visualized in different web pages and platforms like Google Earth.</w:t>
      </w:r>
    </w:p>
    <w:p w14:paraId="2BAE5B8D" w14:textId="77777777" w:rsidR="00B60E0D" w:rsidRDefault="00B60E0D" w:rsidP="00B60E0D">
      <w:pPr>
        <w:jc w:val="both"/>
        <w:rPr>
          <w:rFonts w:asciiTheme="minorHAnsi" w:hAnsiTheme="minorHAnsi" w:cstheme="minorHAnsi"/>
          <w:sz w:val="22"/>
          <w:szCs w:val="22"/>
        </w:rPr>
      </w:pPr>
    </w:p>
    <w:sdt>
      <w:sdtPr>
        <w:rPr>
          <w:rFonts w:asciiTheme="minorHAnsi" w:hAnsiTheme="minorHAnsi" w:cstheme="minorHAnsi"/>
        </w:rPr>
        <w:tag w:val="goog_rdk_479"/>
        <w:id w:val="936723794"/>
      </w:sdtPr>
      <w:sdtEndPr/>
      <w:sdtContent>
        <w:sdt>
          <w:sdtPr>
            <w:rPr>
              <w:rFonts w:asciiTheme="minorHAnsi" w:hAnsiTheme="minorHAnsi" w:cstheme="minorHAnsi"/>
            </w:rPr>
            <w:tag w:val="goog_rdk_478"/>
            <w:id w:val="-340402734"/>
          </w:sdtPr>
          <w:sdtEndPr/>
          <w:sdtContent>
            <w:p w14:paraId="516C69EE" w14:textId="77777777" w:rsidR="00B60E0D" w:rsidRDefault="00B60E0D" w:rsidP="00B60E0D">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Spatial Lab will serve as the main repository for any portfolio-wide geospatial data visualization initiatives such as the LME Hub to assure uniformity of data visualized in different web pages and platforms like Google Earth. A link between the LME Hub and the IW:LEARN platform and various IOC </w:t>
              </w:r>
              <w:r>
                <w:rPr>
                  <w:rFonts w:asciiTheme="minorHAnsi" w:hAnsiTheme="minorHAnsi" w:cstheme="minorHAnsi"/>
                  <w:color w:val="000000"/>
                  <w:sz w:val="22"/>
                  <w:szCs w:val="22"/>
                </w:rPr>
                <w:lastRenderedPageBreak/>
                <w:t>platforms will be established to automate content updating, such as for project news through news feeds API and LME-related maps and datasets.</w:t>
              </w:r>
            </w:p>
            <w:p w14:paraId="5761E3CF" w14:textId="616D71D6" w:rsidR="006629F2" w:rsidRDefault="00F57A55" w:rsidP="006629F2">
              <w:pPr>
                <w:jc w:val="both"/>
                <w:rPr>
                  <w:rFonts w:asciiTheme="minorHAnsi" w:hAnsiTheme="minorHAnsi" w:cstheme="minorHAnsi"/>
                </w:rPr>
              </w:pPr>
            </w:p>
          </w:sdtContent>
        </w:sdt>
      </w:sdtContent>
    </w:sdt>
    <w:p w14:paraId="026B4F6B" w14:textId="4099626E" w:rsidR="006629F2" w:rsidRDefault="006629F2" w:rsidP="006629F2">
      <w:pPr>
        <w:jc w:val="both"/>
        <w:rPr>
          <w:rFonts w:asciiTheme="minorHAnsi" w:hAnsiTheme="minorHAnsi" w:cstheme="minorHAnsi"/>
          <w:color w:val="000000"/>
          <w:sz w:val="22"/>
          <w:szCs w:val="22"/>
        </w:rPr>
      </w:pPr>
      <w:r w:rsidRPr="006629F2">
        <w:rPr>
          <w:rFonts w:asciiTheme="minorHAnsi" w:hAnsiTheme="minorHAnsi" w:cstheme="minorHAnsi"/>
        </w:rPr>
        <w:t xml:space="preserve"> </w:t>
      </w:r>
      <w:sdt>
        <w:sdtPr>
          <w:rPr>
            <w:rFonts w:asciiTheme="minorHAnsi" w:hAnsiTheme="minorHAnsi" w:cstheme="minorHAnsi"/>
          </w:rPr>
          <w:tag w:val="goog_rdk_481"/>
          <w:id w:val="-701476391"/>
        </w:sdtPr>
        <w:sdtEndPr/>
        <w:sdtContent>
          <w:sdt>
            <w:sdtPr>
              <w:rPr>
                <w:rFonts w:asciiTheme="minorHAnsi" w:hAnsiTheme="minorHAnsi" w:cstheme="minorHAnsi"/>
              </w:rPr>
              <w:tag w:val="goog_rdk_480"/>
              <w:id w:val="-1449547613"/>
            </w:sdtPr>
            <w:sdtEndPr/>
            <w:sdtContent>
              <w:r>
                <w:rPr>
                  <w:rFonts w:asciiTheme="minorHAnsi" w:hAnsiTheme="minorHAnsi" w:cstheme="minorHAnsi"/>
                  <w:color w:val="000000"/>
                  <w:sz w:val="22"/>
                  <w:szCs w:val="22"/>
                </w:rPr>
                <w:t>In partnership with the World Bank, a catalogue on 'Transboundary Waters Management' compiling existing data sources such as the shared catalogue from European Space Agency and other relevant knowledge products and services will be created and made accessible on both the WB’s Spatial Agent portal and IWLEARN.NET. Furthermore, this partnership will pave the way to an ecosystem of GEF implementing agencies on supporting projects to access spatial data tools created by the World Bank.</w:t>
              </w:r>
            </w:sdtContent>
          </w:sdt>
        </w:sdtContent>
      </w:sdt>
    </w:p>
    <w:sdt>
      <w:sdtPr>
        <w:rPr>
          <w:rFonts w:asciiTheme="minorHAnsi" w:hAnsiTheme="minorHAnsi" w:cstheme="minorHAnsi"/>
        </w:rPr>
        <w:tag w:val="goog_rdk_483"/>
        <w:id w:val="865567769"/>
      </w:sdtPr>
      <w:sdtEndPr/>
      <w:sdtContent>
        <w:p w14:paraId="69D27D6E" w14:textId="77777777" w:rsidR="006629F2" w:rsidRDefault="00F57A55" w:rsidP="006629F2">
          <w:pPr>
            <w:jc w:val="both"/>
            <w:rPr>
              <w:rFonts w:asciiTheme="minorHAnsi" w:hAnsiTheme="minorHAnsi" w:cstheme="minorHAnsi"/>
              <w:color w:val="000000"/>
              <w:sz w:val="22"/>
              <w:szCs w:val="22"/>
            </w:rPr>
          </w:pPr>
          <w:sdt>
            <w:sdtPr>
              <w:rPr>
                <w:rFonts w:asciiTheme="minorHAnsi" w:hAnsiTheme="minorHAnsi" w:cstheme="minorHAnsi"/>
              </w:rPr>
              <w:tag w:val="goog_rdk_482"/>
              <w:id w:val="1431634620"/>
              <w:showingPlcHdr/>
            </w:sdtPr>
            <w:sdtEndPr/>
            <w:sdtContent>
              <w:r w:rsidR="006629F2">
                <w:rPr>
                  <w:rFonts w:asciiTheme="minorHAnsi" w:hAnsiTheme="minorHAnsi" w:cstheme="minorHAnsi"/>
                </w:rPr>
                <w:t xml:space="preserve">     </w:t>
              </w:r>
            </w:sdtContent>
          </w:sdt>
        </w:p>
      </w:sdtContent>
    </w:sdt>
    <w:sdt>
      <w:sdtPr>
        <w:rPr>
          <w:rFonts w:asciiTheme="minorHAnsi" w:hAnsiTheme="minorHAnsi" w:cstheme="minorHAnsi"/>
        </w:rPr>
        <w:tag w:val="goog_rdk_485"/>
        <w:id w:val="-485470590"/>
      </w:sdtPr>
      <w:sdtEndPr/>
      <w:sdtContent>
        <w:p w14:paraId="4B22E2B1" w14:textId="77777777" w:rsidR="006629F2" w:rsidRDefault="00F57A55" w:rsidP="006629F2">
          <w:pPr>
            <w:jc w:val="both"/>
            <w:rPr>
              <w:rFonts w:asciiTheme="minorHAnsi" w:hAnsiTheme="minorHAnsi" w:cstheme="minorHAnsi"/>
              <w:color w:val="000000"/>
              <w:sz w:val="22"/>
              <w:szCs w:val="22"/>
            </w:rPr>
          </w:pPr>
          <w:sdt>
            <w:sdtPr>
              <w:rPr>
                <w:rFonts w:asciiTheme="minorHAnsi" w:hAnsiTheme="minorHAnsi" w:cstheme="minorHAnsi"/>
              </w:rPr>
              <w:tag w:val="goog_rdk_484"/>
              <w:id w:val="116341018"/>
            </w:sdtPr>
            <w:sdtEndPr/>
            <w:sdtContent>
              <w:r w:rsidR="006629F2">
                <w:rPr>
                  <w:rFonts w:asciiTheme="minorHAnsi" w:hAnsiTheme="minorHAnsi" w:cstheme="minorHAnsi"/>
                  <w:color w:val="000000"/>
                  <w:sz w:val="22"/>
                  <w:szCs w:val="22"/>
                </w:rPr>
                <w:t>The role of the PCU will be to identify data sources and secure access if necessary, and direct external experts in the enhancement and management of the Spatial Lab and the LME Hub. The PCU will also work with partners in designing and preparing content for new linkages and services.</w:t>
              </w:r>
            </w:sdtContent>
          </w:sdt>
        </w:p>
      </w:sdtContent>
    </w:sdt>
    <w:p w14:paraId="18D15589" w14:textId="145F8934" w:rsidR="008112AA" w:rsidRPr="00B60E0D" w:rsidRDefault="008112AA" w:rsidP="00B60E0D">
      <w:pPr>
        <w:jc w:val="both"/>
        <w:rPr>
          <w:rFonts w:asciiTheme="minorHAnsi" w:hAnsiTheme="minorHAnsi" w:cstheme="minorHAnsi"/>
          <w:color w:val="000000"/>
          <w:sz w:val="22"/>
          <w:szCs w:val="22"/>
        </w:rPr>
      </w:pPr>
    </w:p>
    <w:p w14:paraId="40B3F229" w14:textId="48E635EB" w:rsidR="006629F2" w:rsidRDefault="006629F2" w:rsidP="006629F2">
      <w:pPr>
        <w:pStyle w:val="Heading5"/>
        <w:rPr>
          <w:rFonts w:asciiTheme="minorHAnsi" w:hAnsiTheme="minorHAnsi" w:cstheme="minorHAnsi"/>
          <w:b/>
          <w:bCs/>
          <w:color w:val="000000" w:themeColor="text1"/>
          <w:sz w:val="22"/>
          <w:szCs w:val="22"/>
        </w:rPr>
      </w:pPr>
      <w:r w:rsidRPr="00D54A54">
        <w:rPr>
          <w:rFonts w:asciiTheme="minorHAnsi" w:hAnsiTheme="minorHAnsi" w:cstheme="minorHAnsi"/>
          <w:b/>
          <w:bCs/>
          <w:color w:val="000000" w:themeColor="text1"/>
          <w:sz w:val="22"/>
          <w:szCs w:val="22"/>
        </w:rPr>
        <w:t xml:space="preserve">Activity </w:t>
      </w:r>
      <w:r>
        <w:rPr>
          <w:rFonts w:asciiTheme="minorHAnsi" w:hAnsiTheme="minorHAnsi" w:cstheme="minorHAnsi"/>
          <w:b/>
          <w:bCs/>
          <w:color w:val="000000" w:themeColor="text1"/>
          <w:sz w:val="22"/>
          <w:szCs w:val="22"/>
        </w:rPr>
        <w:t>2.1.3</w:t>
      </w:r>
      <w:r w:rsidRPr="00D54A54">
        <w:rPr>
          <w:rFonts w:asciiTheme="minorHAnsi" w:hAnsiTheme="minorHAnsi" w:cstheme="minorHAnsi"/>
          <w:b/>
          <w:bCs/>
          <w:color w:val="000000" w:themeColor="text1"/>
          <w:sz w:val="22"/>
          <w:szCs w:val="22"/>
        </w:rPr>
        <w:t>:</w:t>
      </w:r>
      <w:r>
        <w:rPr>
          <w:rFonts w:asciiTheme="minorHAnsi" w:hAnsiTheme="minorHAnsi" w:cstheme="minorHAnsi"/>
          <w:b/>
          <w:bCs/>
          <w:color w:val="000000" w:themeColor="text1"/>
          <w:sz w:val="22"/>
          <w:szCs w:val="22"/>
        </w:rPr>
        <w:t xml:space="preserve"> </w:t>
      </w:r>
      <w:r w:rsidRPr="006629F2">
        <w:rPr>
          <w:rFonts w:asciiTheme="minorHAnsi" w:hAnsiTheme="minorHAnsi" w:cstheme="minorHAnsi"/>
          <w:b/>
          <w:bCs/>
          <w:color w:val="000000" w:themeColor="text1"/>
          <w:sz w:val="22"/>
          <w:szCs w:val="22"/>
        </w:rPr>
        <w:t>Disseminate project results, experiences and stories</w:t>
      </w:r>
    </w:p>
    <w:sdt>
      <w:sdtPr>
        <w:rPr>
          <w:rFonts w:asciiTheme="minorHAnsi" w:hAnsiTheme="minorHAnsi" w:cstheme="minorHAnsi"/>
        </w:rPr>
        <w:tag w:val="goog_rdk_491"/>
        <w:id w:val="1512340683"/>
      </w:sdtPr>
      <w:sdtEndPr/>
      <w:sdtContent>
        <w:p w14:paraId="5FC6C869" w14:textId="77777777" w:rsidR="006629F2" w:rsidRDefault="00F57A55" w:rsidP="006629F2">
          <w:pPr>
            <w:jc w:val="both"/>
            <w:rPr>
              <w:rFonts w:asciiTheme="minorHAnsi" w:hAnsiTheme="minorHAnsi" w:cstheme="minorHAnsi"/>
              <w:color w:val="000000"/>
              <w:sz w:val="22"/>
              <w:szCs w:val="22"/>
            </w:rPr>
          </w:pPr>
          <w:sdt>
            <w:sdtPr>
              <w:rPr>
                <w:rFonts w:asciiTheme="minorHAnsi" w:hAnsiTheme="minorHAnsi" w:cstheme="minorHAnsi"/>
              </w:rPr>
              <w:tag w:val="goog_rdk_490"/>
              <w:id w:val="-354888878"/>
            </w:sdtPr>
            <w:sdtEndPr/>
            <w:sdtContent>
              <w:r w:rsidR="006629F2">
                <w:rPr>
                  <w:rFonts w:asciiTheme="minorHAnsi" w:hAnsiTheme="minorHAnsi" w:cstheme="minorHAnsi"/>
                  <w:color w:val="000000"/>
                  <w:sz w:val="22"/>
                  <w:szCs w:val="22"/>
                </w:rPr>
                <w:t>Under this activity, IW:LEARN will continue to gather project stories, latest developments and opportunities from projects and partners around the globe and disseminate these through regular Portfolio Bulletin releases, short videos, IW:LEARN Twitter and Facebook posts to over 2,000 subscribers. IW:LEARN will further liaise with projects in the preparation and submission of ENs and RNs using a new, enhanced template, and which also closely aligns with similar reporting requirements of GEF agencies. IW:LEARN will redesign the project profile presentations to contain more succinct and visible snapshots of key project results and experience. This activity will help increase awareness on the works of the portfolio and sustain stakeholders’ interests and active participation in portfolio-wide discussions and events, and promote replication of successes.</w:t>
              </w:r>
            </w:sdtContent>
          </w:sdt>
        </w:p>
      </w:sdtContent>
    </w:sdt>
    <w:sdt>
      <w:sdtPr>
        <w:rPr>
          <w:rFonts w:asciiTheme="minorHAnsi" w:hAnsiTheme="minorHAnsi" w:cstheme="minorHAnsi"/>
        </w:rPr>
        <w:tag w:val="goog_rdk_493"/>
        <w:id w:val="1804496932"/>
      </w:sdtPr>
      <w:sdtEndPr/>
      <w:sdtContent>
        <w:p w14:paraId="68034061" w14:textId="77777777" w:rsidR="006629F2" w:rsidRDefault="00F57A55" w:rsidP="006629F2">
          <w:pPr>
            <w:jc w:val="both"/>
            <w:rPr>
              <w:rFonts w:asciiTheme="minorHAnsi" w:hAnsiTheme="minorHAnsi" w:cstheme="minorHAnsi"/>
              <w:color w:val="000000"/>
              <w:sz w:val="22"/>
              <w:szCs w:val="22"/>
            </w:rPr>
          </w:pPr>
          <w:sdt>
            <w:sdtPr>
              <w:rPr>
                <w:rFonts w:asciiTheme="minorHAnsi" w:hAnsiTheme="minorHAnsi" w:cstheme="minorHAnsi"/>
              </w:rPr>
              <w:tag w:val="goog_rdk_492"/>
              <w:id w:val="-718669965"/>
            </w:sdtPr>
            <w:sdtEndPr/>
            <w:sdtContent/>
          </w:sdt>
        </w:p>
      </w:sdtContent>
    </w:sdt>
    <w:p w14:paraId="5FC9BA14" w14:textId="77777777" w:rsidR="006629F2" w:rsidRDefault="00F57A55" w:rsidP="006629F2">
      <w:pPr>
        <w:jc w:val="both"/>
        <w:rPr>
          <w:rFonts w:asciiTheme="minorHAnsi" w:hAnsiTheme="minorHAnsi" w:cstheme="minorHAnsi"/>
          <w:b/>
          <w:sz w:val="22"/>
          <w:szCs w:val="22"/>
        </w:rPr>
      </w:pPr>
      <w:sdt>
        <w:sdtPr>
          <w:rPr>
            <w:rFonts w:asciiTheme="minorHAnsi" w:hAnsiTheme="minorHAnsi" w:cstheme="minorHAnsi"/>
          </w:rPr>
          <w:tag w:val="goog_rdk_496"/>
          <w:id w:val="-344095995"/>
        </w:sdtPr>
        <w:sdtEndPr/>
        <w:sdtContent>
          <w:sdt>
            <w:sdtPr>
              <w:rPr>
                <w:rFonts w:asciiTheme="minorHAnsi" w:hAnsiTheme="minorHAnsi" w:cstheme="minorHAnsi"/>
              </w:rPr>
              <w:tag w:val="goog_rdk_494"/>
              <w:id w:val="1747992918"/>
            </w:sdtPr>
            <w:sdtEndPr/>
            <w:sdtContent>
              <w:r w:rsidR="006629F2">
                <w:rPr>
                  <w:rFonts w:asciiTheme="minorHAnsi" w:hAnsiTheme="minorHAnsi" w:cstheme="minorHAnsi"/>
                  <w:color w:val="000000"/>
                  <w:sz w:val="22"/>
                  <w:szCs w:val="22"/>
                </w:rPr>
                <w:t xml:space="preserve">The PCU will be responsible for the collection of project results, experiences and stories, and distributing them to the wider portfolio through the IWLEARN.NET, Portfolio Bulletin and social network. The PCU will also work with the GEF and its Agencies’ focal points to make sure that stories on ground-breaking solutions, lessons and project triumphs are documented and shared to the rest of the portfolio through the ENs and RNs. </w:t>
              </w:r>
            </w:sdtContent>
          </w:sdt>
          <w:sdt>
            <w:sdtPr>
              <w:rPr>
                <w:rFonts w:asciiTheme="minorHAnsi" w:hAnsiTheme="minorHAnsi" w:cstheme="minorHAnsi"/>
              </w:rPr>
              <w:tag w:val="goog_rdk_495"/>
              <w:id w:val="-956566329"/>
              <w:showingPlcHdr/>
            </w:sdtPr>
            <w:sdtEndPr/>
            <w:sdtContent>
              <w:r w:rsidR="006629F2">
                <w:rPr>
                  <w:rFonts w:asciiTheme="minorHAnsi" w:hAnsiTheme="minorHAnsi" w:cstheme="minorHAnsi"/>
                </w:rPr>
                <w:t xml:space="preserve">     </w:t>
              </w:r>
            </w:sdtContent>
          </w:sdt>
        </w:sdtContent>
      </w:sdt>
      <w:sdt>
        <w:sdtPr>
          <w:rPr>
            <w:rFonts w:asciiTheme="minorHAnsi" w:hAnsiTheme="minorHAnsi" w:cstheme="minorHAnsi"/>
          </w:rPr>
          <w:tag w:val="goog_rdk_498"/>
          <w:id w:val="-451021019"/>
        </w:sdtPr>
        <w:sdtEndPr/>
        <w:sdtContent>
          <w:sdt>
            <w:sdtPr>
              <w:rPr>
                <w:rFonts w:asciiTheme="minorHAnsi" w:hAnsiTheme="minorHAnsi" w:cstheme="minorHAnsi"/>
              </w:rPr>
              <w:tag w:val="goog_rdk_497"/>
              <w:id w:val="-1333516341"/>
            </w:sdtPr>
            <w:sdtEndPr/>
            <w:sdtContent/>
          </w:sdt>
        </w:sdtContent>
      </w:sdt>
      <w:sdt>
        <w:sdtPr>
          <w:rPr>
            <w:rFonts w:asciiTheme="minorHAnsi" w:hAnsiTheme="minorHAnsi" w:cstheme="minorHAnsi"/>
          </w:rPr>
          <w:tag w:val="goog_rdk_500"/>
          <w:id w:val="-12298794"/>
        </w:sdtPr>
        <w:sdtEndPr/>
        <w:sdtContent>
          <w:sdt>
            <w:sdtPr>
              <w:rPr>
                <w:rFonts w:asciiTheme="minorHAnsi" w:hAnsiTheme="minorHAnsi" w:cstheme="minorHAnsi"/>
              </w:rPr>
              <w:tag w:val="goog_rdk_499"/>
              <w:id w:val="-1339684799"/>
              <w:showingPlcHdr/>
            </w:sdtPr>
            <w:sdtEndPr/>
            <w:sdtContent>
              <w:r w:rsidR="006629F2">
                <w:rPr>
                  <w:rFonts w:asciiTheme="minorHAnsi" w:hAnsiTheme="minorHAnsi" w:cstheme="minorHAnsi"/>
                </w:rPr>
                <w:t xml:space="preserve">     </w:t>
              </w:r>
            </w:sdtContent>
          </w:sdt>
        </w:sdtContent>
      </w:sdt>
    </w:p>
    <w:p w14:paraId="42AF676A" w14:textId="77777777" w:rsidR="006629F2" w:rsidRPr="006629F2" w:rsidRDefault="006629F2" w:rsidP="006629F2"/>
    <w:p w14:paraId="54094AD9" w14:textId="2F2EDA45" w:rsidR="005C6E82" w:rsidRDefault="005C6E82" w:rsidP="005C6E82">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2.2</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Support to the use of information technology platforms to establish project websites and for improved management of information by GEF projects (UNDP)</w:t>
      </w:r>
    </w:p>
    <w:p w14:paraId="55FAB9D1" w14:textId="77777777" w:rsidR="00212C79" w:rsidRDefault="00212C79" w:rsidP="00212C79">
      <w:pPr>
        <w:rPr>
          <w:rFonts w:asciiTheme="minorHAnsi" w:hAnsiTheme="minorHAnsi" w:cstheme="minorHAnsi"/>
          <w:sz w:val="22"/>
          <w:szCs w:val="22"/>
        </w:rPr>
      </w:pPr>
    </w:p>
    <w:p w14:paraId="0EB7614B" w14:textId="77777777" w:rsidR="00212C79" w:rsidRDefault="00212C79" w:rsidP="00212C79">
      <w:pPr>
        <w:shd w:val="clear" w:color="auto" w:fill="E7E6E6"/>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2C1C2FF9" w14:textId="77777777" w:rsidR="00212C79" w:rsidRDefault="00212C79" w:rsidP="00212C79">
      <w:pPr>
        <w:shd w:val="clear" w:color="auto" w:fill="E7E6E6"/>
        <w:rPr>
          <w:rFonts w:asciiTheme="minorHAnsi" w:hAnsiTheme="minorHAnsi" w:cstheme="minorHAnsi"/>
          <w:sz w:val="22"/>
          <w:szCs w:val="22"/>
        </w:rPr>
      </w:pPr>
    </w:p>
    <w:p w14:paraId="50692000"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2.2 is:</w:t>
      </w:r>
    </w:p>
    <w:p w14:paraId="6BFD70D8" w14:textId="77777777" w:rsidR="00212C79" w:rsidRDefault="00212C79" w:rsidP="00212C79">
      <w:pPr>
        <w:shd w:val="clear" w:color="auto" w:fill="E7E6E6"/>
        <w:rPr>
          <w:rFonts w:asciiTheme="minorHAnsi" w:hAnsiTheme="minorHAnsi" w:cstheme="minorHAnsi"/>
          <w:sz w:val="22"/>
          <w:szCs w:val="22"/>
        </w:rPr>
      </w:pPr>
    </w:p>
    <w:p w14:paraId="74DF0E4B"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Support to the use of information technology platforms to establish project websites and for improved management of information by GEF projects</w:t>
      </w:r>
    </w:p>
    <w:p w14:paraId="2C344EF4" w14:textId="77777777" w:rsidR="00212C79" w:rsidRDefault="00212C79" w:rsidP="00212C79">
      <w:pPr>
        <w:shd w:val="clear" w:color="auto" w:fill="E7E6E6"/>
        <w:rPr>
          <w:rFonts w:asciiTheme="minorHAnsi" w:hAnsiTheme="minorHAnsi" w:cstheme="minorHAnsi"/>
          <w:sz w:val="22"/>
          <w:szCs w:val="22"/>
        </w:rPr>
      </w:pPr>
    </w:p>
    <w:p w14:paraId="6DC5BC48"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outcomes</w:t>
      </w:r>
      <w:r>
        <w:rPr>
          <w:rFonts w:asciiTheme="minorHAnsi" w:hAnsiTheme="minorHAnsi" w:cstheme="minorHAnsi"/>
          <w:sz w:val="22"/>
          <w:szCs w:val="22"/>
        </w:rPr>
        <w:t xml:space="preserve"> from sub-component 2.2 are: </w:t>
      </w:r>
    </w:p>
    <w:p w14:paraId="55D50799" w14:textId="77777777" w:rsidR="00212C79" w:rsidRDefault="00212C79" w:rsidP="00212C79">
      <w:pPr>
        <w:shd w:val="clear" w:color="auto" w:fill="E7E6E6"/>
        <w:rPr>
          <w:rFonts w:asciiTheme="minorHAnsi" w:hAnsiTheme="minorHAnsi" w:cstheme="minorHAnsi"/>
          <w:sz w:val="22"/>
          <w:szCs w:val="22"/>
        </w:rPr>
      </w:pPr>
    </w:p>
    <w:p w14:paraId="689152B8"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Increased experience sharing and replication of successes within and across the IW portfolio, as well as enhanced understanding of GEF IW project interventions beyond the portfolio</w:t>
      </w:r>
    </w:p>
    <w:p w14:paraId="2A1F4A64" w14:textId="77777777" w:rsidR="00212C79" w:rsidRDefault="00212C79" w:rsidP="00212C79">
      <w:pPr>
        <w:shd w:val="clear" w:color="auto" w:fill="E7E6E6"/>
        <w:rPr>
          <w:rFonts w:asciiTheme="minorHAnsi" w:hAnsiTheme="minorHAnsi" w:cstheme="minorHAnsi"/>
          <w:b/>
          <w:sz w:val="22"/>
          <w:szCs w:val="22"/>
        </w:rPr>
      </w:pPr>
    </w:p>
    <w:p w14:paraId="0D75A73D" w14:textId="77777777" w:rsidR="00212C79" w:rsidRDefault="00212C79" w:rsidP="00212C79">
      <w:pPr>
        <w:shd w:val="clear" w:color="auto" w:fill="E7E6E6"/>
        <w:rPr>
          <w:rFonts w:asciiTheme="minorHAnsi" w:hAnsiTheme="minorHAnsi" w:cstheme="minorHAnsi"/>
          <w:b/>
          <w:sz w:val="22"/>
          <w:szCs w:val="22"/>
        </w:rPr>
      </w:pPr>
      <w:r>
        <w:rPr>
          <w:rFonts w:asciiTheme="minorHAnsi" w:hAnsiTheme="minorHAnsi" w:cstheme="minorHAnsi"/>
          <w:b/>
          <w:sz w:val="22"/>
          <w:szCs w:val="22"/>
        </w:rPr>
        <w:t>The overall costs for Component 2: GEF Grant USD640,000</w:t>
      </w:r>
    </w:p>
    <w:p w14:paraId="759D7885"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35256A59" w14:textId="77777777" w:rsidR="00212C79" w:rsidRDefault="00212C79" w:rsidP="00212C79">
      <w:pPr>
        <w:shd w:val="clear" w:color="auto" w:fill="E7E6E6"/>
        <w:rPr>
          <w:rFonts w:asciiTheme="minorHAnsi" w:hAnsiTheme="minorHAnsi" w:cstheme="minorHAnsi"/>
          <w:sz w:val="22"/>
          <w:szCs w:val="22"/>
        </w:rPr>
      </w:pPr>
    </w:p>
    <w:p w14:paraId="776D9EB0"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color w:val="000000"/>
          <w:sz w:val="22"/>
          <w:szCs w:val="22"/>
        </w:rPr>
        <w:lastRenderedPageBreak/>
        <w:t>1.2: Regional training workshops for GEF IW projects &amp; development partners on cross-cutting themes and key outputs from selected GEF portfolio methodology projects, delivered by partner learning network</w:t>
      </w:r>
      <w:r>
        <w:rPr>
          <w:rFonts w:asciiTheme="minorHAnsi" w:hAnsiTheme="minorHAnsi" w:cstheme="minorHAnsi"/>
          <w:color w:val="0000FF"/>
          <w:sz w:val="22"/>
          <w:szCs w:val="22"/>
        </w:rPr>
        <w:t xml:space="preserve"> </w:t>
      </w:r>
    </w:p>
    <w:p w14:paraId="436DB548" w14:textId="77777777" w:rsidR="00212C79" w:rsidRDefault="00212C79" w:rsidP="00212C79">
      <w:pPr>
        <w:shd w:val="clear" w:color="auto" w:fill="E7E6E6"/>
        <w:rPr>
          <w:rFonts w:asciiTheme="minorHAnsi" w:hAnsiTheme="minorHAnsi" w:cstheme="minorHAnsi"/>
          <w:sz w:val="22"/>
          <w:szCs w:val="22"/>
        </w:rPr>
      </w:pPr>
    </w:p>
    <w:p w14:paraId="62D061FF"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2.1: GEF IW:LEARN website supporting improved GEF IW project snapshots and a searchable knowledge bank of project experience</w:t>
      </w:r>
    </w:p>
    <w:p w14:paraId="6F4C617B" w14:textId="77777777" w:rsidR="00212C79" w:rsidRDefault="00212C79" w:rsidP="00212C79">
      <w:pPr>
        <w:shd w:val="clear" w:color="auto" w:fill="E7E6E6"/>
        <w:rPr>
          <w:rFonts w:asciiTheme="minorHAnsi" w:hAnsiTheme="minorHAnsi" w:cstheme="minorHAnsi"/>
          <w:sz w:val="22"/>
          <w:szCs w:val="22"/>
        </w:rPr>
      </w:pPr>
    </w:p>
    <w:p w14:paraId="60449076"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3.2:  Strengthened web portal and resource catalogue to facilitate information-sharing and learning across the SIDS project portfolio in support of the SAMOA Pathway</w:t>
      </w:r>
    </w:p>
    <w:p w14:paraId="4166E48C" w14:textId="77777777" w:rsidR="00212C79" w:rsidRDefault="00212C79" w:rsidP="00212C79">
      <w:pPr>
        <w:shd w:val="clear" w:color="auto" w:fill="E7E6E6"/>
        <w:rPr>
          <w:rFonts w:asciiTheme="minorHAnsi" w:hAnsiTheme="minorHAnsi" w:cstheme="minorHAnsi"/>
          <w:sz w:val="22"/>
          <w:szCs w:val="22"/>
        </w:rPr>
      </w:pPr>
    </w:p>
    <w:p w14:paraId="235A94FF" w14:textId="77777777" w:rsidR="00212C79" w:rsidRDefault="00212C79" w:rsidP="00212C79">
      <w:pPr>
        <w:shd w:val="clear" w:color="auto" w:fill="E7E6E6"/>
        <w:rPr>
          <w:rFonts w:asciiTheme="minorHAnsi" w:hAnsiTheme="minorHAnsi" w:cstheme="minorHAnsi"/>
          <w:sz w:val="22"/>
          <w:szCs w:val="22"/>
        </w:rPr>
      </w:pPr>
      <w:r>
        <w:rPr>
          <w:rFonts w:asciiTheme="minorHAnsi" w:hAnsiTheme="minorHAnsi" w:cstheme="minorHAnsi"/>
          <w:sz w:val="22"/>
          <w:szCs w:val="22"/>
        </w:rPr>
        <w:t>4.1: Knowledge exchanges on Water, Food, Energy and Environmental Security in transboundary basins</w:t>
      </w:r>
    </w:p>
    <w:p w14:paraId="6512AEB6" w14:textId="77777777" w:rsidR="00212C79" w:rsidRDefault="00212C79" w:rsidP="00212C79">
      <w:pPr>
        <w:rPr>
          <w:rFonts w:asciiTheme="minorHAnsi" w:hAnsiTheme="minorHAnsi" w:cstheme="minorHAnsi"/>
          <w:sz w:val="22"/>
          <w:szCs w:val="22"/>
        </w:rPr>
      </w:pPr>
    </w:p>
    <w:p w14:paraId="18C55F2D"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03"/>
          <w:id w:val="-1717660920"/>
        </w:sdtPr>
        <w:sdtEndPr/>
        <w:sdtContent>
          <w:sdt>
            <w:sdtPr>
              <w:rPr>
                <w:rFonts w:asciiTheme="minorHAnsi" w:hAnsiTheme="minorHAnsi" w:cstheme="minorHAnsi"/>
              </w:rPr>
              <w:tag w:val="goog_rdk_502"/>
              <w:id w:val="1181854465"/>
            </w:sdtPr>
            <w:sdtEndPr/>
            <w:sdtContent/>
          </w:sdt>
        </w:sdtContent>
      </w:sdt>
      <w:sdt>
        <w:sdtPr>
          <w:rPr>
            <w:rFonts w:asciiTheme="minorHAnsi" w:hAnsiTheme="minorHAnsi" w:cstheme="minorHAnsi"/>
          </w:rPr>
          <w:tag w:val="goog_rdk_506"/>
          <w:id w:val="631842001"/>
        </w:sdtPr>
        <w:sdtEndPr/>
        <w:sdtContent>
          <w:sdt>
            <w:sdtPr>
              <w:rPr>
                <w:rFonts w:asciiTheme="minorHAnsi" w:hAnsiTheme="minorHAnsi" w:cstheme="minorHAnsi"/>
              </w:rPr>
              <w:tag w:val="goog_rdk_505"/>
              <w:id w:val="-113910759"/>
            </w:sdtPr>
            <w:sdtEndPr/>
            <w:sdtContent>
              <w:r w:rsidR="00212C79">
                <w:rPr>
                  <w:rFonts w:asciiTheme="minorHAnsi" w:hAnsiTheme="minorHAnsi" w:cstheme="minorHAnsi"/>
                  <w:color w:val="000000"/>
                  <w:sz w:val="22"/>
                  <w:szCs w:val="22"/>
                </w:rPr>
                <w:t xml:space="preserve">While IW:LEARN’s central role in the GEF IW portfolio is to manage, sustain, disseminate and preserve knowledge and experiences that emanate within the portfolio, having no or limited access to project information and outputs are major hindrances to fulfilling this role. Websites and diverse online tools, on one hand, have been playing an important role in capturing, transferring and sharing knowledge, and collaborating remotely in globally distributed projects and teams. With the emergence of the pandemic (COVID-19), major changes and challenges occurred even in the day-to-day operations of many businesses in every sector of the society, including the business of safeguarding the environment, and online technology has been more relevant than ever in bringing some normality in this aspect, and in keeping the workforce and stakeholders actively involved yet safe. IW:LEARN, in a new endeavor, will use this as an opportunity to lead GEF IW projects and GEF agencies in improving project management skills needed in dealing with new ways of working through webinars, online trainings and access to learning courses and catalogues of tools and data portals. IW:LEARN, with the support of the World Bank, will convene managers and focal points of GEF agencies for the same purpose with an additional goal to foster an ecosystem of GEF implementing agencies. </w:t>
              </w:r>
            </w:sdtContent>
          </w:sdt>
        </w:sdtContent>
      </w:sdt>
    </w:p>
    <w:sdt>
      <w:sdtPr>
        <w:rPr>
          <w:rFonts w:asciiTheme="minorHAnsi" w:hAnsiTheme="minorHAnsi" w:cstheme="minorHAnsi"/>
        </w:rPr>
        <w:tag w:val="goog_rdk_508"/>
        <w:id w:val="-977375423"/>
      </w:sdtPr>
      <w:sdtEndPr/>
      <w:sdtContent>
        <w:p w14:paraId="66E0F9C4"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07"/>
              <w:id w:val="-1275408552"/>
              <w:showingPlcHdr/>
            </w:sdtPr>
            <w:sdtEndPr/>
            <w:sdtContent>
              <w:r w:rsidR="00212C79">
                <w:rPr>
                  <w:rFonts w:asciiTheme="minorHAnsi" w:hAnsiTheme="minorHAnsi" w:cstheme="minorHAnsi"/>
                </w:rPr>
                <w:t xml:space="preserve">     </w:t>
              </w:r>
            </w:sdtContent>
          </w:sdt>
        </w:p>
      </w:sdtContent>
    </w:sdt>
    <w:sdt>
      <w:sdtPr>
        <w:rPr>
          <w:rFonts w:asciiTheme="minorHAnsi" w:hAnsiTheme="minorHAnsi" w:cstheme="minorHAnsi"/>
        </w:rPr>
        <w:tag w:val="goog_rdk_511"/>
        <w:id w:val="587356223"/>
      </w:sdtPr>
      <w:sdtEndPr/>
      <w:sdtContent>
        <w:p w14:paraId="5FDACBC9"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09"/>
              <w:id w:val="1987815836"/>
            </w:sdtPr>
            <w:sdtEndPr/>
            <w:sdtContent>
              <w:r w:rsidR="00212C79">
                <w:rPr>
                  <w:rFonts w:asciiTheme="minorHAnsi" w:hAnsiTheme="minorHAnsi" w:cstheme="minorHAnsi"/>
                  <w:color w:val="000000"/>
                  <w:sz w:val="22"/>
                  <w:szCs w:val="22"/>
                </w:rPr>
                <w:t xml:space="preserve">Guided by successes in earlier IW:LEARN phases, Subcomponent 2.2 will continue to make for a more dynamic flow of data and information between IW:LEARN and the rest of the GEF IW projects, partners, key stakeholders in the Portfolio and the global IW community. With many affordable and low maintenance web packages and other online publishing and distribution tools within reach, including the IW:LEARN website solutions and GEF agency hosting options, it should be doable for a high percentage of all projects implemented within the GEF7 &amp; GEF8 Programmatic Directions to have a website and circulate key project information and results on the Web (see </w:t>
              </w:r>
              <w:sdt>
                <w:sdtPr>
                  <w:rPr>
                    <w:rFonts w:asciiTheme="minorHAnsi" w:hAnsiTheme="minorHAnsi" w:cstheme="minorHAnsi"/>
                  </w:rPr>
                  <w:tag w:val="goog_rdk_510"/>
                  <w:id w:val="2069914549"/>
                </w:sdtPr>
                <w:sdtEndPr/>
                <w:sdtContent>
                  <w:r w:rsidR="00212C79">
                    <w:rPr>
                      <w:rFonts w:asciiTheme="minorHAnsi" w:hAnsiTheme="minorHAnsi" w:cstheme="minorHAnsi"/>
                      <w:color w:val="000000"/>
                      <w:sz w:val="22"/>
                      <w:szCs w:val="22"/>
                    </w:rPr>
                    <w:t>Figure 3</w:t>
                  </w:r>
                </w:sdtContent>
              </w:sdt>
              <w:r w:rsidR="00212C79">
                <w:rPr>
                  <w:rFonts w:asciiTheme="minorHAnsi" w:hAnsiTheme="minorHAnsi" w:cstheme="minorHAnsi"/>
                  <w:color w:val="000000"/>
                  <w:sz w:val="22"/>
                  <w:szCs w:val="22"/>
                </w:rPr>
                <w:t xml:space="preserve">). With the Agencies support, GEF IW:LEARN will be able to report on the work of the portfolio as a whole and impart new findings, methodologies, lessons and experience emanating from projects to the entire portfolio. GEF IW:LEARN will also continue to save a copy of closing project websites in the IW:LEARN server and make it accessible in iwlearn.net. </w:t>
              </w:r>
            </w:sdtContent>
          </w:sdt>
        </w:p>
      </w:sdtContent>
    </w:sdt>
    <w:p w14:paraId="67C8DA53" w14:textId="77777777" w:rsidR="00212C79" w:rsidRDefault="00F57A55" w:rsidP="00212C79">
      <w:pPr>
        <w:rPr>
          <w:rFonts w:asciiTheme="minorHAnsi" w:hAnsiTheme="minorHAnsi" w:cstheme="minorHAnsi"/>
          <w:color w:val="000000"/>
          <w:sz w:val="22"/>
          <w:szCs w:val="22"/>
        </w:rPr>
      </w:pPr>
      <w:sdt>
        <w:sdtPr>
          <w:rPr>
            <w:rFonts w:asciiTheme="minorHAnsi" w:hAnsiTheme="minorHAnsi" w:cstheme="minorHAnsi"/>
          </w:rPr>
          <w:tag w:val="goog_rdk_515"/>
          <w:id w:val="-1776241027"/>
        </w:sdtPr>
        <w:sdtEndPr/>
        <w:sdtContent>
          <w:sdt>
            <w:sdtPr>
              <w:rPr>
                <w:rFonts w:asciiTheme="minorHAnsi" w:hAnsiTheme="minorHAnsi" w:cstheme="minorHAnsi"/>
              </w:rPr>
              <w:tag w:val="goog_rdk_513"/>
              <w:id w:val="-848791757"/>
              <w:showingPlcHdr/>
            </w:sdtPr>
            <w:sdtEndPr/>
            <w:sdtContent>
              <w:r w:rsidR="00212C79">
                <w:rPr>
                  <w:rFonts w:asciiTheme="minorHAnsi" w:hAnsiTheme="minorHAnsi" w:cstheme="minorHAnsi"/>
                </w:rPr>
                <w:t xml:space="preserve">     </w:t>
              </w:r>
            </w:sdtContent>
          </w:sdt>
          <w:sdt>
            <w:sdtPr>
              <w:rPr>
                <w:rFonts w:asciiTheme="minorHAnsi" w:hAnsiTheme="minorHAnsi" w:cstheme="minorHAnsi"/>
              </w:rPr>
              <w:tag w:val="goog_rdk_514"/>
              <w:id w:val="819543143"/>
            </w:sdtPr>
            <w:sdtEndPr/>
            <w:sdtContent/>
          </w:sdt>
        </w:sdtContent>
      </w:sdt>
      <w:sdt>
        <w:sdtPr>
          <w:rPr>
            <w:rFonts w:asciiTheme="minorHAnsi" w:hAnsiTheme="minorHAnsi" w:cstheme="minorHAnsi"/>
          </w:rPr>
          <w:tag w:val="goog_rdk_517"/>
          <w:id w:val="-995724681"/>
        </w:sdtPr>
        <w:sdtEndPr/>
        <w:sdtContent>
          <w:sdt>
            <w:sdtPr>
              <w:rPr>
                <w:rFonts w:asciiTheme="minorHAnsi" w:hAnsiTheme="minorHAnsi" w:cstheme="minorHAnsi"/>
              </w:rPr>
              <w:tag w:val="goog_rdk_516"/>
              <w:id w:val="1038853678"/>
            </w:sdtPr>
            <w:sdtEndPr/>
            <w:sdtContent/>
          </w:sdt>
        </w:sdtContent>
      </w:sdt>
      <w:sdt>
        <w:sdtPr>
          <w:rPr>
            <w:rFonts w:asciiTheme="minorHAnsi" w:hAnsiTheme="minorHAnsi" w:cstheme="minorHAnsi"/>
          </w:rPr>
          <w:tag w:val="goog_rdk_519"/>
          <w:id w:val="1037860244"/>
          <w:showingPlcHdr/>
        </w:sdtPr>
        <w:sdtEndPr/>
        <w:sdtContent>
          <w:r w:rsidR="00212C79">
            <w:rPr>
              <w:rFonts w:asciiTheme="minorHAnsi" w:hAnsiTheme="minorHAnsi" w:cstheme="minorHAnsi"/>
            </w:rPr>
            <w:t xml:space="preserve">     </w:t>
          </w:r>
        </w:sdtContent>
      </w:sdt>
    </w:p>
    <w:p w14:paraId="1F6C891B" w14:textId="08720493" w:rsidR="00212C79" w:rsidRDefault="00212C79" w:rsidP="00212C79">
      <w:pPr>
        <w:jc w:val="center"/>
        <w:rPr>
          <w:rFonts w:asciiTheme="minorHAnsi" w:hAnsiTheme="minorHAnsi" w:cstheme="minorHAnsi"/>
        </w:rPr>
      </w:pPr>
      <w:r>
        <w:rPr>
          <w:rFonts w:asciiTheme="minorHAnsi" w:hAnsiTheme="minorHAnsi" w:cstheme="minorHAnsi"/>
          <w:noProof/>
          <w:bdr w:val="none" w:sz="0" w:space="0" w:color="auto" w:frame="1"/>
          <w:lang w:eastAsia="en-US"/>
        </w:rPr>
        <w:lastRenderedPageBreak/>
        <w:drawing>
          <wp:inline distT="0" distB="0" distL="0" distR="0" wp14:anchorId="19F2EEBC" wp14:editId="534490C0">
            <wp:extent cx="5648325" cy="2733675"/>
            <wp:effectExtent l="0" t="0" r="9525" b="9525"/>
            <wp:docPr id="8" name="Picture 8" descr="https://lh6.googleusercontent.com/NUjiMzE0HUVJFLtiIwk-IV-UUhD5YUob9Fi61G9mux8ZvEiMliQbpUOOsSlNIPzzS9S5_ku6ci-Ej97WKcIbg9EuW6oXQAaIWeDJmEu17ouDnHH5nzPxKtGEAyYl1PDj6TwI4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NUjiMzE0HUVJFLtiIwk-IV-UUhD5YUob9Fi61G9mux8ZvEiMliQbpUOOsSlNIPzzS9S5_ku6ci-Ej97WKcIbg9EuW6oXQAaIWeDJmEu17ouDnHH5nzPxKtGEAyYl1PDj6TwI4YQ"/>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648325" cy="2733675"/>
                    </a:xfrm>
                    <a:prstGeom prst="rect">
                      <a:avLst/>
                    </a:prstGeom>
                    <a:noFill/>
                    <a:ln>
                      <a:noFill/>
                    </a:ln>
                  </pic:spPr>
                </pic:pic>
              </a:graphicData>
            </a:graphic>
          </wp:inline>
        </w:drawing>
      </w:r>
    </w:p>
    <w:p w14:paraId="21D49A51" w14:textId="77777777" w:rsidR="00212C79" w:rsidRDefault="00212C79" w:rsidP="00212C79">
      <w:pPr>
        <w:jc w:val="center"/>
        <w:rPr>
          <w:rFonts w:asciiTheme="minorHAnsi" w:hAnsiTheme="minorHAnsi" w:cstheme="minorHAnsi"/>
          <w:color w:val="000000"/>
          <w:sz w:val="22"/>
          <w:szCs w:val="22"/>
        </w:rPr>
      </w:pPr>
      <w:r>
        <w:rPr>
          <w:rFonts w:asciiTheme="minorHAnsi" w:hAnsiTheme="minorHAnsi" w:cstheme="minorHAnsi"/>
          <w:color w:val="000000"/>
          <w:sz w:val="22"/>
          <w:szCs w:val="22"/>
        </w:rPr>
        <w:t>Figure 3: The TE reports for Phase 3</w:t>
      </w:r>
      <w:r>
        <w:rPr>
          <w:rFonts w:asciiTheme="minorHAnsi" w:hAnsiTheme="minorHAnsi" w:cstheme="minorHAnsi"/>
          <w:color w:val="000000"/>
          <w:sz w:val="22"/>
          <w:szCs w:val="22"/>
          <w:vertAlign w:val="superscript"/>
        </w:rPr>
        <w:footnoteReference w:id="4"/>
      </w:r>
      <w:r>
        <w:rPr>
          <w:rFonts w:asciiTheme="minorHAnsi" w:hAnsiTheme="minorHAnsi" w:cstheme="minorHAnsi"/>
          <w:color w:val="000000"/>
          <w:sz w:val="22"/>
          <w:szCs w:val="22"/>
        </w:rPr>
        <w:t xml:space="preserve"> and 4 indicate that more project information and experiences are accessible when more project websites are accessible online. With the use of integration tools such as APIs and feeds, GEF IW:LEARN is able collect and repost information in an efficient manner</w:t>
      </w:r>
    </w:p>
    <w:p w14:paraId="7430D02B" w14:textId="77777777" w:rsidR="00212C79" w:rsidRDefault="00F57A55" w:rsidP="00212C79">
      <w:pPr>
        <w:rPr>
          <w:rFonts w:asciiTheme="minorHAnsi" w:hAnsiTheme="minorHAnsi" w:cstheme="minorHAnsi"/>
          <w:color w:val="000000"/>
        </w:rPr>
      </w:pPr>
      <w:sdt>
        <w:sdtPr>
          <w:rPr>
            <w:rFonts w:asciiTheme="minorHAnsi" w:hAnsiTheme="minorHAnsi" w:cstheme="minorHAnsi"/>
          </w:rPr>
          <w:tag w:val="goog_rdk_528"/>
          <w:id w:val="280618451"/>
        </w:sdtPr>
        <w:sdtEndPr/>
        <w:sdtContent>
          <w:sdt>
            <w:sdtPr>
              <w:rPr>
                <w:rFonts w:asciiTheme="minorHAnsi" w:hAnsiTheme="minorHAnsi" w:cstheme="minorHAnsi"/>
              </w:rPr>
              <w:tag w:val="goog_rdk_527"/>
              <w:id w:val="1144937554"/>
              <w:showingPlcHdr/>
            </w:sdtPr>
            <w:sdtEndPr/>
            <w:sdtContent>
              <w:r w:rsidR="00212C79">
                <w:rPr>
                  <w:rFonts w:asciiTheme="minorHAnsi" w:hAnsiTheme="minorHAnsi" w:cstheme="minorHAnsi"/>
                </w:rPr>
                <w:t xml:space="preserve">     </w:t>
              </w:r>
            </w:sdtContent>
          </w:sdt>
        </w:sdtContent>
      </w:sdt>
      <w:sdt>
        <w:sdtPr>
          <w:rPr>
            <w:rFonts w:asciiTheme="minorHAnsi" w:hAnsiTheme="minorHAnsi" w:cstheme="minorHAnsi"/>
          </w:rPr>
          <w:tag w:val="goog_rdk_531"/>
          <w:id w:val="-7225709"/>
        </w:sdtPr>
        <w:sdtEndPr/>
        <w:sdtContent>
          <w:sdt>
            <w:sdtPr>
              <w:rPr>
                <w:rFonts w:asciiTheme="minorHAnsi" w:hAnsiTheme="minorHAnsi" w:cstheme="minorHAnsi"/>
              </w:rPr>
              <w:tag w:val="goog_rdk_530"/>
              <w:id w:val="954373846"/>
            </w:sdtPr>
            <w:sdtEndPr/>
            <w:sdtContent/>
          </w:sdt>
        </w:sdtContent>
      </w:sdt>
    </w:p>
    <w:p w14:paraId="0FAEEB0C"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34"/>
          <w:id w:val="960226293"/>
        </w:sdtPr>
        <w:sdtEndPr/>
        <w:sdtContent>
          <w:sdt>
            <w:sdtPr>
              <w:rPr>
                <w:rFonts w:asciiTheme="minorHAnsi" w:hAnsiTheme="minorHAnsi" w:cstheme="minorHAnsi"/>
              </w:rPr>
              <w:tag w:val="goog_rdk_533"/>
              <w:id w:val="2109073705"/>
            </w:sdtPr>
            <w:sdtEndPr/>
            <w:sdtContent/>
          </w:sdt>
        </w:sdtContent>
      </w:sdt>
      <w:sdt>
        <w:sdtPr>
          <w:rPr>
            <w:rFonts w:asciiTheme="minorHAnsi" w:hAnsiTheme="minorHAnsi" w:cstheme="minorHAnsi"/>
          </w:rPr>
          <w:tag w:val="goog_rdk_538"/>
          <w:id w:val="-1430889322"/>
        </w:sdtPr>
        <w:sdtEndPr/>
        <w:sdtContent>
          <w:sdt>
            <w:sdtPr>
              <w:rPr>
                <w:rFonts w:asciiTheme="minorHAnsi" w:hAnsiTheme="minorHAnsi" w:cstheme="minorHAnsi"/>
              </w:rPr>
              <w:tag w:val="goog_rdk_536"/>
              <w:id w:val="-1689286913"/>
            </w:sdtPr>
            <w:sdtEndPr/>
            <w:sdtContent>
              <w:r w:rsidR="00212C79">
                <w:rPr>
                  <w:rFonts w:asciiTheme="minorHAnsi" w:hAnsiTheme="minorHAnsi" w:cstheme="minorHAnsi"/>
                  <w:color w:val="000000"/>
                  <w:sz w:val="22"/>
                  <w:szCs w:val="22"/>
                </w:rPr>
                <w:t>In the next phase, IW:LEARN will put together a comprehensive digital productivity solution (see Figure 4), that will include proven useful GEF IW:LEARN services such as the IW:LEARN website solutions and technical support. A primer will also be developed to help projects set up a professional project website and lay a common ground for project websites, regardless of system specification and hosting arrangements, in fostering dynamic information flow and uncomplicated access.  The project will promote awareness of the new digital solutions package to aid projects in their knowledge management and communication activities, as well as adapting to a post COVID-19 world.</w:t>
              </w:r>
            </w:sdtContent>
          </w:sdt>
          <w:sdt>
            <w:sdtPr>
              <w:rPr>
                <w:rFonts w:asciiTheme="minorHAnsi" w:hAnsiTheme="minorHAnsi" w:cstheme="minorHAnsi"/>
              </w:rPr>
              <w:tag w:val="goog_rdk_537"/>
              <w:id w:val="942651795"/>
            </w:sdtPr>
            <w:sdtEndPr/>
            <w:sdtContent/>
          </w:sdt>
        </w:sdtContent>
      </w:sdt>
    </w:p>
    <w:p w14:paraId="447BF4B7" w14:textId="3A44D59A" w:rsidR="00212C79" w:rsidRDefault="00212C79" w:rsidP="00212C79">
      <w:pPr>
        <w:rPr>
          <w:rFonts w:asciiTheme="minorHAnsi" w:hAnsiTheme="minorHAnsi" w:cstheme="minorHAnsi"/>
          <w:color w:val="000000"/>
          <w:sz w:val="22"/>
          <w:szCs w:val="22"/>
        </w:rPr>
      </w:pPr>
      <w:r>
        <w:rPr>
          <w:noProof/>
        </w:rPr>
        <w:drawing>
          <wp:anchor distT="0" distB="0" distL="114300" distR="114300" simplePos="0" relativeHeight="251658240" behindDoc="0" locked="0" layoutInCell="1" allowOverlap="1" wp14:anchorId="688A3A7E" wp14:editId="030A394C">
            <wp:simplePos x="0" y="0"/>
            <wp:positionH relativeFrom="column">
              <wp:posOffset>0</wp:posOffset>
            </wp:positionH>
            <wp:positionV relativeFrom="paragraph">
              <wp:posOffset>210185</wp:posOffset>
            </wp:positionV>
            <wp:extent cx="5731510" cy="2491105"/>
            <wp:effectExtent l="0" t="0" r="254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9110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hAnsiTheme="minorHAnsi" w:cstheme="minorHAnsi"/>
        </w:rPr>
        <w:tag w:val="goog_rdk_544"/>
        <w:id w:val="495229914"/>
        <w:showingPlcHdr/>
      </w:sdtPr>
      <w:sdtEndPr/>
      <w:sdtContent>
        <w:p w14:paraId="6267E3A6" w14:textId="77777777" w:rsidR="00212C79" w:rsidRDefault="00212C79" w:rsidP="00212C79">
          <w:pPr>
            <w:rPr>
              <w:rFonts w:asciiTheme="minorHAnsi" w:hAnsiTheme="minorHAnsi" w:cstheme="minorHAnsi"/>
            </w:rPr>
          </w:pPr>
          <w:r>
            <w:rPr>
              <w:rFonts w:asciiTheme="minorHAnsi" w:hAnsiTheme="minorHAnsi" w:cstheme="minorHAnsi"/>
            </w:rPr>
            <w:t xml:space="preserve">     </w:t>
          </w:r>
        </w:p>
      </w:sdtContent>
    </w:sdt>
    <w:sdt>
      <w:sdtPr>
        <w:rPr>
          <w:rFonts w:asciiTheme="minorHAnsi" w:hAnsiTheme="minorHAnsi" w:cstheme="minorHAnsi"/>
        </w:rPr>
        <w:tag w:val="goog_rdk_551"/>
        <w:id w:val="697519379"/>
      </w:sdtPr>
      <w:sdtEndPr/>
      <w:sdtContent>
        <w:p w14:paraId="469548F9" w14:textId="77777777" w:rsidR="00212C79" w:rsidRDefault="00F57A55" w:rsidP="00212C79">
          <w:pPr>
            <w:jc w:val="center"/>
            <w:rPr>
              <w:rFonts w:asciiTheme="minorHAnsi" w:hAnsiTheme="minorHAnsi" w:cstheme="minorHAnsi"/>
              <w:color w:val="000000"/>
              <w:sz w:val="22"/>
              <w:szCs w:val="22"/>
            </w:rPr>
          </w:pPr>
          <w:sdt>
            <w:sdtPr>
              <w:rPr>
                <w:rFonts w:asciiTheme="minorHAnsi" w:hAnsiTheme="minorHAnsi" w:cstheme="minorHAnsi"/>
                <w:sz w:val="22"/>
                <w:szCs w:val="22"/>
              </w:rPr>
              <w:tag w:val="goog_rdk_546"/>
              <w:id w:val="1534613275"/>
            </w:sdtPr>
            <w:sdtEndPr/>
            <w:sdtContent>
              <w:r w:rsidR="00212C79">
                <w:rPr>
                  <w:rFonts w:asciiTheme="minorHAnsi" w:hAnsiTheme="minorHAnsi" w:cstheme="minorHAnsi"/>
                  <w:sz w:val="22"/>
                  <w:szCs w:val="22"/>
                </w:rPr>
                <w:t>Figure 4</w:t>
              </w:r>
            </w:sdtContent>
          </w:sdt>
          <w:sdt>
            <w:sdtPr>
              <w:rPr>
                <w:rFonts w:asciiTheme="minorHAnsi" w:hAnsiTheme="minorHAnsi" w:cstheme="minorHAnsi"/>
                <w:sz w:val="22"/>
                <w:szCs w:val="22"/>
              </w:rPr>
              <w:tag w:val="goog_rdk_549"/>
              <w:id w:val="1819529202"/>
            </w:sdtPr>
            <w:sdtEndPr/>
            <w:sdtContent>
              <w:r w:rsidR="00212C79">
                <w:rPr>
                  <w:rFonts w:asciiTheme="minorHAnsi" w:hAnsiTheme="minorHAnsi" w:cstheme="minorHAnsi"/>
                  <w:sz w:val="22"/>
                  <w:szCs w:val="22"/>
                </w:rPr>
                <w:t>:</w:t>
              </w:r>
            </w:sdtContent>
          </w:sdt>
          <w:sdt>
            <w:sdtPr>
              <w:rPr>
                <w:rFonts w:asciiTheme="minorHAnsi" w:hAnsiTheme="minorHAnsi" w:cstheme="minorHAnsi"/>
                <w:sz w:val="22"/>
                <w:szCs w:val="22"/>
              </w:rPr>
              <w:tag w:val="goog_rdk_550"/>
              <w:id w:val="-614681517"/>
            </w:sdtPr>
            <w:sdtEndPr/>
            <w:sdtContent>
              <w:r w:rsidR="00212C79">
                <w:rPr>
                  <w:rFonts w:asciiTheme="minorHAnsi" w:hAnsiTheme="minorHAnsi" w:cstheme="minorHAnsi"/>
                  <w:sz w:val="22"/>
                  <w:szCs w:val="22"/>
                </w:rPr>
                <w:t xml:space="preserve"> Digital outreach products of the next phase of IW:LEARN</w:t>
              </w:r>
            </w:sdtContent>
          </w:sdt>
        </w:p>
      </w:sdtContent>
    </w:sdt>
    <w:p w14:paraId="681D40FC" w14:textId="77777777" w:rsidR="00212C79" w:rsidRDefault="00212C79" w:rsidP="00212C79">
      <w:pPr>
        <w:rPr>
          <w:rFonts w:asciiTheme="minorHAnsi" w:hAnsiTheme="minorHAnsi" w:cstheme="minorHAnsi"/>
          <w:color w:val="000000"/>
          <w:sz w:val="22"/>
          <w:szCs w:val="22"/>
        </w:rPr>
      </w:pPr>
    </w:p>
    <w:sdt>
      <w:sdtPr>
        <w:rPr>
          <w:rFonts w:asciiTheme="minorHAnsi" w:hAnsiTheme="minorHAnsi" w:cstheme="minorHAnsi"/>
        </w:rPr>
        <w:tag w:val="goog_rdk_556"/>
        <w:id w:val="-1684586148"/>
      </w:sdtPr>
      <w:sdtEndPr/>
      <w:sdtContent>
        <w:p w14:paraId="4552FD28"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55"/>
              <w:id w:val="1583954974"/>
            </w:sdtPr>
            <w:sdtEndPr/>
            <w:sdtContent>
              <w:r w:rsidR="00212C79">
                <w:rPr>
                  <w:rFonts w:asciiTheme="minorHAnsi" w:hAnsiTheme="minorHAnsi" w:cstheme="minorHAnsi"/>
                  <w:color w:val="000000"/>
                  <w:sz w:val="22"/>
                  <w:szCs w:val="22"/>
                </w:rPr>
                <w:t>In coordination with partners, and based on capacity needs assessment conducted under Component 1, this sub-component will also organize regional workshops and webinars to transfer capacity in using the digital productivity suite and other emerging web and ICT tools and best practice to help fill some of these needs on-the-ground. Together with the World Bank, GEF IW:LEARN will organize digital learning events targeted at a specific region or one of the IW:LEARN 5 themes to explore the potential to make data live in a shorter amount of time than usual and also to be able to assess the current capacity in the GEF IW portfolio.</w:t>
              </w:r>
            </w:sdtContent>
          </w:sdt>
        </w:p>
      </w:sdtContent>
    </w:sdt>
    <w:sdt>
      <w:sdtPr>
        <w:rPr>
          <w:rFonts w:asciiTheme="minorHAnsi" w:hAnsiTheme="minorHAnsi" w:cstheme="minorHAnsi"/>
        </w:rPr>
        <w:tag w:val="goog_rdk_558"/>
        <w:id w:val="-1338851491"/>
      </w:sdtPr>
      <w:sdtEndPr/>
      <w:sdtContent>
        <w:p w14:paraId="1BC6B9CE"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57"/>
              <w:id w:val="-1094403312"/>
            </w:sdtPr>
            <w:sdtEndPr/>
            <w:sdtContent/>
          </w:sdt>
        </w:p>
      </w:sdtContent>
    </w:sdt>
    <w:sdt>
      <w:sdtPr>
        <w:rPr>
          <w:rFonts w:asciiTheme="minorHAnsi" w:hAnsiTheme="minorHAnsi" w:cstheme="minorHAnsi"/>
        </w:rPr>
        <w:tag w:val="goog_rdk_560"/>
        <w:id w:val="30769072"/>
      </w:sdtPr>
      <w:sdtEndPr/>
      <w:sdtContent>
        <w:p w14:paraId="31D2D83F"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59"/>
              <w:id w:val="-1446759299"/>
            </w:sdtPr>
            <w:sdtEndPr/>
            <w:sdtContent>
              <w:r w:rsidR="00212C79">
                <w:rPr>
                  <w:rFonts w:asciiTheme="minorHAnsi" w:hAnsiTheme="minorHAnsi" w:cstheme="minorHAnsi"/>
                  <w:color w:val="000000"/>
                  <w:sz w:val="22"/>
                  <w:szCs w:val="22"/>
                </w:rPr>
                <w:t>This subcomponent reinforces the overall effort in Component 2 to effectively make project information, knowledge and experience accessible online through the use of current online technology and proven approaches.</w:t>
              </w:r>
            </w:sdtContent>
          </w:sdt>
        </w:p>
      </w:sdtContent>
    </w:sdt>
    <w:sdt>
      <w:sdtPr>
        <w:rPr>
          <w:rFonts w:asciiTheme="minorHAnsi" w:hAnsiTheme="minorHAnsi" w:cstheme="minorHAnsi"/>
        </w:rPr>
        <w:tag w:val="goog_rdk_562"/>
        <w:id w:val="-717735530"/>
      </w:sdtPr>
      <w:sdtEndPr/>
      <w:sdtContent>
        <w:p w14:paraId="00BEBC83"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61"/>
              <w:id w:val="-689527015"/>
            </w:sdtPr>
            <w:sdtEndPr/>
            <w:sdtContent/>
          </w:sdt>
        </w:p>
      </w:sdtContent>
    </w:sdt>
    <w:sdt>
      <w:sdtPr>
        <w:rPr>
          <w:rFonts w:asciiTheme="minorHAnsi" w:hAnsiTheme="minorHAnsi" w:cstheme="minorHAnsi"/>
        </w:rPr>
        <w:tag w:val="goog_rdk_564"/>
        <w:id w:val="556593214"/>
      </w:sdtPr>
      <w:sdtEndPr/>
      <w:sdtContent>
        <w:p w14:paraId="305295FA"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63"/>
              <w:id w:val="2085109490"/>
            </w:sdtPr>
            <w:sdtEndPr/>
            <w:sdtContent>
              <w:r w:rsidR="00212C79">
                <w:rPr>
                  <w:rFonts w:asciiTheme="minorHAnsi" w:hAnsiTheme="minorHAnsi" w:cstheme="minorHAnsi"/>
                  <w:color w:val="000000"/>
                  <w:sz w:val="22"/>
                  <w:szCs w:val="22"/>
                </w:rPr>
                <w:t>The PCU will be at the core of developing and promoting the IW:LEARN digital productivity suite (DPS) hand-in-hand with the GEF and focal points of GEF agencies. The PCU will also lead the updating/upgrading of the IW:LEARN website solutions, organizing workshops with help from consultants and partners, and in preparing and distributing guidelines and updates.</w:t>
              </w:r>
            </w:sdtContent>
          </w:sdt>
        </w:p>
      </w:sdtContent>
    </w:sdt>
    <w:sdt>
      <w:sdtPr>
        <w:rPr>
          <w:rFonts w:asciiTheme="minorHAnsi" w:hAnsiTheme="minorHAnsi" w:cstheme="minorHAnsi"/>
        </w:rPr>
        <w:tag w:val="goog_rdk_566"/>
        <w:id w:val="-1406914238"/>
      </w:sdtPr>
      <w:sdtEndPr/>
      <w:sdtContent>
        <w:p w14:paraId="6B506DFD"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65"/>
              <w:id w:val="-491410560"/>
            </w:sdtPr>
            <w:sdtEndPr/>
            <w:sdtContent/>
          </w:sdt>
        </w:p>
      </w:sdtContent>
    </w:sdt>
    <w:sdt>
      <w:sdtPr>
        <w:rPr>
          <w:rFonts w:asciiTheme="minorHAnsi" w:hAnsiTheme="minorHAnsi" w:cstheme="minorHAnsi"/>
        </w:rPr>
        <w:tag w:val="goog_rdk_568"/>
        <w:id w:val="-1752964853"/>
      </w:sdtPr>
      <w:sdtEndPr/>
      <w:sdtContent>
        <w:p w14:paraId="079863E9"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567"/>
              <w:id w:val="336812781"/>
            </w:sdtPr>
            <w:sdtEndPr/>
            <w:sdtContent>
              <w:r w:rsidR="00212C79">
                <w:rPr>
                  <w:rFonts w:asciiTheme="minorHAnsi" w:hAnsiTheme="minorHAnsi" w:cstheme="minorHAnsi"/>
                  <w:color w:val="000000"/>
                  <w:sz w:val="22"/>
                  <w:szCs w:val="22"/>
                </w:rPr>
                <w:t xml:space="preserve">The sub-component will be supported by the World Bank, bringing in years of experience in managing a wide range of data, data analytics, top-of-the-line ICT tool and digital knowledge products as well as its linkage with experts and other major data providers and publishers in organizing webinars and producing interactive e-publications for the benefit of agency and project </w:t>
              </w:r>
              <w:proofErr w:type="spellStart"/>
              <w:r w:rsidR="00212C79">
                <w:rPr>
                  <w:rFonts w:asciiTheme="minorHAnsi" w:hAnsiTheme="minorHAnsi" w:cstheme="minorHAnsi"/>
                  <w:color w:val="000000"/>
                  <w:sz w:val="22"/>
                  <w:szCs w:val="22"/>
                </w:rPr>
                <w:t>coordnators</w:t>
              </w:r>
              <w:proofErr w:type="spellEnd"/>
              <w:r w:rsidR="00212C79">
                <w:rPr>
                  <w:rFonts w:asciiTheme="minorHAnsi" w:hAnsiTheme="minorHAnsi" w:cstheme="minorHAnsi"/>
                  <w:color w:val="000000"/>
                  <w:sz w:val="22"/>
                  <w:szCs w:val="22"/>
                </w:rPr>
                <w:t xml:space="preserve"> as well as support staff and key end-users.  Support will also be provided by the ICPDR and its extensive historical work in setting up, maintaining, and updating a Commission-wide website and recent experience in drafting a comprehensive multi-stakeholder, Commission-wide social media guidelines. Updating the Website Guidelines in partnership with the ICPDR will look into practical applications of these guidelines in a cross-sectoral and intergovernmental setting of GEF IW projects.  </w:t>
              </w:r>
            </w:sdtContent>
          </w:sdt>
        </w:p>
      </w:sdtContent>
    </w:sdt>
    <w:p w14:paraId="7C3D872E" w14:textId="77777777" w:rsidR="00212C79" w:rsidRDefault="00F57A55" w:rsidP="00212C79">
      <w:pPr>
        <w:rPr>
          <w:rFonts w:asciiTheme="minorHAnsi" w:hAnsiTheme="minorHAnsi" w:cstheme="minorHAnsi"/>
          <w:color w:val="000000"/>
          <w:sz w:val="22"/>
          <w:szCs w:val="22"/>
        </w:rPr>
      </w:pPr>
      <w:sdt>
        <w:sdtPr>
          <w:rPr>
            <w:rFonts w:asciiTheme="minorHAnsi" w:hAnsiTheme="minorHAnsi" w:cstheme="minorHAnsi"/>
          </w:rPr>
          <w:tag w:val="goog_rdk_572"/>
          <w:id w:val="-2049822021"/>
        </w:sdtPr>
        <w:sdtEndPr/>
        <w:sdtContent>
          <w:sdt>
            <w:sdtPr>
              <w:rPr>
                <w:rFonts w:asciiTheme="minorHAnsi" w:hAnsiTheme="minorHAnsi" w:cstheme="minorHAnsi"/>
              </w:rPr>
              <w:tag w:val="goog_rdk_570"/>
              <w:id w:val="-1574196914"/>
            </w:sdtPr>
            <w:sdtEndPr/>
            <w:sdtContent>
              <w:sdt>
                <w:sdtPr>
                  <w:rPr>
                    <w:rFonts w:asciiTheme="minorHAnsi" w:hAnsiTheme="minorHAnsi" w:cstheme="minorHAnsi"/>
                  </w:rPr>
                  <w:tag w:val="goog_rdk_571"/>
                  <w:id w:val="-565341141"/>
                </w:sdtPr>
                <w:sdtEndPr/>
                <w:sdtContent/>
              </w:sdt>
            </w:sdtContent>
          </w:sdt>
        </w:sdtContent>
      </w:sdt>
      <w:sdt>
        <w:sdtPr>
          <w:rPr>
            <w:rFonts w:asciiTheme="minorHAnsi" w:hAnsiTheme="minorHAnsi" w:cstheme="minorHAnsi"/>
          </w:rPr>
          <w:tag w:val="goog_rdk_574"/>
          <w:id w:val="1334412378"/>
        </w:sdtPr>
        <w:sdtEndPr/>
        <w:sdtContent>
          <w:sdt>
            <w:sdtPr>
              <w:rPr>
                <w:rFonts w:asciiTheme="minorHAnsi" w:hAnsiTheme="minorHAnsi" w:cstheme="minorHAnsi"/>
              </w:rPr>
              <w:tag w:val="goog_rdk_573"/>
              <w:id w:val="-2139101774"/>
            </w:sdtPr>
            <w:sdtEndPr/>
            <w:sdtContent/>
          </w:sdt>
        </w:sdtContent>
      </w:sdt>
      <w:sdt>
        <w:sdtPr>
          <w:rPr>
            <w:rFonts w:asciiTheme="minorHAnsi" w:hAnsiTheme="minorHAnsi" w:cstheme="minorHAnsi"/>
          </w:rPr>
          <w:tag w:val="goog_rdk_576"/>
          <w:id w:val="608706162"/>
        </w:sdtPr>
        <w:sdtEndPr/>
        <w:sdtContent>
          <w:sdt>
            <w:sdtPr>
              <w:rPr>
                <w:rFonts w:asciiTheme="minorHAnsi" w:hAnsiTheme="minorHAnsi" w:cstheme="minorHAnsi"/>
              </w:rPr>
              <w:tag w:val="goog_rdk_575"/>
              <w:id w:val="-598560736"/>
              <w:showingPlcHdr/>
            </w:sdtPr>
            <w:sdtEndPr/>
            <w:sdtContent>
              <w:r w:rsidR="00212C79">
                <w:rPr>
                  <w:rFonts w:asciiTheme="minorHAnsi" w:hAnsiTheme="minorHAnsi" w:cstheme="minorHAnsi"/>
                </w:rPr>
                <w:t xml:space="preserve">     </w:t>
              </w:r>
            </w:sdtContent>
          </w:sdt>
        </w:sdtContent>
      </w:sdt>
      <w:sdt>
        <w:sdtPr>
          <w:rPr>
            <w:rFonts w:asciiTheme="minorHAnsi" w:hAnsiTheme="minorHAnsi" w:cstheme="minorHAnsi"/>
          </w:rPr>
          <w:tag w:val="goog_rdk_578"/>
          <w:id w:val="-1598015428"/>
        </w:sdtPr>
        <w:sdtEndPr/>
        <w:sdtContent>
          <w:sdt>
            <w:sdtPr>
              <w:rPr>
                <w:rFonts w:asciiTheme="minorHAnsi" w:hAnsiTheme="minorHAnsi" w:cstheme="minorHAnsi"/>
              </w:rPr>
              <w:tag w:val="goog_rdk_577"/>
              <w:id w:val="1433088460"/>
            </w:sdtPr>
            <w:sdtEndPr/>
            <w:sdtContent/>
          </w:sdt>
        </w:sdtContent>
      </w:sdt>
      <w:sdt>
        <w:sdtPr>
          <w:rPr>
            <w:rFonts w:asciiTheme="minorHAnsi" w:hAnsiTheme="minorHAnsi" w:cstheme="minorHAnsi"/>
          </w:rPr>
          <w:tag w:val="goog_rdk_581"/>
          <w:id w:val="391399749"/>
        </w:sdtPr>
        <w:sdtEndPr/>
        <w:sdtContent>
          <w:sdt>
            <w:sdtPr>
              <w:rPr>
                <w:rFonts w:asciiTheme="minorHAnsi" w:hAnsiTheme="minorHAnsi" w:cstheme="minorHAnsi"/>
              </w:rPr>
              <w:tag w:val="goog_rdk_580"/>
              <w:id w:val="-1717047426"/>
              <w:showingPlcHdr/>
            </w:sdtPr>
            <w:sdtEndPr/>
            <w:sdtContent>
              <w:r w:rsidR="00212C79">
                <w:rPr>
                  <w:rFonts w:asciiTheme="minorHAnsi" w:hAnsiTheme="minorHAnsi" w:cstheme="minorHAnsi"/>
                </w:rPr>
                <w:t xml:space="preserve">     </w:t>
              </w:r>
            </w:sdtContent>
          </w:sdt>
        </w:sdtContent>
      </w:sdt>
    </w:p>
    <w:p w14:paraId="5F77EFFD" w14:textId="77777777" w:rsidR="00212C79" w:rsidRDefault="00F57A55" w:rsidP="00212C79">
      <w:pPr>
        <w:ind w:left="-284" w:firstLine="284"/>
        <w:rPr>
          <w:rFonts w:asciiTheme="minorHAnsi" w:hAnsiTheme="minorHAnsi" w:cstheme="minorHAnsi"/>
          <w:sz w:val="22"/>
          <w:szCs w:val="22"/>
        </w:rPr>
      </w:pPr>
      <w:sdt>
        <w:sdtPr>
          <w:rPr>
            <w:rFonts w:asciiTheme="minorHAnsi" w:hAnsiTheme="minorHAnsi" w:cstheme="minorHAnsi"/>
          </w:rPr>
          <w:tag w:val="goog_rdk_586"/>
          <w:id w:val="210156392"/>
        </w:sdtPr>
        <w:sdtEndPr/>
        <w:sdtContent>
          <w:sdt>
            <w:sdtPr>
              <w:rPr>
                <w:rFonts w:asciiTheme="minorHAnsi" w:hAnsiTheme="minorHAnsi" w:cstheme="minorHAnsi"/>
              </w:rPr>
              <w:tag w:val="goog_rdk_585"/>
              <w:id w:val="1963148095"/>
            </w:sdtPr>
            <w:sdtEndPr/>
            <w:sdtContent/>
          </w:sdt>
        </w:sdtContent>
      </w:sdt>
      <w:sdt>
        <w:sdtPr>
          <w:rPr>
            <w:rFonts w:asciiTheme="minorHAnsi" w:hAnsiTheme="minorHAnsi" w:cstheme="minorHAnsi"/>
          </w:rPr>
          <w:tag w:val="goog_rdk_590"/>
          <w:id w:val="-534115046"/>
        </w:sdtPr>
        <w:sdtEndPr/>
        <w:sdtContent>
          <w:sdt>
            <w:sdtPr>
              <w:rPr>
                <w:rFonts w:asciiTheme="minorHAnsi" w:hAnsiTheme="minorHAnsi" w:cstheme="minorHAnsi"/>
              </w:rPr>
              <w:tag w:val="goog_rdk_589"/>
              <w:id w:val="-1229060412"/>
            </w:sdtPr>
            <w:sdtEndPr/>
            <w:sdtContent/>
          </w:sdt>
        </w:sdtContent>
      </w:sdt>
      <w:sdt>
        <w:sdtPr>
          <w:rPr>
            <w:rFonts w:asciiTheme="minorHAnsi" w:hAnsiTheme="minorHAnsi" w:cstheme="minorHAnsi"/>
          </w:rPr>
          <w:tag w:val="goog_rdk_592"/>
          <w:id w:val="52053070"/>
        </w:sdtPr>
        <w:sdtEndPr/>
        <w:sdtContent>
          <w:sdt>
            <w:sdtPr>
              <w:rPr>
                <w:rFonts w:asciiTheme="minorHAnsi" w:hAnsiTheme="minorHAnsi" w:cstheme="minorHAnsi"/>
              </w:rPr>
              <w:tag w:val="goog_rdk_591"/>
              <w:id w:val="-179277858"/>
              <w:showingPlcHdr/>
            </w:sdtPr>
            <w:sdtEndPr/>
            <w:sdtContent>
              <w:r w:rsidR="00212C79">
                <w:rPr>
                  <w:rFonts w:asciiTheme="minorHAnsi" w:hAnsiTheme="minorHAnsi" w:cstheme="minorHAnsi"/>
                </w:rPr>
                <w:t xml:space="preserve">     </w:t>
              </w:r>
            </w:sdtContent>
          </w:sdt>
        </w:sdtContent>
      </w:sdt>
      <w:sdt>
        <w:sdtPr>
          <w:rPr>
            <w:rFonts w:asciiTheme="minorHAnsi" w:hAnsiTheme="minorHAnsi" w:cstheme="minorHAnsi"/>
          </w:rPr>
          <w:tag w:val="goog_rdk_594"/>
          <w:id w:val="-1099480327"/>
        </w:sdtPr>
        <w:sdtEndPr/>
        <w:sdtContent>
          <w:sdt>
            <w:sdtPr>
              <w:rPr>
                <w:rFonts w:asciiTheme="minorHAnsi" w:hAnsiTheme="minorHAnsi" w:cstheme="minorHAnsi"/>
              </w:rPr>
              <w:tag w:val="goog_rdk_593"/>
              <w:id w:val="-1200170562"/>
              <w:showingPlcHdr/>
            </w:sdtPr>
            <w:sdtEndPr/>
            <w:sdtContent>
              <w:r w:rsidR="00212C79">
                <w:rPr>
                  <w:rFonts w:asciiTheme="minorHAnsi" w:hAnsiTheme="minorHAnsi" w:cstheme="minorHAnsi"/>
                </w:rPr>
                <w:t xml:space="preserve">     </w:t>
              </w:r>
            </w:sdtContent>
          </w:sdt>
        </w:sdtContent>
      </w:sdt>
      <w:r w:rsidR="00212C79">
        <w:rPr>
          <w:rFonts w:asciiTheme="minorHAnsi" w:hAnsiTheme="minorHAnsi" w:cstheme="minorHAnsi"/>
          <w:sz w:val="22"/>
          <w:szCs w:val="22"/>
        </w:rPr>
        <w:t>Sub-component 2.2. is comprised of three activities:</w:t>
      </w:r>
    </w:p>
    <w:p w14:paraId="173E958E" w14:textId="77777777" w:rsidR="00212C79" w:rsidRDefault="00212C79" w:rsidP="00212C79">
      <w:pPr>
        <w:rPr>
          <w:rFonts w:asciiTheme="minorHAnsi" w:hAnsiTheme="minorHAnsi" w:cstheme="minorHAnsi"/>
          <w:sz w:val="22"/>
          <w:szCs w:val="22"/>
        </w:rPr>
      </w:pPr>
    </w:p>
    <w:p w14:paraId="56FC177D" w14:textId="77777777" w:rsidR="00212C79" w:rsidRDefault="00212C79" w:rsidP="00212C79">
      <w:pPr>
        <w:numPr>
          <w:ilvl w:val="0"/>
          <w:numId w:val="37"/>
        </w:numPr>
        <w:rPr>
          <w:rFonts w:asciiTheme="minorHAnsi" w:hAnsiTheme="minorHAnsi" w:cstheme="minorHAnsi"/>
          <w:color w:val="000000"/>
          <w:sz w:val="22"/>
          <w:szCs w:val="22"/>
        </w:rPr>
      </w:pPr>
      <w:r>
        <w:rPr>
          <w:rFonts w:asciiTheme="minorHAnsi" w:hAnsiTheme="minorHAnsi" w:cstheme="minorHAnsi"/>
          <w:color w:val="000000"/>
          <w:sz w:val="22"/>
          <w:szCs w:val="22"/>
        </w:rPr>
        <w:t>Activity 2.2.1: Provide a comprehensive digital productivity suite to projects</w:t>
      </w:r>
      <w:sdt>
        <w:sdtPr>
          <w:rPr>
            <w:rFonts w:asciiTheme="minorHAnsi" w:hAnsiTheme="minorHAnsi" w:cstheme="minorHAnsi"/>
          </w:rPr>
          <w:tag w:val="goog_rdk_599"/>
          <w:id w:val="-1390421875"/>
        </w:sdtPr>
        <w:sdtEndPr/>
        <w:sdtContent>
          <w:r>
            <w:rPr>
              <w:rFonts w:asciiTheme="minorHAnsi" w:hAnsiTheme="minorHAnsi" w:cstheme="minorHAnsi"/>
              <w:color w:val="000000"/>
              <w:sz w:val="22"/>
              <w:szCs w:val="22"/>
            </w:rPr>
            <w:t>;</w:t>
          </w:r>
        </w:sdtContent>
      </w:sdt>
    </w:p>
    <w:p w14:paraId="0C1CE005" w14:textId="77777777" w:rsidR="003709AF" w:rsidRDefault="00212C79" w:rsidP="003709AF">
      <w:pPr>
        <w:numPr>
          <w:ilvl w:val="0"/>
          <w:numId w:val="37"/>
        </w:numPr>
        <w:rPr>
          <w:rFonts w:asciiTheme="minorHAnsi" w:hAnsiTheme="minorHAnsi" w:cstheme="minorHAnsi"/>
          <w:color w:val="000000"/>
          <w:sz w:val="22"/>
          <w:szCs w:val="22"/>
        </w:rPr>
      </w:pPr>
      <w:r>
        <w:rPr>
          <w:rFonts w:asciiTheme="minorHAnsi" w:hAnsiTheme="minorHAnsi" w:cstheme="minorHAnsi"/>
          <w:color w:val="000000"/>
          <w:sz w:val="22"/>
          <w:szCs w:val="22"/>
        </w:rPr>
        <w:t>Activity 2.2.2: Organize regional workshops and Webinars on the use of the digital productivity suite and best practices</w:t>
      </w:r>
      <w:sdt>
        <w:sdtPr>
          <w:rPr>
            <w:rFonts w:asciiTheme="minorHAnsi" w:hAnsiTheme="minorHAnsi" w:cstheme="minorHAnsi"/>
          </w:rPr>
          <w:tag w:val="goog_rdk_600"/>
          <w:id w:val="-156689737"/>
        </w:sdtPr>
        <w:sdtEndPr/>
        <w:sdtContent>
          <w:r>
            <w:rPr>
              <w:rFonts w:asciiTheme="minorHAnsi" w:hAnsiTheme="minorHAnsi" w:cstheme="minorHAnsi"/>
              <w:color w:val="000000"/>
              <w:sz w:val="22"/>
              <w:szCs w:val="22"/>
            </w:rPr>
            <w:t>; and</w:t>
          </w:r>
        </w:sdtContent>
      </w:sdt>
    </w:p>
    <w:p w14:paraId="5AD1D31B" w14:textId="248B392B" w:rsidR="00212C79" w:rsidRPr="003709AF" w:rsidRDefault="00212C79" w:rsidP="003709AF">
      <w:pPr>
        <w:numPr>
          <w:ilvl w:val="0"/>
          <w:numId w:val="37"/>
        </w:numPr>
        <w:rPr>
          <w:rFonts w:asciiTheme="minorHAnsi" w:hAnsiTheme="minorHAnsi" w:cstheme="minorHAnsi"/>
          <w:color w:val="000000"/>
          <w:sz w:val="22"/>
          <w:szCs w:val="22"/>
        </w:rPr>
      </w:pPr>
      <w:r w:rsidRPr="003709AF">
        <w:rPr>
          <w:rFonts w:asciiTheme="minorHAnsi" w:hAnsiTheme="minorHAnsi" w:cstheme="minorHAnsi"/>
          <w:color w:val="000000"/>
          <w:sz w:val="22"/>
          <w:szCs w:val="22"/>
        </w:rPr>
        <w:t>Activity 2.2.3: Produce a practical handbook to guide projects on managing a GEF IW website for improved data and information</w:t>
      </w:r>
      <w:sdt>
        <w:sdtPr>
          <w:rPr>
            <w:rFonts w:asciiTheme="minorHAnsi" w:hAnsiTheme="minorHAnsi" w:cstheme="minorHAnsi"/>
          </w:rPr>
          <w:tag w:val="goog_rdk_601"/>
          <w:id w:val="923536836"/>
        </w:sdtPr>
        <w:sdtEndPr/>
        <w:sdtContent>
          <w:r w:rsidRPr="003709AF">
            <w:rPr>
              <w:rFonts w:asciiTheme="minorHAnsi" w:hAnsiTheme="minorHAnsi" w:cstheme="minorHAnsi"/>
              <w:color w:val="000000"/>
              <w:sz w:val="22"/>
              <w:szCs w:val="22"/>
            </w:rPr>
            <w:t>.</w:t>
          </w:r>
        </w:sdtContent>
      </w:sdt>
      <w:r w:rsidRPr="003709AF">
        <w:rPr>
          <w:rFonts w:eastAsia="SimSun"/>
          <w:lang w:eastAsia="zh-CN"/>
        </w:rPr>
        <w:t xml:space="preserve"> </w:t>
      </w:r>
    </w:p>
    <w:p w14:paraId="4E31EC94" w14:textId="77777777" w:rsidR="005C6E82" w:rsidRPr="005C6E82" w:rsidRDefault="005C6E82" w:rsidP="005C6E82"/>
    <w:p w14:paraId="18285E55" w14:textId="07543B74" w:rsidR="00212C79" w:rsidRDefault="00212C79" w:rsidP="00212C79">
      <w:pPr>
        <w:pStyle w:val="Heading5"/>
        <w:rPr>
          <w:rFonts w:asciiTheme="minorHAnsi" w:hAnsiTheme="minorHAnsi" w:cstheme="minorHAnsi"/>
          <w:b/>
          <w:bCs/>
          <w:color w:val="000000" w:themeColor="text1"/>
          <w:sz w:val="22"/>
          <w:szCs w:val="22"/>
        </w:rPr>
      </w:pPr>
      <w:bookmarkStart w:id="16" w:name="_Hlk115084623"/>
      <w:r w:rsidRPr="00212C79">
        <w:rPr>
          <w:rFonts w:asciiTheme="minorHAnsi" w:hAnsiTheme="minorHAnsi" w:cstheme="minorHAnsi"/>
          <w:b/>
          <w:bCs/>
          <w:color w:val="000000" w:themeColor="text1"/>
          <w:sz w:val="22"/>
          <w:szCs w:val="22"/>
        </w:rPr>
        <w:t>Activity 2.2.1</w:t>
      </w:r>
      <w:r>
        <w:rPr>
          <w:rFonts w:asciiTheme="minorHAnsi" w:hAnsiTheme="minorHAnsi" w:cstheme="minorHAnsi"/>
          <w:b/>
          <w:bCs/>
          <w:color w:val="000000" w:themeColor="text1"/>
          <w:sz w:val="22"/>
          <w:szCs w:val="22"/>
        </w:rPr>
        <w:t xml:space="preserve">: </w:t>
      </w:r>
      <w:r w:rsidRPr="00212C79">
        <w:rPr>
          <w:rFonts w:asciiTheme="minorHAnsi" w:hAnsiTheme="minorHAnsi" w:cstheme="minorHAnsi"/>
          <w:b/>
          <w:bCs/>
          <w:color w:val="000000" w:themeColor="text1"/>
          <w:sz w:val="22"/>
          <w:szCs w:val="22"/>
        </w:rPr>
        <w:t>Provide a comprehensive digital productivity suite to projects</w:t>
      </w:r>
    </w:p>
    <w:bookmarkEnd w:id="16"/>
    <w:p w14:paraId="01187CAC" w14:textId="77777777" w:rsidR="00212C79" w:rsidRDefault="00212C79" w:rsidP="00212C79">
      <w:pPr>
        <w:jc w:val="both"/>
        <w:rPr>
          <w:rFonts w:asciiTheme="minorHAnsi" w:hAnsiTheme="minorHAnsi" w:cstheme="minorHAnsi"/>
          <w:color w:val="0000FF"/>
          <w:sz w:val="22"/>
          <w:szCs w:val="22"/>
        </w:rPr>
      </w:pPr>
      <w:r>
        <w:rPr>
          <w:rFonts w:asciiTheme="minorHAnsi" w:hAnsiTheme="minorHAnsi" w:cstheme="minorHAnsi"/>
          <w:color w:val="000000"/>
          <w:sz w:val="22"/>
          <w:szCs w:val="22"/>
        </w:rPr>
        <w:t>The project will search the digital market for the most appropriate tools for online and remote collaboration, learning and events organizing, remote on-site project reporting and monitoring among others, and offer the solutions to GEF IW projects (</w:t>
      </w:r>
      <w:sdt>
        <w:sdtPr>
          <w:rPr>
            <w:rFonts w:asciiTheme="minorHAnsi" w:hAnsiTheme="minorHAnsi" w:cstheme="minorHAnsi"/>
          </w:rPr>
          <w:tag w:val="goog_rdk_602"/>
          <w:id w:val="1980041478"/>
        </w:sdtPr>
        <w:sdtEndPr/>
        <w:sdtContent>
          <w:r>
            <w:rPr>
              <w:rFonts w:asciiTheme="minorHAnsi" w:hAnsiTheme="minorHAnsi" w:cstheme="minorHAnsi"/>
              <w:color w:val="000000"/>
              <w:sz w:val="22"/>
              <w:szCs w:val="22"/>
            </w:rPr>
            <w:t xml:space="preserve">see </w:t>
          </w:r>
        </w:sdtContent>
      </w:sdt>
      <w:r>
        <w:rPr>
          <w:rFonts w:asciiTheme="minorHAnsi" w:hAnsiTheme="minorHAnsi" w:cstheme="minorHAnsi"/>
          <w:color w:val="000000"/>
          <w:sz w:val="22"/>
          <w:szCs w:val="22"/>
        </w:rPr>
        <w:t xml:space="preserve">Figure </w:t>
      </w:r>
      <w:sdt>
        <w:sdtPr>
          <w:rPr>
            <w:rFonts w:asciiTheme="minorHAnsi" w:hAnsiTheme="minorHAnsi" w:cstheme="minorHAnsi"/>
          </w:rPr>
          <w:tag w:val="goog_rdk_603"/>
          <w:id w:val="1723558310"/>
        </w:sdtPr>
        <w:sdtEndPr/>
        <w:sdtContent>
          <w:r>
            <w:rPr>
              <w:rFonts w:asciiTheme="minorHAnsi" w:hAnsiTheme="minorHAnsi" w:cstheme="minorHAnsi"/>
              <w:color w:val="000000"/>
              <w:sz w:val="22"/>
              <w:szCs w:val="22"/>
            </w:rPr>
            <w:t>2</w:t>
          </w:r>
        </w:sdtContent>
      </w:sdt>
      <w:sdt>
        <w:sdtPr>
          <w:rPr>
            <w:rFonts w:asciiTheme="minorHAnsi" w:hAnsiTheme="minorHAnsi" w:cstheme="minorHAnsi"/>
          </w:rPr>
          <w:tag w:val="goog_rdk_605"/>
          <w:id w:val="-1967651394"/>
        </w:sdtPr>
        <w:sdtEndPr/>
        <w:sdtContent>
          <w:r>
            <w:rPr>
              <w:rFonts w:asciiTheme="minorHAnsi" w:hAnsiTheme="minorHAnsi" w:cstheme="minorHAnsi"/>
              <w:color w:val="000000"/>
              <w:sz w:val="22"/>
              <w:szCs w:val="22"/>
            </w:rPr>
            <w:t xml:space="preserve"> above</w:t>
          </w:r>
        </w:sdtContent>
      </w:sdt>
      <w:r>
        <w:rPr>
          <w:rFonts w:asciiTheme="minorHAnsi" w:hAnsiTheme="minorHAnsi" w:cstheme="minorHAnsi"/>
          <w:color w:val="000000"/>
          <w:sz w:val="22"/>
          <w:szCs w:val="22"/>
        </w:rPr>
        <w:t>). Where applicable, IW:LEARN will provide user access to these tools to help projects set up a competent and cost-effective digital workspace, particularly in a COVID19 pandemic</w:t>
      </w:r>
      <w:r>
        <w:rPr>
          <w:rFonts w:asciiTheme="minorHAnsi" w:hAnsiTheme="minorHAnsi" w:cstheme="minorHAnsi"/>
          <w:color w:val="0000FF"/>
          <w:sz w:val="22"/>
          <w:szCs w:val="22"/>
        </w:rPr>
        <w:t xml:space="preserve">. </w:t>
      </w:r>
    </w:p>
    <w:p w14:paraId="237370C2" w14:textId="77777777" w:rsidR="00212C79" w:rsidRDefault="00212C79" w:rsidP="00212C79">
      <w:pPr>
        <w:jc w:val="both"/>
        <w:rPr>
          <w:rFonts w:asciiTheme="minorHAnsi" w:hAnsiTheme="minorHAnsi" w:cstheme="minorHAnsi"/>
          <w:sz w:val="22"/>
          <w:szCs w:val="22"/>
        </w:rPr>
      </w:pPr>
    </w:p>
    <w:p w14:paraId="1EB984A4" w14:textId="77777777" w:rsidR="00212C79" w:rsidRDefault="00212C79" w:rsidP="00212C79">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sdt>
        <w:sdtPr>
          <w:rPr>
            <w:rFonts w:asciiTheme="minorHAnsi" w:hAnsiTheme="minorHAnsi" w:cstheme="minorHAnsi"/>
          </w:rPr>
          <w:tag w:val="goog_rdk_606"/>
          <w:id w:val="-2072180221"/>
        </w:sdtPr>
        <w:sdtEndPr/>
        <w:sdtContent>
          <w:r>
            <w:rPr>
              <w:rFonts w:asciiTheme="minorHAnsi" w:hAnsiTheme="minorHAnsi" w:cstheme="minorHAnsi"/>
              <w:color w:val="000000"/>
              <w:sz w:val="22"/>
              <w:szCs w:val="22"/>
            </w:rPr>
            <w:t xml:space="preserve">IW:LEARN </w:t>
          </w:r>
        </w:sdtContent>
      </w:sdt>
      <w:sdt>
        <w:sdtPr>
          <w:rPr>
            <w:rFonts w:asciiTheme="minorHAnsi" w:hAnsiTheme="minorHAnsi" w:cstheme="minorHAnsi"/>
          </w:rPr>
          <w:tag w:val="goog_rdk_608"/>
          <w:id w:val="59217642"/>
        </w:sdtPr>
        <w:sdtEndPr/>
        <w:sdtContent>
          <w:r>
            <w:rPr>
              <w:rFonts w:asciiTheme="minorHAnsi" w:hAnsiTheme="minorHAnsi" w:cstheme="minorHAnsi"/>
              <w:color w:val="000000"/>
              <w:sz w:val="22"/>
              <w:szCs w:val="22"/>
            </w:rPr>
            <w:t>w</w:t>
          </w:r>
        </w:sdtContent>
      </w:sdt>
      <w:r>
        <w:rPr>
          <w:rFonts w:asciiTheme="minorHAnsi" w:hAnsiTheme="minorHAnsi" w:cstheme="minorHAnsi"/>
          <w:color w:val="000000"/>
          <w:sz w:val="22"/>
          <w:szCs w:val="22"/>
        </w:rPr>
        <w:t xml:space="preserve">ebsite </w:t>
      </w:r>
      <w:sdt>
        <w:sdtPr>
          <w:rPr>
            <w:rFonts w:asciiTheme="minorHAnsi" w:hAnsiTheme="minorHAnsi" w:cstheme="minorHAnsi"/>
          </w:rPr>
          <w:tag w:val="goog_rdk_610"/>
          <w:id w:val="284399236"/>
        </w:sdtPr>
        <w:sdtEndPr/>
        <w:sdtContent>
          <w:r>
            <w:rPr>
              <w:rFonts w:asciiTheme="minorHAnsi" w:hAnsiTheme="minorHAnsi" w:cstheme="minorHAnsi"/>
              <w:color w:val="000000"/>
              <w:sz w:val="22"/>
              <w:szCs w:val="22"/>
            </w:rPr>
            <w:t>solutions</w:t>
          </w:r>
        </w:sdtContent>
      </w:sdt>
      <w:r>
        <w:rPr>
          <w:rFonts w:asciiTheme="minorHAnsi" w:hAnsiTheme="minorHAnsi" w:cstheme="minorHAnsi"/>
          <w:color w:val="000000"/>
          <w:sz w:val="22"/>
          <w:szCs w:val="22"/>
        </w:rPr>
        <w:t xml:space="preserve">, which </w:t>
      </w:r>
      <w:sdt>
        <w:sdtPr>
          <w:rPr>
            <w:rFonts w:asciiTheme="minorHAnsi" w:hAnsiTheme="minorHAnsi" w:cstheme="minorHAnsi"/>
          </w:rPr>
          <w:tag w:val="goog_rdk_612"/>
          <w:id w:val="-407926517"/>
        </w:sdtPr>
        <w:sdtEndPr/>
        <w:sdtContent>
          <w:r>
            <w:rPr>
              <w:rFonts w:asciiTheme="minorHAnsi" w:hAnsiTheme="minorHAnsi" w:cstheme="minorHAnsi"/>
              <w:color w:val="000000"/>
              <w:sz w:val="22"/>
              <w:szCs w:val="22"/>
            </w:rPr>
            <w:t xml:space="preserve">have been </w:t>
          </w:r>
        </w:sdtContent>
      </w:sdt>
      <w:r>
        <w:rPr>
          <w:rFonts w:asciiTheme="minorHAnsi" w:hAnsiTheme="minorHAnsi" w:cstheme="minorHAnsi"/>
          <w:color w:val="000000"/>
          <w:sz w:val="22"/>
          <w:szCs w:val="22"/>
        </w:rPr>
        <w:t xml:space="preserve">a signature service of IW:LEARN since </w:t>
      </w:r>
      <w:sdt>
        <w:sdtPr>
          <w:rPr>
            <w:rFonts w:asciiTheme="minorHAnsi" w:hAnsiTheme="minorHAnsi" w:cstheme="minorHAnsi"/>
          </w:rPr>
          <w:tag w:val="goog_rdk_613"/>
          <w:id w:val="-873921132"/>
        </w:sdtPr>
        <w:sdtEndPr/>
        <w:sdtContent>
          <w:r>
            <w:rPr>
              <w:rFonts w:asciiTheme="minorHAnsi" w:hAnsiTheme="minorHAnsi" w:cstheme="minorHAnsi"/>
              <w:color w:val="000000"/>
              <w:sz w:val="22"/>
              <w:szCs w:val="22"/>
            </w:rPr>
            <w:t xml:space="preserve">its </w:t>
          </w:r>
        </w:sdtContent>
      </w:sdt>
      <w:r>
        <w:rPr>
          <w:rFonts w:asciiTheme="minorHAnsi" w:hAnsiTheme="minorHAnsi" w:cstheme="minorHAnsi"/>
          <w:color w:val="000000"/>
          <w:sz w:val="22"/>
          <w:szCs w:val="22"/>
        </w:rPr>
        <w:t>Phase 2, will undergo system updating and upgrading and user interface enhancement alongside IWLEARN.NET (Activity 2.1.1), applying the same new set of features for IWLEARN.NET. Efforts to promote it to new projects will be revived to ensure access to project information and as a tool for web publishing in little time and investment (Figure 5).</w:t>
      </w:r>
      <w:sdt>
        <w:sdtPr>
          <w:rPr>
            <w:rFonts w:asciiTheme="minorHAnsi" w:hAnsiTheme="minorHAnsi" w:cstheme="minorHAnsi"/>
          </w:rPr>
          <w:tag w:val="goog_rdk_614"/>
          <w:id w:val="-1715339207"/>
        </w:sdtPr>
        <w:sdtEndPr/>
        <w:sdtContent>
          <w:r>
            <w:rPr>
              <w:rFonts w:asciiTheme="minorHAnsi" w:hAnsiTheme="minorHAnsi" w:cstheme="minorHAnsi"/>
              <w:color w:val="000000"/>
            </w:rPr>
            <w:t xml:space="preserve"> </w:t>
          </w:r>
          <w:sdt>
            <w:sdtPr>
              <w:rPr>
                <w:rFonts w:asciiTheme="minorHAnsi" w:hAnsiTheme="minorHAnsi" w:cstheme="minorHAnsi"/>
              </w:rPr>
              <w:tag w:val="goog_rdk_615"/>
              <w:id w:val="1282695257"/>
            </w:sdtPr>
            <w:sdtEndPr/>
            <w:sdtContent>
              <w:r>
                <w:rPr>
                  <w:rFonts w:asciiTheme="minorHAnsi" w:hAnsiTheme="minorHAnsi" w:cstheme="minorHAnsi"/>
                  <w:color w:val="000000"/>
                  <w:sz w:val="22"/>
                  <w:szCs w:val="22"/>
                </w:rPr>
                <w:t xml:space="preserve">Whereas the IW:LEARN- and GEF agency-hosted websites provide almost the same benefits, the IW:LEARN </w:t>
              </w:r>
            </w:sdtContent>
          </w:sdt>
          <w:r>
            <w:rPr>
              <w:rFonts w:asciiTheme="minorHAnsi" w:hAnsiTheme="minorHAnsi" w:cstheme="minorHAnsi"/>
              <w:color w:val="000000"/>
              <w:sz w:val="22"/>
              <w:szCs w:val="22"/>
            </w:rPr>
            <w:t>w</w:t>
          </w:r>
        </w:sdtContent>
      </w:sdt>
      <w:sdt>
        <w:sdtPr>
          <w:rPr>
            <w:rFonts w:asciiTheme="minorHAnsi" w:hAnsiTheme="minorHAnsi" w:cstheme="minorHAnsi"/>
          </w:rPr>
          <w:tag w:val="goog_rdk_616"/>
          <w:id w:val="-1068574053"/>
        </w:sdtPr>
        <w:sdtEndPr/>
        <w:sdtContent>
          <w:sdt>
            <w:sdtPr>
              <w:rPr>
                <w:rFonts w:asciiTheme="minorHAnsi" w:hAnsiTheme="minorHAnsi" w:cstheme="minorHAnsi"/>
              </w:rPr>
              <w:tag w:val="goog_rdk_617"/>
              <w:id w:val="-935746595"/>
            </w:sdtPr>
            <w:sdtEndPr/>
            <w:sdtContent>
              <w:r>
                <w:rPr>
                  <w:rFonts w:asciiTheme="minorHAnsi" w:hAnsiTheme="minorHAnsi" w:cstheme="minorHAnsi"/>
                  <w:color w:val="000000"/>
                  <w:sz w:val="22"/>
                  <w:szCs w:val="22"/>
                </w:rPr>
                <w:t xml:space="preserve">ebsite </w:t>
              </w:r>
            </w:sdtContent>
          </w:sdt>
        </w:sdtContent>
      </w:sdt>
      <w:sdt>
        <w:sdtPr>
          <w:rPr>
            <w:rFonts w:asciiTheme="minorHAnsi" w:hAnsiTheme="minorHAnsi" w:cstheme="minorHAnsi"/>
          </w:rPr>
          <w:tag w:val="goog_rdk_618"/>
          <w:id w:val="-881556040"/>
        </w:sdtPr>
        <w:sdtEndPr/>
        <w:sdtContent>
          <w:r>
            <w:rPr>
              <w:rFonts w:asciiTheme="minorHAnsi" w:hAnsiTheme="minorHAnsi" w:cstheme="minorHAnsi"/>
              <w:color w:val="000000"/>
              <w:sz w:val="22"/>
              <w:szCs w:val="22"/>
            </w:rPr>
            <w:t>solutions</w:t>
          </w:r>
        </w:sdtContent>
      </w:sdt>
      <w:sdt>
        <w:sdtPr>
          <w:rPr>
            <w:rFonts w:asciiTheme="minorHAnsi" w:hAnsiTheme="minorHAnsi" w:cstheme="minorHAnsi"/>
          </w:rPr>
          <w:tag w:val="goog_rdk_619"/>
          <w:id w:val="-1600099789"/>
        </w:sdtPr>
        <w:sdtEndPr/>
        <w:sdtContent>
          <w:sdt>
            <w:sdtPr>
              <w:rPr>
                <w:rFonts w:asciiTheme="minorHAnsi" w:hAnsiTheme="minorHAnsi" w:cstheme="minorHAnsi"/>
              </w:rPr>
              <w:tag w:val="goog_rdk_620"/>
              <w:id w:val="983514362"/>
            </w:sdtPr>
            <w:sdtEndPr/>
            <w:sdtContent>
              <w:r>
                <w:rPr>
                  <w:rFonts w:asciiTheme="minorHAnsi" w:hAnsiTheme="minorHAnsi" w:cstheme="minorHAnsi"/>
                  <w:color w:val="000000"/>
                  <w:sz w:val="22"/>
                  <w:szCs w:val="22"/>
                </w:rPr>
                <w:t xml:space="preserve"> leave for more flexibility in design and access and include data integration features out-of-the-box.</w:t>
              </w:r>
            </w:sdtContent>
          </w:sdt>
        </w:sdtContent>
      </w:sdt>
    </w:p>
    <w:p w14:paraId="4E225577" w14:textId="77777777" w:rsidR="00212C79" w:rsidRDefault="00212C79" w:rsidP="00212C79">
      <w:pPr>
        <w:jc w:val="both"/>
        <w:rPr>
          <w:rFonts w:asciiTheme="minorHAnsi" w:hAnsiTheme="minorHAnsi" w:cstheme="minorHAnsi"/>
          <w:color w:val="0000FF"/>
          <w:sz w:val="22"/>
          <w:szCs w:val="22"/>
        </w:rPr>
      </w:pPr>
    </w:p>
    <w:sdt>
      <w:sdtPr>
        <w:rPr>
          <w:rFonts w:asciiTheme="minorHAnsi" w:hAnsiTheme="minorHAnsi" w:cstheme="minorHAnsi"/>
        </w:rPr>
        <w:tag w:val="goog_rdk_625"/>
        <w:id w:val="1033536437"/>
      </w:sdtPr>
      <w:sdtEndPr/>
      <w:sdtContent>
        <w:p w14:paraId="16359C2C" w14:textId="5672C3B4" w:rsidR="00212C79" w:rsidRDefault="00F57A55" w:rsidP="00212C79">
          <w:pPr>
            <w:jc w:val="center"/>
            <w:rPr>
              <w:rFonts w:asciiTheme="minorHAnsi" w:hAnsiTheme="minorHAnsi" w:cstheme="minorHAnsi"/>
            </w:rPr>
          </w:pPr>
          <w:sdt>
            <w:sdtPr>
              <w:rPr>
                <w:rFonts w:asciiTheme="minorHAnsi" w:hAnsiTheme="minorHAnsi" w:cstheme="minorHAnsi"/>
              </w:rPr>
              <w:tag w:val="goog_rdk_622"/>
              <w:id w:val="2062975236"/>
            </w:sdtPr>
            <w:sdtEndPr/>
            <w:sdtContent>
              <w:r w:rsidR="00212C79">
                <w:rPr>
                  <w:rFonts w:asciiTheme="minorHAnsi" w:hAnsiTheme="minorHAnsi" w:cstheme="minorHAnsi"/>
                  <w:noProof/>
                  <w:color w:val="0000FF"/>
                  <w:sz w:val="22"/>
                  <w:szCs w:val="22"/>
                  <w:lang w:eastAsia="en-US"/>
                </w:rPr>
                <w:drawing>
                  <wp:inline distT="0" distB="0" distL="0" distR="0" wp14:anchorId="26861676" wp14:editId="744D5996">
                    <wp:extent cx="5248275" cy="3552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3552825"/>
                            </a:xfrm>
                            <a:prstGeom prst="rect">
                              <a:avLst/>
                            </a:prstGeom>
                            <a:noFill/>
                            <a:ln>
                              <a:noFill/>
                            </a:ln>
                          </pic:spPr>
                        </pic:pic>
                      </a:graphicData>
                    </a:graphic>
                  </wp:inline>
                </w:drawing>
              </w:r>
            </w:sdtContent>
          </w:sdt>
          <w:sdt>
            <w:sdtPr>
              <w:rPr>
                <w:rFonts w:asciiTheme="minorHAnsi" w:hAnsiTheme="minorHAnsi" w:cstheme="minorHAnsi"/>
              </w:rPr>
              <w:tag w:val="goog_rdk_623"/>
              <w:id w:val="-831979225"/>
              <w:showingPlcHdr/>
            </w:sdtPr>
            <w:sdtEndPr/>
            <w:sdtContent>
              <w:r w:rsidR="00212C79">
                <w:rPr>
                  <w:rFonts w:asciiTheme="minorHAnsi" w:hAnsiTheme="minorHAnsi" w:cstheme="minorHAnsi"/>
                </w:rPr>
                <w:t xml:space="preserve">     </w:t>
              </w:r>
            </w:sdtContent>
          </w:sdt>
          <w:sdt>
            <w:sdtPr>
              <w:rPr>
                <w:rFonts w:asciiTheme="minorHAnsi" w:hAnsiTheme="minorHAnsi" w:cstheme="minorHAnsi"/>
              </w:rPr>
              <w:tag w:val="goog_rdk_624"/>
              <w:id w:val="1937473825"/>
              <w:showingPlcHdr/>
            </w:sdtPr>
            <w:sdtEndPr/>
            <w:sdtContent>
              <w:r w:rsidR="00212C79">
                <w:rPr>
                  <w:rFonts w:asciiTheme="minorHAnsi" w:hAnsiTheme="minorHAnsi" w:cstheme="minorHAnsi"/>
                </w:rPr>
                <w:t xml:space="preserve">     </w:t>
              </w:r>
            </w:sdtContent>
          </w:sdt>
        </w:p>
      </w:sdtContent>
    </w:sdt>
    <w:sdt>
      <w:sdtPr>
        <w:rPr>
          <w:rFonts w:asciiTheme="minorHAnsi" w:hAnsiTheme="minorHAnsi" w:cstheme="minorHAnsi"/>
        </w:rPr>
        <w:tag w:val="goog_rdk_629"/>
        <w:id w:val="-2141103777"/>
      </w:sdtPr>
      <w:sdtEndPr/>
      <w:sdtContent>
        <w:p w14:paraId="21B50F5D" w14:textId="77777777" w:rsidR="00212C79" w:rsidRDefault="00212C79" w:rsidP="00212C79">
          <w:pPr>
            <w:ind w:left="720"/>
            <w:jc w:val="center"/>
            <w:rPr>
              <w:rFonts w:asciiTheme="minorHAnsi" w:hAnsiTheme="minorHAnsi" w:cstheme="minorHAnsi"/>
            </w:rPr>
          </w:pPr>
          <w:r>
            <w:rPr>
              <w:rFonts w:asciiTheme="minorHAnsi" w:hAnsiTheme="minorHAnsi" w:cstheme="minorHAnsi"/>
              <w:sz w:val="22"/>
              <w:szCs w:val="22"/>
            </w:rPr>
            <w:t xml:space="preserve">Figure 5. </w:t>
          </w:r>
          <w:sdt>
            <w:sdtPr>
              <w:rPr>
                <w:rFonts w:asciiTheme="minorHAnsi" w:hAnsiTheme="minorHAnsi" w:cstheme="minorHAnsi"/>
                <w:sz w:val="22"/>
                <w:szCs w:val="22"/>
              </w:rPr>
              <w:tag w:val="goog_rdk_626"/>
              <w:id w:val="323563328"/>
            </w:sdtPr>
            <w:sdtEndPr/>
            <w:sdtContent>
              <w:r>
                <w:rPr>
                  <w:rFonts w:asciiTheme="minorHAnsi" w:hAnsiTheme="minorHAnsi" w:cstheme="minorHAnsi"/>
                  <w:color w:val="000000"/>
                  <w:sz w:val="22"/>
                  <w:szCs w:val="22"/>
                </w:rPr>
                <w:t xml:space="preserve">A comparison of current available options for publishing a project website </w:t>
              </w:r>
            </w:sdtContent>
          </w:sdt>
          <w:sdt>
            <w:sdtPr>
              <w:rPr>
                <w:rFonts w:asciiTheme="minorHAnsi" w:hAnsiTheme="minorHAnsi" w:cstheme="minorHAnsi"/>
              </w:rPr>
              <w:tag w:val="goog_rdk_627"/>
              <w:id w:val="-292368392"/>
              <w:showingPlcHdr/>
            </w:sdtPr>
            <w:sdtEndPr/>
            <w:sdtContent>
              <w:r>
                <w:rPr>
                  <w:rFonts w:asciiTheme="minorHAnsi" w:hAnsiTheme="minorHAnsi" w:cstheme="minorHAnsi"/>
                </w:rPr>
                <w:t xml:space="preserve">     </w:t>
              </w:r>
            </w:sdtContent>
          </w:sdt>
          <w:sdt>
            <w:sdtPr>
              <w:rPr>
                <w:rFonts w:asciiTheme="minorHAnsi" w:hAnsiTheme="minorHAnsi" w:cstheme="minorHAnsi"/>
              </w:rPr>
              <w:tag w:val="goog_rdk_628"/>
              <w:id w:val="-795687316"/>
            </w:sdtPr>
            <w:sdtEndPr/>
            <w:sdtContent/>
          </w:sdt>
        </w:p>
      </w:sdtContent>
    </w:sdt>
    <w:p w14:paraId="3A1B3249" w14:textId="77777777" w:rsidR="00212C79" w:rsidRDefault="00212C79" w:rsidP="00212C79">
      <w:pPr>
        <w:ind w:left="720"/>
        <w:rPr>
          <w:rFonts w:asciiTheme="minorHAnsi" w:hAnsiTheme="minorHAnsi" w:cstheme="minorHAnsi"/>
          <w:color w:val="0000FF"/>
          <w:sz w:val="22"/>
          <w:szCs w:val="22"/>
        </w:rPr>
      </w:pPr>
    </w:p>
    <w:p w14:paraId="45797721" w14:textId="59E2DB00" w:rsidR="00212C79" w:rsidRDefault="00212C79" w:rsidP="009209C0">
      <w:pPr>
        <w:jc w:val="both"/>
        <w:rPr>
          <w:rFonts w:asciiTheme="minorHAnsi" w:hAnsiTheme="minorHAnsi" w:cstheme="minorHAnsi"/>
          <w:sz w:val="22"/>
          <w:szCs w:val="22"/>
        </w:rPr>
      </w:pPr>
      <w:r>
        <w:rPr>
          <w:rFonts w:asciiTheme="minorHAnsi" w:hAnsiTheme="minorHAnsi" w:cstheme="minorHAnsi"/>
          <w:sz w:val="22"/>
          <w:szCs w:val="22"/>
        </w:rPr>
        <w:t>The role of the PCU will be to give full direction to this activity as well as to manage external experts who will carry out the technical implementation.  The PCU will also work closely with the GEF and Agencies in ensuring that every project has online presence, that it meets minimum recommended standards in the GEF IW website guidelines, and that IW:LEARN is informed reasonably ahead of project closure for proper archiving of project websites.</w:t>
      </w:r>
    </w:p>
    <w:p w14:paraId="6EF884B6" w14:textId="77777777" w:rsidR="00212C79" w:rsidRPr="00212C79" w:rsidRDefault="00212C79" w:rsidP="00212C79"/>
    <w:p w14:paraId="4F0821AB" w14:textId="7FAAA952" w:rsidR="00212C79" w:rsidRDefault="00212C79" w:rsidP="00212C79">
      <w:pPr>
        <w:pStyle w:val="Heading5"/>
        <w:rPr>
          <w:rFonts w:asciiTheme="minorHAnsi" w:hAnsiTheme="minorHAnsi" w:cstheme="minorHAnsi"/>
          <w:b/>
          <w:bCs/>
          <w:color w:val="000000" w:themeColor="text1"/>
          <w:sz w:val="22"/>
          <w:szCs w:val="22"/>
        </w:rPr>
      </w:pPr>
      <w:r w:rsidRPr="00212C79">
        <w:rPr>
          <w:rFonts w:asciiTheme="minorHAnsi" w:hAnsiTheme="minorHAnsi" w:cstheme="minorHAnsi"/>
          <w:b/>
          <w:bCs/>
          <w:color w:val="000000" w:themeColor="text1"/>
          <w:sz w:val="22"/>
          <w:szCs w:val="22"/>
        </w:rPr>
        <w:t>Activity 2.2.2</w:t>
      </w:r>
      <w:r>
        <w:rPr>
          <w:rFonts w:asciiTheme="minorHAnsi" w:hAnsiTheme="minorHAnsi" w:cstheme="minorHAnsi"/>
          <w:b/>
          <w:bCs/>
          <w:color w:val="000000" w:themeColor="text1"/>
          <w:sz w:val="22"/>
          <w:szCs w:val="22"/>
        </w:rPr>
        <w:t xml:space="preserve">: </w:t>
      </w:r>
      <w:r w:rsidRPr="00212C79">
        <w:rPr>
          <w:rFonts w:asciiTheme="minorHAnsi" w:hAnsiTheme="minorHAnsi" w:cstheme="minorHAnsi"/>
          <w:b/>
          <w:bCs/>
          <w:color w:val="000000" w:themeColor="text1"/>
          <w:sz w:val="22"/>
          <w:szCs w:val="22"/>
        </w:rPr>
        <w:t>Organize regional workshops and Webinars on the use of the digital productivity suite and best practices</w:t>
      </w:r>
    </w:p>
    <w:sdt>
      <w:sdtPr>
        <w:rPr>
          <w:rFonts w:asciiTheme="minorHAnsi" w:hAnsiTheme="minorHAnsi" w:cstheme="minorHAnsi"/>
        </w:rPr>
        <w:tag w:val="goog_rdk_633"/>
        <w:id w:val="-944683373"/>
      </w:sdtPr>
      <w:sdtEndPr/>
      <w:sdtContent>
        <w:p w14:paraId="067AC560"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31"/>
              <w:id w:val="448291594"/>
            </w:sdtPr>
            <w:sdtEndPr/>
            <w:sdtContent>
              <w:r w:rsidR="00212C79">
                <w:rPr>
                  <w:rFonts w:asciiTheme="minorHAnsi" w:hAnsiTheme="minorHAnsi" w:cstheme="minorHAnsi"/>
                  <w:color w:val="000000"/>
                  <w:sz w:val="22"/>
                  <w:szCs w:val="22"/>
                </w:rPr>
                <w:t xml:space="preserve">The PCU will organize two regional ICT workshops parallel to other regional workshops to be conducted under other components and a minimum of six webinars to enable managers and project staff to update their knowledge and skills on emerging virtual productivity and management tools, and to provide a venue for web and data/information managers to discuss the latest trends and digital tools, and provide participants hands-on experience on how to utilize them (see </w:t>
              </w:r>
              <w:sdt>
                <w:sdtPr>
                  <w:rPr>
                    <w:rFonts w:asciiTheme="minorHAnsi" w:hAnsiTheme="minorHAnsi" w:cstheme="minorHAnsi"/>
                  </w:rPr>
                  <w:tag w:val="goog_rdk_632"/>
                  <w:id w:val="-236484372"/>
                </w:sdtPr>
                <w:sdtEndPr/>
                <w:sdtContent>
                  <w:r w:rsidR="00212C79">
                    <w:rPr>
                      <w:rFonts w:asciiTheme="minorHAnsi" w:hAnsiTheme="minorHAnsi" w:cstheme="minorHAnsi"/>
                      <w:color w:val="000000"/>
                      <w:sz w:val="22"/>
                      <w:szCs w:val="22"/>
                    </w:rPr>
                    <w:t>Figure 4</w:t>
                  </w:r>
                </w:sdtContent>
              </w:sdt>
              <w:r w:rsidR="00212C79">
                <w:rPr>
                  <w:rFonts w:asciiTheme="minorHAnsi" w:hAnsiTheme="minorHAnsi" w:cstheme="minorHAnsi"/>
                  <w:color w:val="000000"/>
                  <w:sz w:val="22"/>
                  <w:szCs w:val="22"/>
                </w:rPr>
                <w:t>, DPS Support Center). Some of the topics and online sessions will be organized in connection with related ongoing initiatives of GEF Agencies, such as the World Bank’s Spatial Agent and Open Learning Campus. World Bank will jointly with IW:LEARN organize lightning Webinars for focal points in the GEF agencies (IW portfolio) to keep them abreast of the latest digital project management tools and concepts and stimulate a more dynamic community.</w:t>
              </w:r>
            </w:sdtContent>
          </w:sdt>
        </w:p>
      </w:sdtContent>
    </w:sdt>
    <w:sdt>
      <w:sdtPr>
        <w:rPr>
          <w:rFonts w:asciiTheme="minorHAnsi" w:hAnsiTheme="minorHAnsi" w:cstheme="minorHAnsi"/>
        </w:rPr>
        <w:tag w:val="goog_rdk_635"/>
        <w:id w:val="-355354842"/>
      </w:sdtPr>
      <w:sdtEndPr/>
      <w:sdtContent>
        <w:p w14:paraId="2EF2B969"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34"/>
              <w:id w:val="-909307165"/>
            </w:sdtPr>
            <w:sdtEndPr/>
            <w:sdtContent/>
          </w:sdt>
        </w:p>
      </w:sdtContent>
    </w:sdt>
    <w:sdt>
      <w:sdtPr>
        <w:rPr>
          <w:rFonts w:asciiTheme="minorHAnsi" w:hAnsiTheme="minorHAnsi" w:cstheme="minorHAnsi"/>
        </w:rPr>
        <w:tag w:val="goog_rdk_638"/>
        <w:id w:val="1901172297"/>
      </w:sdtPr>
      <w:sdtEndPr/>
      <w:sdtContent>
        <w:p w14:paraId="30BFBA33"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36"/>
              <w:id w:val="1446344787"/>
            </w:sdtPr>
            <w:sdtEndPr/>
            <w:sdtContent>
              <w:r w:rsidR="00212C79">
                <w:rPr>
                  <w:rFonts w:asciiTheme="minorHAnsi" w:hAnsiTheme="minorHAnsi" w:cstheme="minorHAnsi"/>
                  <w:color w:val="000000"/>
                  <w:sz w:val="22"/>
                  <w:szCs w:val="22"/>
                </w:rPr>
                <w:t xml:space="preserve">The webinars will also tackle IW:LEARN digital products such as the IW:LEARN website solutions for projects still looking for options or are considering or already using the Toolkit for their website. Another key topic would be the use of the DPS Primer (see </w:t>
              </w:r>
              <w:sdt>
                <w:sdtPr>
                  <w:rPr>
                    <w:rFonts w:asciiTheme="minorHAnsi" w:hAnsiTheme="minorHAnsi" w:cstheme="minorHAnsi"/>
                  </w:rPr>
                  <w:tag w:val="goog_rdk_637"/>
                  <w:id w:val="2141757793"/>
                </w:sdtPr>
                <w:sdtEndPr/>
                <w:sdtContent>
                  <w:r w:rsidR="00212C79">
                    <w:rPr>
                      <w:rFonts w:asciiTheme="minorHAnsi" w:hAnsiTheme="minorHAnsi" w:cstheme="minorHAnsi"/>
                      <w:color w:val="000000"/>
                      <w:sz w:val="22"/>
                      <w:szCs w:val="22"/>
                    </w:rPr>
                    <w:t>Figure 4</w:t>
                  </w:r>
                </w:sdtContent>
              </w:sdt>
              <w:r w:rsidR="00212C79">
                <w:rPr>
                  <w:rFonts w:asciiTheme="minorHAnsi" w:hAnsiTheme="minorHAnsi" w:cstheme="minorHAnsi"/>
                  <w:color w:val="000000"/>
                  <w:sz w:val="22"/>
                  <w:szCs w:val="22"/>
                </w:rPr>
                <w:t>, DPS Primer) as a guide for data integration and interoperability of projects websites (hosted by IW:LEARN and otherwise) and compliance with the GEF and agencies guidelines on branding, communication, information sharing and Open standards.</w:t>
              </w:r>
            </w:sdtContent>
          </w:sdt>
        </w:p>
      </w:sdtContent>
    </w:sdt>
    <w:sdt>
      <w:sdtPr>
        <w:rPr>
          <w:rFonts w:asciiTheme="minorHAnsi" w:hAnsiTheme="minorHAnsi" w:cstheme="minorHAnsi"/>
        </w:rPr>
        <w:tag w:val="goog_rdk_640"/>
        <w:id w:val="345439347"/>
      </w:sdtPr>
      <w:sdtEndPr/>
      <w:sdtContent>
        <w:p w14:paraId="46571430"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39"/>
              <w:id w:val="-975605546"/>
              <w:showingPlcHdr/>
            </w:sdtPr>
            <w:sdtEndPr/>
            <w:sdtContent>
              <w:r w:rsidR="00212C79">
                <w:rPr>
                  <w:rFonts w:asciiTheme="minorHAnsi" w:hAnsiTheme="minorHAnsi" w:cstheme="minorHAnsi"/>
                </w:rPr>
                <w:t xml:space="preserve">     </w:t>
              </w:r>
            </w:sdtContent>
          </w:sdt>
        </w:p>
      </w:sdtContent>
    </w:sdt>
    <w:p w14:paraId="15AE513A" w14:textId="77777777" w:rsidR="00212C79" w:rsidRDefault="00F57A55" w:rsidP="00212C79">
      <w:pPr>
        <w:jc w:val="both"/>
        <w:rPr>
          <w:rFonts w:asciiTheme="minorHAnsi" w:hAnsiTheme="minorHAnsi" w:cstheme="minorHAnsi"/>
          <w:b/>
          <w:sz w:val="22"/>
          <w:szCs w:val="22"/>
        </w:rPr>
      </w:pPr>
      <w:sdt>
        <w:sdtPr>
          <w:rPr>
            <w:rFonts w:asciiTheme="minorHAnsi" w:hAnsiTheme="minorHAnsi" w:cstheme="minorHAnsi"/>
          </w:rPr>
          <w:tag w:val="goog_rdk_643"/>
          <w:id w:val="-771167833"/>
        </w:sdtPr>
        <w:sdtEndPr/>
        <w:sdtContent>
          <w:sdt>
            <w:sdtPr>
              <w:rPr>
                <w:rFonts w:asciiTheme="minorHAnsi" w:hAnsiTheme="minorHAnsi" w:cstheme="minorHAnsi"/>
              </w:rPr>
              <w:tag w:val="goog_rdk_641"/>
              <w:id w:val="607164745"/>
            </w:sdtPr>
            <w:sdtEndPr/>
            <w:sdtContent>
              <w:r w:rsidR="00212C79">
                <w:rPr>
                  <w:rFonts w:asciiTheme="minorHAnsi" w:hAnsiTheme="minorHAnsi" w:cstheme="minorHAnsi"/>
                  <w:color w:val="000000"/>
                  <w:sz w:val="22"/>
                  <w:szCs w:val="22"/>
                </w:rPr>
                <w:t>The PCU will organize the workshops and webinars involving consultants and partners who will carry out the technical implementation and serve as resource persons for workshops and online events</w:t>
              </w:r>
            </w:sdtContent>
          </w:sdt>
          <w:sdt>
            <w:sdtPr>
              <w:rPr>
                <w:rFonts w:asciiTheme="minorHAnsi" w:hAnsiTheme="minorHAnsi" w:cstheme="minorHAnsi"/>
              </w:rPr>
              <w:tag w:val="goog_rdk_642"/>
              <w:id w:val="-148522584"/>
              <w:showingPlcHdr/>
            </w:sdtPr>
            <w:sdtEndPr/>
            <w:sdtContent>
              <w:r w:rsidR="00212C79">
                <w:rPr>
                  <w:rFonts w:asciiTheme="minorHAnsi" w:hAnsiTheme="minorHAnsi" w:cstheme="minorHAnsi"/>
                </w:rPr>
                <w:t xml:space="preserve">     </w:t>
              </w:r>
            </w:sdtContent>
          </w:sdt>
        </w:sdtContent>
      </w:sdt>
      <w:sdt>
        <w:sdtPr>
          <w:rPr>
            <w:rFonts w:asciiTheme="minorHAnsi" w:hAnsiTheme="minorHAnsi" w:cstheme="minorHAnsi"/>
          </w:rPr>
          <w:tag w:val="goog_rdk_645"/>
          <w:id w:val="-384410270"/>
        </w:sdtPr>
        <w:sdtEndPr/>
        <w:sdtContent>
          <w:sdt>
            <w:sdtPr>
              <w:rPr>
                <w:rFonts w:asciiTheme="minorHAnsi" w:hAnsiTheme="minorHAnsi" w:cstheme="minorHAnsi"/>
              </w:rPr>
              <w:tag w:val="goog_rdk_644"/>
              <w:id w:val="177941728"/>
            </w:sdtPr>
            <w:sdtEndPr/>
            <w:sdtContent/>
          </w:sdt>
        </w:sdtContent>
      </w:sdt>
      <w:sdt>
        <w:sdtPr>
          <w:rPr>
            <w:rFonts w:asciiTheme="minorHAnsi" w:hAnsiTheme="minorHAnsi" w:cstheme="minorHAnsi"/>
          </w:rPr>
          <w:tag w:val="goog_rdk_647"/>
          <w:id w:val="2013953344"/>
        </w:sdtPr>
        <w:sdtEndPr/>
        <w:sdtContent>
          <w:sdt>
            <w:sdtPr>
              <w:rPr>
                <w:rFonts w:asciiTheme="minorHAnsi" w:hAnsiTheme="minorHAnsi" w:cstheme="minorHAnsi"/>
              </w:rPr>
              <w:tag w:val="goog_rdk_646"/>
              <w:id w:val="-945460765"/>
              <w:showingPlcHdr/>
            </w:sdtPr>
            <w:sdtEndPr/>
            <w:sdtContent>
              <w:r w:rsidR="00212C79">
                <w:rPr>
                  <w:rFonts w:asciiTheme="minorHAnsi" w:hAnsiTheme="minorHAnsi" w:cstheme="minorHAnsi"/>
                </w:rPr>
                <w:t xml:space="preserve">     </w:t>
              </w:r>
            </w:sdtContent>
          </w:sdt>
        </w:sdtContent>
      </w:sdt>
    </w:p>
    <w:sdt>
      <w:sdtPr>
        <w:rPr>
          <w:rFonts w:asciiTheme="minorHAnsi" w:hAnsiTheme="minorHAnsi" w:cstheme="minorHAnsi"/>
        </w:rPr>
        <w:tag w:val="goog_rdk_650"/>
        <w:id w:val="-634101979"/>
      </w:sdtPr>
      <w:sdtEndPr/>
      <w:sdtContent>
        <w:p w14:paraId="512EB3C9" w14:textId="5C4E0F0F" w:rsidR="00212C79" w:rsidRPr="00212C79" w:rsidRDefault="00F57A55" w:rsidP="00212C79">
          <w:pPr>
            <w:jc w:val="both"/>
            <w:rPr>
              <w:rFonts w:asciiTheme="minorHAnsi" w:hAnsiTheme="minorHAnsi" w:cstheme="minorHAnsi"/>
              <w:b/>
              <w:sz w:val="22"/>
              <w:szCs w:val="22"/>
            </w:rPr>
          </w:pPr>
          <w:sdt>
            <w:sdtPr>
              <w:rPr>
                <w:rFonts w:asciiTheme="minorHAnsi" w:hAnsiTheme="minorHAnsi" w:cstheme="minorHAnsi"/>
              </w:rPr>
              <w:tag w:val="goog_rdk_649"/>
              <w:id w:val="1701666133"/>
              <w:showingPlcHdr/>
            </w:sdtPr>
            <w:sdtEndPr/>
            <w:sdtContent>
              <w:r w:rsidR="00212C79">
                <w:rPr>
                  <w:rFonts w:asciiTheme="minorHAnsi" w:hAnsiTheme="minorHAnsi" w:cstheme="minorHAnsi"/>
                </w:rPr>
                <w:t xml:space="preserve">     </w:t>
              </w:r>
            </w:sdtContent>
          </w:sdt>
        </w:p>
      </w:sdtContent>
    </w:sdt>
    <w:p w14:paraId="563E7841" w14:textId="481E9EC5" w:rsidR="00212C79" w:rsidRDefault="00212C79" w:rsidP="00212C79">
      <w:pPr>
        <w:pStyle w:val="Heading5"/>
        <w:rPr>
          <w:rFonts w:asciiTheme="minorHAnsi" w:hAnsiTheme="minorHAnsi" w:cstheme="minorHAnsi"/>
          <w:b/>
          <w:bCs/>
          <w:color w:val="000000" w:themeColor="text1"/>
          <w:sz w:val="22"/>
          <w:szCs w:val="22"/>
        </w:rPr>
      </w:pPr>
      <w:r w:rsidRPr="00212C79">
        <w:rPr>
          <w:rFonts w:asciiTheme="minorHAnsi" w:hAnsiTheme="minorHAnsi" w:cstheme="minorHAnsi"/>
          <w:b/>
          <w:bCs/>
          <w:color w:val="000000" w:themeColor="text1"/>
          <w:sz w:val="22"/>
          <w:szCs w:val="22"/>
        </w:rPr>
        <w:t>Activity 2.2.3 Produce a practical handbook to guide projects on managing a GEF IW website for improved data and information</w:t>
      </w:r>
    </w:p>
    <w:sdt>
      <w:sdtPr>
        <w:rPr>
          <w:rFonts w:asciiTheme="minorHAnsi" w:hAnsiTheme="minorHAnsi" w:cstheme="minorHAnsi"/>
        </w:rPr>
        <w:tag w:val="goog_rdk_654"/>
        <w:id w:val="1827865453"/>
      </w:sdtPr>
      <w:sdtEndPr/>
      <w:sdtContent>
        <w:p w14:paraId="12041A80"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52"/>
              <w:id w:val="-567338992"/>
            </w:sdtPr>
            <w:sdtEndPr/>
            <w:sdtContent>
              <w:r w:rsidR="00212C79">
                <w:rPr>
                  <w:rFonts w:asciiTheme="minorHAnsi" w:hAnsiTheme="minorHAnsi" w:cstheme="minorHAnsi"/>
                  <w:color w:val="000000"/>
                  <w:sz w:val="22"/>
                  <w:szCs w:val="22"/>
                </w:rPr>
                <w:t xml:space="preserve">A primer will be developed by IW:LEARN to especially guide projects and their website managers in setting up a website that enables easy access to key project information and outputs.  The handbook (see </w:t>
              </w:r>
              <w:sdt>
                <w:sdtPr>
                  <w:rPr>
                    <w:rFonts w:asciiTheme="minorHAnsi" w:hAnsiTheme="minorHAnsi" w:cstheme="minorHAnsi"/>
                  </w:rPr>
                  <w:tag w:val="goog_rdk_653"/>
                  <w:id w:val="1609155372"/>
                </w:sdtPr>
                <w:sdtEndPr/>
                <w:sdtContent>
                  <w:r w:rsidR="00212C79">
                    <w:rPr>
                      <w:rFonts w:asciiTheme="minorHAnsi" w:hAnsiTheme="minorHAnsi" w:cstheme="minorHAnsi"/>
                      <w:color w:val="000000"/>
                      <w:sz w:val="22"/>
                      <w:szCs w:val="22"/>
                    </w:rPr>
                    <w:t>Figure 4</w:t>
                  </w:r>
                </w:sdtContent>
              </w:sdt>
              <w:r w:rsidR="00212C79">
                <w:rPr>
                  <w:rFonts w:asciiTheme="minorHAnsi" w:hAnsiTheme="minorHAnsi" w:cstheme="minorHAnsi"/>
                  <w:color w:val="000000"/>
                  <w:sz w:val="22"/>
                  <w:szCs w:val="22"/>
                </w:rPr>
                <w:t xml:space="preserve">, DPS Primer) will include a checklist for project websites mainly outlining: (1) key project information and documents that should be published online; (2) standard metadata and keywords to be used for improved discovery; and (3) minimal APIs and data integration protocol or tools to be setup to enable seamless access and automated data exchange. The primer will also include links to industry-standard best practice (such as Open Data/Source/Standards) and use cases/case studies on the various aspects of website management and DIM, and a compilation of available branding, communications, website and social media guidelines of GEF Agencies. The primer will also consolidate practical recommendations from the GEF LME:LEARN DIM Report for a more coordinated and sustainable management of project data and information. </w:t>
              </w:r>
            </w:sdtContent>
          </w:sdt>
        </w:p>
      </w:sdtContent>
    </w:sdt>
    <w:sdt>
      <w:sdtPr>
        <w:rPr>
          <w:rFonts w:asciiTheme="minorHAnsi" w:hAnsiTheme="minorHAnsi" w:cstheme="minorHAnsi"/>
        </w:rPr>
        <w:tag w:val="goog_rdk_657"/>
        <w:id w:val="447978697"/>
      </w:sdtPr>
      <w:sdtEndPr/>
      <w:sdtContent>
        <w:p w14:paraId="4279624A"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56"/>
              <w:id w:val="-1201775634"/>
              <w:showingPlcHdr/>
            </w:sdtPr>
            <w:sdtEndPr/>
            <w:sdtContent>
              <w:r w:rsidR="00212C79">
                <w:rPr>
                  <w:rFonts w:asciiTheme="minorHAnsi" w:hAnsiTheme="minorHAnsi" w:cstheme="minorHAnsi"/>
                </w:rPr>
                <w:t xml:space="preserve">     </w:t>
              </w:r>
            </w:sdtContent>
          </w:sdt>
        </w:p>
      </w:sdtContent>
    </w:sdt>
    <w:p w14:paraId="45BC76CA" w14:textId="73745C29" w:rsidR="00212C79" w:rsidRDefault="00212C79" w:rsidP="00212C79">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role of the PCU </w:t>
      </w:r>
      <w:sdt>
        <w:sdtPr>
          <w:rPr>
            <w:rFonts w:asciiTheme="minorHAnsi" w:hAnsiTheme="minorHAnsi" w:cstheme="minorHAnsi"/>
          </w:rPr>
          <w:tag w:val="goog_rdk_659"/>
          <w:id w:val="1012570755"/>
        </w:sdtPr>
        <w:sdtEndPr/>
        <w:sdtContent>
          <w:r>
            <w:rPr>
              <w:rFonts w:asciiTheme="minorHAnsi" w:hAnsiTheme="minorHAnsi" w:cstheme="minorHAnsi"/>
              <w:color w:val="000000"/>
              <w:sz w:val="22"/>
              <w:szCs w:val="22"/>
            </w:rPr>
            <w:t xml:space="preserve">will be </w:t>
          </w:r>
        </w:sdtContent>
      </w:sdt>
      <w:r>
        <w:rPr>
          <w:rFonts w:asciiTheme="minorHAnsi" w:hAnsiTheme="minorHAnsi" w:cstheme="minorHAnsi"/>
          <w:color w:val="000000"/>
          <w:sz w:val="22"/>
          <w:szCs w:val="22"/>
        </w:rPr>
        <w:t xml:space="preserve">to coordinate with the GEF Agencies to secure a copy of guidelines relevant to publishing information online at the beginning and eventually actively promote its application among active GEF IW projects in close coordination with the Agencies. The PCU will also work with consultants on the preparation and updating of the content, in partnership with the ICPDR who will serve as sounding board to ensure the handbook’s viability.  </w:t>
      </w:r>
    </w:p>
    <w:p w14:paraId="59BDD118" w14:textId="77777777" w:rsidR="00212C79" w:rsidRPr="00212C79" w:rsidRDefault="00212C79" w:rsidP="00212C79"/>
    <w:p w14:paraId="6B44B929" w14:textId="7FD3647D" w:rsidR="00212C79" w:rsidRDefault="00212C79" w:rsidP="00212C79">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2.3</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Hands-on communications and project visualization training, including support to the production of Experience Notes, for improved project storytelling, data packaging and focal area thematic review publications (UNDP)</w:t>
      </w:r>
    </w:p>
    <w:p w14:paraId="43A27C87" w14:textId="77777777" w:rsidR="00212C79" w:rsidRDefault="00212C79" w:rsidP="00212C79">
      <w:pPr>
        <w:jc w:val="both"/>
        <w:rPr>
          <w:rFonts w:asciiTheme="minorHAnsi" w:hAnsiTheme="minorHAnsi" w:cstheme="minorHAnsi"/>
          <w:b/>
          <w:sz w:val="22"/>
          <w:szCs w:val="22"/>
        </w:rPr>
      </w:pPr>
    </w:p>
    <w:p w14:paraId="4B902E72" w14:textId="77777777" w:rsidR="00212C79" w:rsidRDefault="00212C79" w:rsidP="00212C79">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7552985D" w14:textId="77777777" w:rsidR="00212C79" w:rsidRDefault="00212C79" w:rsidP="00212C79">
      <w:pPr>
        <w:shd w:val="clear" w:color="auto" w:fill="E7E6E6"/>
        <w:jc w:val="both"/>
        <w:rPr>
          <w:rFonts w:asciiTheme="minorHAnsi" w:hAnsiTheme="minorHAnsi" w:cstheme="minorHAnsi"/>
          <w:sz w:val="22"/>
          <w:szCs w:val="22"/>
        </w:rPr>
      </w:pPr>
    </w:p>
    <w:p w14:paraId="7CAC1687" w14:textId="77777777" w:rsidR="00212C79" w:rsidRDefault="00212C79" w:rsidP="00212C79">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2.3 is:</w:t>
      </w:r>
    </w:p>
    <w:p w14:paraId="70E924DD" w14:textId="77777777" w:rsidR="00212C79" w:rsidRDefault="00212C79" w:rsidP="00212C79">
      <w:pPr>
        <w:shd w:val="clear" w:color="auto" w:fill="E7E6E6"/>
        <w:jc w:val="both"/>
        <w:rPr>
          <w:rFonts w:asciiTheme="minorHAnsi" w:hAnsiTheme="minorHAnsi" w:cstheme="minorHAnsi"/>
          <w:sz w:val="22"/>
          <w:szCs w:val="22"/>
        </w:rPr>
      </w:pPr>
    </w:p>
    <w:p w14:paraId="3B381AD0" w14:textId="77777777" w:rsidR="00212C79" w:rsidRDefault="00212C79" w:rsidP="00212C79">
      <w:pPr>
        <w:shd w:val="clear" w:color="auto" w:fill="E7E6E6"/>
        <w:jc w:val="both"/>
        <w:rPr>
          <w:rFonts w:asciiTheme="minorHAnsi" w:hAnsiTheme="minorHAnsi" w:cstheme="minorHAnsi"/>
          <w:sz w:val="22"/>
          <w:szCs w:val="22"/>
        </w:rPr>
      </w:pPr>
      <w:r>
        <w:rPr>
          <w:rFonts w:asciiTheme="minorHAnsi" w:hAnsiTheme="minorHAnsi" w:cstheme="minorHAnsi"/>
          <w:sz w:val="22"/>
          <w:szCs w:val="22"/>
        </w:rPr>
        <w:t>Hands-on communications and project visualization training to both projects &amp; journalists, including support to the production of Experience Notes, for improved project storytelling, data packaging and focal area thematic review publications</w:t>
      </w:r>
    </w:p>
    <w:p w14:paraId="72696005" w14:textId="77777777" w:rsidR="00212C79" w:rsidRDefault="00212C79" w:rsidP="00212C79">
      <w:pPr>
        <w:shd w:val="clear" w:color="auto" w:fill="E7E6E6"/>
        <w:jc w:val="both"/>
        <w:rPr>
          <w:rFonts w:asciiTheme="minorHAnsi" w:hAnsiTheme="minorHAnsi" w:cstheme="minorHAnsi"/>
          <w:sz w:val="22"/>
          <w:szCs w:val="22"/>
        </w:rPr>
      </w:pPr>
    </w:p>
    <w:p w14:paraId="4F95A470" w14:textId="77777777" w:rsidR="00212C79" w:rsidRDefault="00212C79" w:rsidP="00212C79">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outcomes</w:t>
      </w:r>
      <w:r>
        <w:rPr>
          <w:rFonts w:asciiTheme="minorHAnsi" w:hAnsiTheme="minorHAnsi" w:cstheme="minorHAnsi"/>
          <w:sz w:val="22"/>
          <w:szCs w:val="22"/>
        </w:rPr>
        <w:t xml:space="preserve"> from sub-component 2.3 are: </w:t>
      </w:r>
    </w:p>
    <w:p w14:paraId="3AD24A02" w14:textId="77777777" w:rsidR="00212C79" w:rsidRDefault="00212C79" w:rsidP="00212C79">
      <w:pPr>
        <w:shd w:val="clear" w:color="auto" w:fill="E7E6E6"/>
        <w:jc w:val="both"/>
        <w:rPr>
          <w:rFonts w:asciiTheme="minorHAnsi" w:hAnsiTheme="minorHAnsi" w:cstheme="minorHAnsi"/>
          <w:sz w:val="22"/>
          <w:szCs w:val="22"/>
        </w:rPr>
      </w:pPr>
    </w:p>
    <w:p w14:paraId="306E0917" w14:textId="77777777" w:rsidR="00212C79" w:rsidRDefault="00212C79" w:rsidP="00212C79">
      <w:pPr>
        <w:shd w:val="clear" w:color="auto" w:fill="E7E6E6"/>
        <w:jc w:val="both"/>
        <w:rPr>
          <w:rFonts w:asciiTheme="minorHAnsi" w:hAnsiTheme="minorHAnsi" w:cstheme="minorHAnsi"/>
          <w:sz w:val="22"/>
          <w:szCs w:val="22"/>
        </w:rPr>
      </w:pPr>
      <w:r>
        <w:rPr>
          <w:rFonts w:asciiTheme="minorHAnsi" w:hAnsiTheme="minorHAnsi" w:cstheme="minorHAnsi"/>
          <w:sz w:val="22"/>
          <w:szCs w:val="22"/>
        </w:rPr>
        <w:t>Increased experience sharing and replication of successes within and across the IW portfolio, as well as enhanced understanding of GEF IW project interventions beyond the portfolio</w:t>
      </w:r>
    </w:p>
    <w:p w14:paraId="085F9372" w14:textId="77777777" w:rsidR="00212C79" w:rsidRDefault="00212C79" w:rsidP="00212C79">
      <w:pPr>
        <w:shd w:val="clear" w:color="auto" w:fill="E7E6E6"/>
        <w:jc w:val="both"/>
        <w:rPr>
          <w:rFonts w:asciiTheme="minorHAnsi" w:hAnsiTheme="minorHAnsi" w:cstheme="minorHAnsi"/>
          <w:b/>
          <w:sz w:val="22"/>
          <w:szCs w:val="22"/>
        </w:rPr>
      </w:pPr>
    </w:p>
    <w:p w14:paraId="55A838F5" w14:textId="77777777" w:rsidR="00212C79" w:rsidRDefault="00212C79" w:rsidP="00212C79">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2: GEF Grant USD640,000</w:t>
      </w:r>
    </w:p>
    <w:p w14:paraId="319DDFDA" w14:textId="77777777" w:rsidR="00212C79" w:rsidRDefault="00212C79" w:rsidP="00212C79">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10A187AA" w14:textId="77777777" w:rsidR="00212C79" w:rsidRDefault="00212C79" w:rsidP="00212C79">
      <w:pPr>
        <w:shd w:val="clear" w:color="auto" w:fill="E7E6E6"/>
        <w:jc w:val="both"/>
        <w:rPr>
          <w:rFonts w:asciiTheme="minorHAnsi" w:hAnsiTheme="minorHAnsi" w:cstheme="minorHAnsi"/>
          <w:sz w:val="22"/>
          <w:szCs w:val="22"/>
        </w:rPr>
      </w:pPr>
    </w:p>
    <w:p w14:paraId="1FDE3397" w14:textId="77777777" w:rsidR="00212C79" w:rsidRDefault="00212C79" w:rsidP="00212C79">
      <w:pPr>
        <w:shd w:val="clear" w:color="auto" w:fill="E7E6E6"/>
        <w:jc w:val="both"/>
        <w:rPr>
          <w:rFonts w:asciiTheme="minorHAnsi" w:hAnsiTheme="minorHAnsi" w:cstheme="minorHAnsi"/>
          <w:color w:val="0000FF"/>
          <w:sz w:val="22"/>
          <w:szCs w:val="22"/>
        </w:rPr>
      </w:pPr>
      <w:r>
        <w:rPr>
          <w:rFonts w:asciiTheme="minorHAnsi" w:hAnsiTheme="minorHAnsi" w:cstheme="minorHAnsi"/>
          <w:color w:val="000000"/>
          <w:sz w:val="22"/>
          <w:szCs w:val="22"/>
        </w:rPr>
        <w:t>1.2: Regional training workshops for GEF IW projects &amp; development partners on cross-cutting themes and key outputs from selected GEF portfolio methodology projects, delivered by partner learning network</w:t>
      </w:r>
      <w:r>
        <w:rPr>
          <w:rFonts w:asciiTheme="minorHAnsi" w:hAnsiTheme="minorHAnsi" w:cstheme="minorHAnsi"/>
          <w:color w:val="0000FF"/>
          <w:sz w:val="22"/>
          <w:szCs w:val="22"/>
        </w:rPr>
        <w:t xml:space="preserve"> </w:t>
      </w:r>
    </w:p>
    <w:p w14:paraId="2A6DEF7D" w14:textId="77777777" w:rsidR="00212C79" w:rsidRDefault="00212C79" w:rsidP="00212C79">
      <w:pPr>
        <w:shd w:val="clear" w:color="auto" w:fill="E7E6E6"/>
        <w:jc w:val="both"/>
        <w:rPr>
          <w:rFonts w:asciiTheme="minorHAnsi" w:hAnsiTheme="minorHAnsi" w:cstheme="minorHAnsi"/>
          <w:sz w:val="22"/>
          <w:szCs w:val="22"/>
        </w:rPr>
      </w:pPr>
    </w:p>
    <w:p w14:paraId="56895AC3" w14:textId="77777777" w:rsidR="00212C79" w:rsidRDefault="00212C79" w:rsidP="00212C79">
      <w:pPr>
        <w:shd w:val="clear" w:color="auto" w:fill="E7E6E6"/>
        <w:jc w:val="both"/>
        <w:rPr>
          <w:rFonts w:asciiTheme="minorHAnsi" w:hAnsiTheme="minorHAnsi" w:cstheme="minorHAnsi"/>
          <w:sz w:val="22"/>
          <w:szCs w:val="22"/>
        </w:rPr>
      </w:pPr>
      <w:r>
        <w:rPr>
          <w:rFonts w:asciiTheme="minorHAnsi" w:hAnsiTheme="minorHAnsi" w:cstheme="minorHAnsi"/>
          <w:sz w:val="22"/>
          <w:szCs w:val="22"/>
        </w:rPr>
        <w:t>2.1: GEF IW:LEARN website supporting improved GEF IW project snapshots and a searchable knowledge bank of project experience</w:t>
      </w:r>
    </w:p>
    <w:p w14:paraId="6E6BC833" w14:textId="77777777" w:rsidR="00212C79" w:rsidRDefault="00212C79" w:rsidP="00212C79">
      <w:pPr>
        <w:shd w:val="clear" w:color="auto" w:fill="E7E6E6"/>
        <w:jc w:val="both"/>
        <w:rPr>
          <w:rFonts w:asciiTheme="minorHAnsi" w:hAnsiTheme="minorHAnsi" w:cstheme="minorHAnsi"/>
          <w:sz w:val="22"/>
          <w:szCs w:val="22"/>
        </w:rPr>
      </w:pPr>
    </w:p>
    <w:p w14:paraId="37EC32CE" w14:textId="77777777" w:rsidR="00212C79" w:rsidRDefault="00212C79" w:rsidP="00212C79">
      <w:pPr>
        <w:jc w:val="both"/>
        <w:rPr>
          <w:rFonts w:asciiTheme="minorHAnsi" w:hAnsiTheme="minorHAnsi" w:cstheme="minorHAnsi"/>
          <w:sz w:val="22"/>
          <w:szCs w:val="22"/>
        </w:rPr>
      </w:pPr>
    </w:p>
    <w:sdt>
      <w:sdtPr>
        <w:rPr>
          <w:rFonts w:asciiTheme="minorHAnsi" w:hAnsiTheme="minorHAnsi" w:cstheme="minorHAnsi"/>
        </w:rPr>
        <w:tag w:val="goog_rdk_662"/>
        <w:id w:val="-1651208025"/>
      </w:sdtPr>
      <w:sdtEndPr/>
      <w:sdtContent>
        <w:sdt>
          <w:sdtPr>
            <w:rPr>
              <w:rFonts w:asciiTheme="minorHAnsi" w:hAnsiTheme="minorHAnsi" w:cstheme="minorHAnsi"/>
            </w:rPr>
            <w:tag w:val="goog_rdk_661"/>
            <w:id w:val="-221437193"/>
          </w:sdtPr>
          <w:sdtEndPr/>
          <w:sdtContent>
            <w:p w14:paraId="7B65E06C" w14:textId="77777777" w:rsidR="00212C79" w:rsidRDefault="00212C79" w:rsidP="00212C79">
              <w:pPr>
                <w:jc w:val="both"/>
                <w:rPr>
                  <w:rFonts w:asciiTheme="minorHAnsi" w:hAnsiTheme="minorHAnsi" w:cstheme="minorHAnsi"/>
                  <w:color w:val="000000"/>
                  <w:sz w:val="22"/>
                  <w:szCs w:val="22"/>
                </w:rPr>
              </w:pPr>
              <w:r>
                <w:rPr>
                  <w:rFonts w:asciiTheme="minorHAnsi" w:hAnsiTheme="minorHAnsi" w:cstheme="minorHAnsi"/>
                  <w:color w:val="000000"/>
                  <w:sz w:val="22"/>
                  <w:szCs w:val="22"/>
                </w:rPr>
                <w:t>With more than 25 years of addressing critical environmental issues, it is high time to explore new ways to evangelize the works of the portfolio and the challenges it addresses, to get a bigger exposure it deserves outside the portfolio and mobilize wider support in addressing these challenges and create a bigger impact. It is also paramount for crucial messages and findings to reach policy- and decision-makers with consolidated details and clear arguments, in formats that are easy to digest.</w:t>
              </w:r>
            </w:p>
          </w:sdtContent>
        </w:sdt>
      </w:sdtContent>
    </w:sdt>
    <w:sdt>
      <w:sdtPr>
        <w:rPr>
          <w:rFonts w:asciiTheme="minorHAnsi" w:hAnsiTheme="minorHAnsi" w:cstheme="minorHAnsi"/>
        </w:rPr>
        <w:tag w:val="goog_rdk_664"/>
        <w:id w:val="330729329"/>
      </w:sdtPr>
      <w:sdtEndPr/>
      <w:sdtContent>
        <w:p w14:paraId="0E5F9C67"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63"/>
              <w:id w:val="-1124077351"/>
              <w:showingPlcHdr/>
            </w:sdtPr>
            <w:sdtEndPr/>
            <w:sdtContent>
              <w:r w:rsidR="00212C79">
                <w:rPr>
                  <w:rFonts w:asciiTheme="minorHAnsi" w:hAnsiTheme="minorHAnsi" w:cstheme="minorHAnsi"/>
                </w:rPr>
                <w:t xml:space="preserve">     </w:t>
              </w:r>
            </w:sdtContent>
          </w:sdt>
        </w:p>
      </w:sdtContent>
    </w:sdt>
    <w:sdt>
      <w:sdtPr>
        <w:rPr>
          <w:rFonts w:asciiTheme="minorHAnsi" w:hAnsiTheme="minorHAnsi" w:cstheme="minorHAnsi"/>
        </w:rPr>
        <w:tag w:val="goog_rdk_666"/>
        <w:id w:val="-1142963960"/>
      </w:sdtPr>
      <w:sdtEndPr/>
      <w:sdtContent>
        <w:p w14:paraId="04FFD6FD"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65"/>
              <w:id w:val="1407339772"/>
            </w:sdtPr>
            <w:sdtEndPr/>
            <w:sdtContent>
              <w:r w:rsidR="00212C79">
                <w:rPr>
                  <w:rFonts w:asciiTheme="minorHAnsi" w:hAnsiTheme="minorHAnsi" w:cstheme="minorHAnsi"/>
                  <w:color w:val="000000"/>
                  <w:sz w:val="22"/>
                  <w:szCs w:val="22"/>
                </w:rPr>
                <w:t xml:space="preserve">The previous IW:LEARN phase and the LME:LEARN Project </w:t>
              </w:r>
              <w:proofErr w:type="spellStart"/>
              <w:r w:rsidR="00212C79">
                <w:rPr>
                  <w:rFonts w:asciiTheme="minorHAnsi" w:hAnsiTheme="minorHAnsi" w:cstheme="minorHAnsi"/>
                  <w:color w:val="000000"/>
                  <w:sz w:val="22"/>
                  <w:szCs w:val="22"/>
                </w:rPr>
                <w:t>endeavoured</w:t>
              </w:r>
              <w:proofErr w:type="spellEnd"/>
              <w:r w:rsidR="00212C79">
                <w:rPr>
                  <w:rFonts w:asciiTheme="minorHAnsi" w:hAnsiTheme="minorHAnsi" w:cstheme="minorHAnsi"/>
                  <w:color w:val="000000"/>
                  <w:sz w:val="22"/>
                  <w:szCs w:val="22"/>
                </w:rPr>
                <w:t xml:space="preserve"> in strengthening LME projects’ capability to design and implement an all-encompassing communication strategy and communicate project results and thematic reports through compelling storytelling complemented by striking visuals. Experienced communicators and journalists in the field have been tapped as resource persons for Webinars and training workshops. These activities were well-received by the projects, and project coordinators reported positive outcomes, some resulted </w:t>
              </w:r>
              <w:r w:rsidR="00212C79">
                <w:rPr>
                  <w:rFonts w:asciiTheme="minorHAnsi" w:hAnsiTheme="minorHAnsi" w:cstheme="minorHAnsi"/>
                  <w:sz w:val="22"/>
                  <w:szCs w:val="22"/>
                </w:rPr>
                <w:t>in gaining</w:t>
              </w:r>
              <w:r w:rsidR="00212C79">
                <w:rPr>
                  <w:rFonts w:asciiTheme="minorHAnsi" w:hAnsiTheme="minorHAnsi" w:cstheme="minorHAnsi"/>
                  <w:color w:val="000000"/>
                  <w:sz w:val="22"/>
                  <w:szCs w:val="22"/>
                </w:rPr>
                <w:t xml:space="preserve"> the attention of local journalist </w:t>
              </w:r>
              <w:r w:rsidR="00212C79">
                <w:rPr>
                  <w:rFonts w:asciiTheme="minorHAnsi" w:hAnsiTheme="minorHAnsi" w:cstheme="minorHAnsi"/>
                  <w:sz w:val="22"/>
                  <w:szCs w:val="22"/>
                </w:rPr>
                <w:t>groups</w:t>
              </w:r>
              <w:r w:rsidR="00212C79">
                <w:rPr>
                  <w:rFonts w:asciiTheme="minorHAnsi" w:hAnsiTheme="minorHAnsi" w:cstheme="minorHAnsi"/>
                  <w:color w:val="000000"/>
                  <w:sz w:val="22"/>
                  <w:szCs w:val="22"/>
                </w:rPr>
                <w:t xml:space="preserve"> and media </w:t>
              </w:r>
              <w:r w:rsidR="00212C79">
                <w:rPr>
                  <w:rFonts w:asciiTheme="minorHAnsi" w:hAnsiTheme="minorHAnsi" w:cstheme="minorHAnsi"/>
                  <w:sz w:val="22"/>
                  <w:szCs w:val="22"/>
                </w:rPr>
                <w:t>outlets</w:t>
              </w:r>
              <w:r w:rsidR="00212C79">
                <w:rPr>
                  <w:rFonts w:asciiTheme="minorHAnsi" w:hAnsiTheme="minorHAnsi" w:cstheme="minorHAnsi"/>
                  <w:color w:val="000000"/>
                  <w:sz w:val="22"/>
                  <w:szCs w:val="22"/>
                </w:rPr>
                <w:t>, and expressed sustained demands during this project preparation focal group consultations. There are several products and new approaches that provide a good starting point for continued creative evolution and repackaging of stories, messages, reports into modern as well as proven formats to suit specific target readers’ preferences. IW:LEARN will embark on these innovative technology and best practices for the production of its knowledge and communication products, as well as pursue the engagement of journalists and mainstream media outlets into the work of the GEF IW portfolio giving them the opportunity to learn in-depth about the science and topics that the GEF IW portfolio addresses.</w:t>
              </w:r>
            </w:sdtContent>
          </w:sdt>
        </w:p>
      </w:sdtContent>
    </w:sdt>
    <w:sdt>
      <w:sdtPr>
        <w:rPr>
          <w:rFonts w:asciiTheme="minorHAnsi" w:hAnsiTheme="minorHAnsi" w:cstheme="minorHAnsi"/>
        </w:rPr>
        <w:tag w:val="goog_rdk_668"/>
        <w:id w:val="27155030"/>
      </w:sdtPr>
      <w:sdtEndPr/>
      <w:sdtContent>
        <w:p w14:paraId="65E76AE5"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67"/>
              <w:id w:val="-1460642761"/>
              <w:showingPlcHdr/>
            </w:sdtPr>
            <w:sdtEndPr/>
            <w:sdtContent>
              <w:r w:rsidR="00212C79">
                <w:rPr>
                  <w:rFonts w:asciiTheme="minorHAnsi" w:hAnsiTheme="minorHAnsi" w:cstheme="minorHAnsi"/>
                </w:rPr>
                <w:t xml:space="preserve">     </w:t>
              </w:r>
            </w:sdtContent>
          </w:sdt>
        </w:p>
      </w:sdtContent>
    </w:sdt>
    <w:sdt>
      <w:sdtPr>
        <w:rPr>
          <w:rFonts w:asciiTheme="minorHAnsi" w:hAnsiTheme="minorHAnsi" w:cstheme="minorHAnsi"/>
        </w:rPr>
        <w:tag w:val="goog_rdk_670"/>
        <w:id w:val="595369154"/>
      </w:sdtPr>
      <w:sdtEndPr/>
      <w:sdtContent>
        <w:p w14:paraId="79FCBBDD" w14:textId="77777777" w:rsidR="00212C79" w:rsidRDefault="00F57A55" w:rsidP="00212C79">
          <w:pPr>
            <w:jc w:val="both"/>
            <w:rPr>
              <w:rFonts w:asciiTheme="minorHAnsi" w:hAnsiTheme="minorHAnsi" w:cstheme="minorHAnsi"/>
              <w:color w:val="000000"/>
              <w:sz w:val="22"/>
              <w:szCs w:val="22"/>
            </w:rPr>
          </w:pPr>
          <w:sdt>
            <w:sdtPr>
              <w:rPr>
                <w:rFonts w:asciiTheme="minorHAnsi" w:hAnsiTheme="minorHAnsi" w:cstheme="minorHAnsi"/>
              </w:rPr>
              <w:tag w:val="goog_rdk_669"/>
              <w:id w:val="-147524027"/>
            </w:sdtPr>
            <w:sdtEndPr/>
            <w:sdtContent>
              <w:r w:rsidR="00212C79">
                <w:rPr>
                  <w:rFonts w:asciiTheme="minorHAnsi" w:hAnsiTheme="minorHAnsi" w:cstheme="minorHAnsi"/>
                  <w:color w:val="000000"/>
                  <w:sz w:val="22"/>
                  <w:szCs w:val="22"/>
                </w:rPr>
                <w:t xml:space="preserve">Sub-component 2.3 will bring new activities and approaches to some of the IW:LEARN signature products and services, including the digitalization of the Experience and Results Notes and upgrade of its design (Figure 6).  IW:LEARN will promote and make available new communication tools that will help projects deliver important messages, enable deeper understanding, and motivate engagement through stories and narratives with striking visuals, infographics as well as maps hosted in the IW:LEARN Geospatial Lab.  IW:LEARN will also bring in the participation of journalists and media practitioners – one, as trainers to help project staff and communications specialists write captivating stories, and to immerse them to the work of the GEF IW community and catalyze the need for their help in reaching the wider audience. </w:t>
              </w:r>
            </w:sdtContent>
          </w:sdt>
        </w:p>
      </w:sdtContent>
    </w:sdt>
    <w:p w14:paraId="6FC003F8" w14:textId="77777777" w:rsidR="00212C79" w:rsidRDefault="00F57A55" w:rsidP="00212C79">
      <w:pPr>
        <w:rPr>
          <w:rFonts w:asciiTheme="minorHAnsi" w:hAnsiTheme="minorHAnsi" w:cstheme="minorHAnsi"/>
          <w:sz w:val="22"/>
          <w:szCs w:val="22"/>
        </w:rPr>
      </w:pPr>
      <w:sdt>
        <w:sdtPr>
          <w:rPr>
            <w:rFonts w:asciiTheme="minorHAnsi" w:hAnsiTheme="minorHAnsi" w:cstheme="minorHAnsi"/>
          </w:rPr>
          <w:tag w:val="goog_rdk_673"/>
          <w:id w:val="-1308319698"/>
        </w:sdtPr>
        <w:sdtEndPr/>
        <w:sdtContent>
          <w:sdt>
            <w:sdtPr>
              <w:rPr>
                <w:rFonts w:asciiTheme="minorHAnsi" w:hAnsiTheme="minorHAnsi" w:cstheme="minorHAnsi"/>
              </w:rPr>
              <w:tag w:val="goog_rdk_672"/>
              <w:id w:val="358399510"/>
              <w:showingPlcHdr/>
            </w:sdtPr>
            <w:sdtEndPr/>
            <w:sdtContent>
              <w:r w:rsidR="00212C79">
                <w:rPr>
                  <w:rFonts w:asciiTheme="minorHAnsi" w:hAnsiTheme="minorHAnsi" w:cstheme="minorHAnsi"/>
                </w:rPr>
                <w:t xml:space="preserve">     </w:t>
              </w:r>
            </w:sdtContent>
          </w:sdt>
        </w:sdtContent>
      </w:sdt>
      <w:sdt>
        <w:sdtPr>
          <w:rPr>
            <w:rFonts w:asciiTheme="minorHAnsi" w:hAnsiTheme="minorHAnsi" w:cstheme="minorHAnsi"/>
          </w:rPr>
          <w:tag w:val="goog_rdk_676"/>
          <w:id w:val="1475878823"/>
        </w:sdtPr>
        <w:sdtEndPr/>
        <w:sdtContent>
          <w:sdt>
            <w:sdtPr>
              <w:rPr>
                <w:rFonts w:asciiTheme="minorHAnsi" w:hAnsiTheme="minorHAnsi" w:cstheme="minorHAnsi"/>
              </w:rPr>
              <w:tag w:val="goog_rdk_675"/>
              <w:id w:val="1859466241"/>
              <w:showingPlcHdr/>
            </w:sdtPr>
            <w:sdtEndPr/>
            <w:sdtContent>
              <w:r w:rsidR="00212C79">
                <w:rPr>
                  <w:rFonts w:asciiTheme="minorHAnsi" w:hAnsiTheme="minorHAnsi" w:cstheme="minorHAnsi"/>
                </w:rPr>
                <w:t xml:space="preserve">     </w:t>
              </w:r>
            </w:sdtContent>
          </w:sdt>
        </w:sdtContent>
      </w:sdt>
    </w:p>
    <w:sdt>
      <w:sdtPr>
        <w:rPr>
          <w:rFonts w:asciiTheme="minorHAnsi" w:hAnsiTheme="minorHAnsi" w:cstheme="minorHAnsi"/>
        </w:rPr>
        <w:tag w:val="goog_rdk_679"/>
        <w:id w:val="-75833676"/>
      </w:sdtPr>
      <w:sdtEndPr/>
      <w:sdtContent>
        <w:p w14:paraId="34653682" w14:textId="46745FB0" w:rsidR="00212C79" w:rsidRDefault="00212C79" w:rsidP="00212C79">
          <w:pPr>
            <w:rPr>
              <w:rFonts w:asciiTheme="minorHAnsi" w:hAnsiTheme="minorHAnsi" w:cstheme="minorHAnsi"/>
              <w:color w:val="000000"/>
              <w:sz w:val="22"/>
              <w:szCs w:val="22"/>
            </w:rPr>
          </w:pPr>
          <w:r>
            <w:rPr>
              <w:noProof/>
            </w:rPr>
            <w:drawing>
              <wp:anchor distT="0" distB="0" distL="114300" distR="114300" simplePos="0" relativeHeight="251659264" behindDoc="0" locked="0" layoutInCell="1" allowOverlap="1" wp14:anchorId="69E3E51E" wp14:editId="07864E3E">
                <wp:simplePos x="0" y="0"/>
                <wp:positionH relativeFrom="column">
                  <wp:posOffset>133985</wp:posOffset>
                </wp:positionH>
                <wp:positionV relativeFrom="paragraph">
                  <wp:posOffset>203200</wp:posOffset>
                </wp:positionV>
                <wp:extent cx="5446395" cy="2241550"/>
                <wp:effectExtent l="0" t="0" r="1905"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6395" cy="2241550"/>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rPr>
              <w:tag w:val="goog_rdk_678"/>
              <w:id w:val="-1815635452"/>
              <w:showingPlcHdr/>
            </w:sdtPr>
            <w:sdtEndPr/>
            <w:sdtContent>
              <w:r>
                <w:rPr>
                  <w:rFonts w:asciiTheme="minorHAnsi" w:hAnsiTheme="minorHAnsi" w:cstheme="minorHAnsi"/>
                </w:rPr>
                <w:t xml:space="preserve">     </w:t>
              </w:r>
            </w:sdtContent>
          </w:sdt>
          <w:r>
            <w:rPr>
              <w:rFonts w:asciiTheme="minorHAnsi" w:hAnsiTheme="minorHAnsi" w:cstheme="minorHAnsi"/>
              <w:noProof/>
            </w:rPr>
            <w:t xml:space="preserve"> </w:t>
          </w:r>
        </w:p>
      </w:sdtContent>
    </w:sdt>
    <w:sdt>
      <w:sdtPr>
        <w:rPr>
          <w:rFonts w:asciiTheme="minorHAnsi" w:hAnsiTheme="minorHAnsi" w:cstheme="minorHAnsi"/>
        </w:rPr>
        <w:tag w:val="goog_rdk_681"/>
        <w:id w:val="1918663403"/>
      </w:sdtPr>
      <w:sdtEndPr/>
      <w:sdtContent>
        <w:p w14:paraId="29E8E4FB" w14:textId="77777777" w:rsidR="00212C79" w:rsidRDefault="00F57A55" w:rsidP="00212C79">
          <w:pPr>
            <w:rPr>
              <w:rFonts w:asciiTheme="minorHAnsi" w:hAnsiTheme="minorHAnsi" w:cstheme="minorHAnsi"/>
              <w:b/>
            </w:rPr>
          </w:pPr>
          <w:sdt>
            <w:sdtPr>
              <w:rPr>
                <w:rFonts w:asciiTheme="minorHAnsi" w:hAnsiTheme="minorHAnsi" w:cstheme="minorHAnsi"/>
              </w:rPr>
              <w:tag w:val="goog_rdk_680"/>
              <w:id w:val="59068043"/>
              <w:showingPlcHdr/>
            </w:sdtPr>
            <w:sdtEndPr/>
            <w:sdtContent>
              <w:r w:rsidR="00212C79">
                <w:rPr>
                  <w:rFonts w:asciiTheme="minorHAnsi" w:hAnsiTheme="minorHAnsi" w:cstheme="minorHAnsi"/>
                </w:rPr>
                <w:t xml:space="preserve">     </w:t>
              </w:r>
            </w:sdtContent>
          </w:sdt>
        </w:p>
      </w:sdtContent>
    </w:sdt>
    <w:p w14:paraId="66A53D29" w14:textId="77777777" w:rsidR="00212C79" w:rsidRDefault="00F57A55" w:rsidP="00212C79">
      <w:pPr>
        <w:jc w:val="center"/>
        <w:rPr>
          <w:rFonts w:asciiTheme="minorHAnsi" w:hAnsiTheme="minorHAnsi" w:cstheme="minorHAnsi"/>
        </w:rPr>
      </w:pPr>
      <w:sdt>
        <w:sdtPr>
          <w:rPr>
            <w:rFonts w:asciiTheme="minorHAnsi" w:hAnsiTheme="minorHAnsi" w:cstheme="minorHAnsi"/>
          </w:rPr>
          <w:tag w:val="goog_rdk_688"/>
          <w:id w:val="-1142573227"/>
        </w:sdtPr>
        <w:sdtEndPr/>
        <w:sdtContent>
          <w:sdt>
            <w:sdtPr>
              <w:rPr>
                <w:rFonts w:asciiTheme="minorHAnsi" w:hAnsiTheme="minorHAnsi" w:cstheme="minorHAnsi"/>
              </w:rPr>
              <w:tag w:val="goog_rdk_682"/>
              <w:id w:val="423154929"/>
            </w:sdtPr>
            <w:sdtEndPr/>
            <w:sdtContent>
              <w:sdt>
                <w:sdtPr>
                  <w:rPr>
                    <w:rFonts w:asciiTheme="minorHAnsi" w:hAnsiTheme="minorHAnsi" w:cstheme="minorHAnsi"/>
                  </w:rPr>
                  <w:tag w:val="goog_rdk_683"/>
                  <w:id w:val="-263926426"/>
                </w:sdtPr>
                <w:sdtEndPr/>
                <w:sdtContent>
                  <w:r w:rsidR="00212C79">
                    <w:rPr>
                      <w:rFonts w:asciiTheme="minorHAnsi" w:hAnsiTheme="minorHAnsi" w:cstheme="minorHAnsi"/>
                      <w:sz w:val="22"/>
                      <w:szCs w:val="22"/>
                    </w:rPr>
                    <w:t>Figure 6</w:t>
                  </w:r>
                </w:sdtContent>
              </w:sdt>
            </w:sdtContent>
          </w:sdt>
          <w:sdt>
            <w:sdtPr>
              <w:rPr>
                <w:rFonts w:asciiTheme="minorHAnsi" w:hAnsiTheme="minorHAnsi" w:cstheme="minorHAnsi"/>
              </w:rPr>
              <w:tag w:val="goog_rdk_684"/>
              <w:id w:val="1914967861"/>
            </w:sdtPr>
            <w:sdtEndPr/>
            <w:sdtContent>
              <w:sdt>
                <w:sdtPr>
                  <w:rPr>
                    <w:rFonts w:asciiTheme="minorHAnsi" w:hAnsiTheme="minorHAnsi" w:cstheme="minorHAnsi"/>
                  </w:rPr>
                  <w:tag w:val="goog_rdk_685"/>
                  <w:id w:val="-1721130588"/>
                </w:sdtPr>
                <w:sdtEndPr/>
                <w:sdtContent>
                  <w:r w:rsidR="00212C79">
                    <w:rPr>
                      <w:rFonts w:asciiTheme="minorHAnsi" w:hAnsiTheme="minorHAnsi" w:cstheme="minorHAnsi"/>
                      <w:sz w:val="22"/>
                      <w:szCs w:val="22"/>
                    </w:rPr>
                    <w:t>. An illustration of the core activities in Sub-Component 2.3</w:t>
                  </w:r>
                </w:sdtContent>
              </w:sdt>
            </w:sdtContent>
          </w:sdt>
          <w:sdt>
            <w:sdtPr>
              <w:rPr>
                <w:rFonts w:asciiTheme="minorHAnsi" w:hAnsiTheme="minorHAnsi" w:cstheme="minorHAnsi"/>
              </w:rPr>
              <w:tag w:val="goog_rdk_686"/>
              <w:id w:val="-1217500453"/>
            </w:sdtPr>
            <w:sdtEndPr/>
            <w:sdtContent>
              <w:sdt>
                <w:sdtPr>
                  <w:rPr>
                    <w:rFonts w:asciiTheme="minorHAnsi" w:hAnsiTheme="minorHAnsi" w:cstheme="minorHAnsi"/>
                  </w:rPr>
                  <w:tag w:val="goog_rdk_687"/>
                  <w:id w:val="-1470426385"/>
                </w:sdtPr>
                <w:sdtEndPr/>
                <w:sdtContent/>
              </w:sdt>
            </w:sdtContent>
          </w:sdt>
        </w:sdtContent>
      </w:sdt>
      <w:sdt>
        <w:sdtPr>
          <w:rPr>
            <w:rFonts w:asciiTheme="minorHAnsi" w:hAnsiTheme="minorHAnsi" w:cstheme="minorHAnsi"/>
          </w:rPr>
          <w:tag w:val="goog_rdk_692"/>
          <w:id w:val="-219280562"/>
        </w:sdtPr>
        <w:sdtEndPr/>
        <w:sdtContent>
          <w:sdt>
            <w:sdtPr>
              <w:rPr>
                <w:rFonts w:asciiTheme="minorHAnsi" w:hAnsiTheme="minorHAnsi" w:cstheme="minorHAnsi"/>
              </w:rPr>
              <w:tag w:val="goog_rdk_690"/>
              <w:id w:val="1941797678"/>
            </w:sdtPr>
            <w:sdtEndPr/>
            <w:sdtContent>
              <w:sdt>
                <w:sdtPr>
                  <w:rPr>
                    <w:rFonts w:asciiTheme="minorHAnsi" w:hAnsiTheme="minorHAnsi" w:cstheme="minorHAnsi"/>
                  </w:rPr>
                  <w:tag w:val="goog_rdk_691"/>
                  <w:id w:val="-1484688891"/>
                </w:sdtPr>
                <w:sdtEndPr/>
                <w:sdtContent/>
              </w:sdt>
            </w:sdtContent>
          </w:sdt>
        </w:sdtContent>
      </w:sdt>
    </w:p>
    <w:sdt>
      <w:sdtPr>
        <w:rPr>
          <w:rFonts w:asciiTheme="minorHAnsi" w:hAnsiTheme="minorHAnsi" w:cstheme="minorHAnsi"/>
        </w:rPr>
        <w:tag w:val="goog_rdk_694"/>
        <w:id w:val="-650290546"/>
      </w:sdtPr>
      <w:sdtEndPr/>
      <w:sdtContent>
        <w:p w14:paraId="6C282EC6" w14:textId="77777777" w:rsidR="00212C79" w:rsidRDefault="00F57A55" w:rsidP="00212C79">
          <w:pPr>
            <w:rPr>
              <w:rFonts w:asciiTheme="minorHAnsi" w:hAnsiTheme="minorHAnsi" w:cstheme="minorHAnsi"/>
              <w:sz w:val="22"/>
              <w:szCs w:val="22"/>
            </w:rPr>
          </w:pPr>
          <w:sdt>
            <w:sdtPr>
              <w:rPr>
                <w:rFonts w:asciiTheme="minorHAnsi" w:hAnsiTheme="minorHAnsi" w:cstheme="minorHAnsi"/>
              </w:rPr>
              <w:tag w:val="goog_rdk_693"/>
              <w:id w:val="-132726753"/>
              <w:showingPlcHdr/>
            </w:sdtPr>
            <w:sdtEndPr/>
            <w:sdtContent>
              <w:r w:rsidR="00212C79">
                <w:rPr>
                  <w:rFonts w:asciiTheme="minorHAnsi" w:hAnsiTheme="minorHAnsi" w:cstheme="minorHAnsi"/>
                </w:rPr>
                <w:t xml:space="preserve">     </w:t>
              </w:r>
            </w:sdtContent>
          </w:sdt>
        </w:p>
      </w:sdtContent>
    </w:sdt>
    <w:p w14:paraId="5C975CD0" w14:textId="77777777" w:rsidR="00212C79" w:rsidRDefault="00212C79" w:rsidP="00212C79">
      <w:pPr>
        <w:jc w:val="both"/>
        <w:rPr>
          <w:rFonts w:asciiTheme="minorHAnsi" w:hAnsiTheme="minorHAnsi" w:cstheme="minorHAnsi"/>
          <w:sz w:val="22"/>
          <w:szCs w:val="22"/>
        </w:rPr>
      </w:pPr>
      <w:r>
        <w:rPr>
          <w:rFonts w:asciiTheme="minorHAnsi" w:hAnsiTheme="minorHAnsi" w:cstheme="minorHAnsi"/>
          <w:sz w:val="22"/>
          <w:szCs w:val="22"/>
        </w:rPr>
        <w:lastRenderedPageBreak/>
        <w:t xml:space="preserve">The role of the PCU will be to lead the implementation of all activities under Subcomponent 2.3, in collaboration with the following partners: </w:t>
      </w:r>
    </w:p>
    <w:p w14:paraId="35D06D35" w14:textId="77777777" w:rsidR="00212C79" w:rsidRDefault="00212C79" w:rsidP="00212C79">
      <w:pPr>
        <w:jc w:val="both"/>
        <w:rPr>
          <w:rFonts w:asciiTheme="minorHAnsi" w:hAnsiTheme="minorHAnsi" w:cstheme="minorHAnsi"/>
          <w:sz w:val="22"/>
          <w:szCs w:val="22"/>
        </w:rPr>
      </w:pPr>
    </w:p>
    <w:p w14:paraId="17FA5556" w14:textId="77777777" w:rsidR="00212C79" w:rsidRDefault="00212C79" w:rsidP="00212C79">
      <w:pPr>
        <w:pStyle w:val="ListParagraph"/>
        <w:numPr>
          <w:ilvl w:val="0"/>
          <w:numId w:val="38"/>
        </w:numPr>
        <w:contextualSpacing w:val="0"/>
        <w:jc w:val="both"/>
        <w:rPr>
          <w:rFonts w:asciiTheme="minorHAnsi" w:hAnsiTheme="minorHAnsi" w:cstheme="minorHAnsi"/>
          <w:b/>
          <w:sz w:val="22"/>
          <w:szCs w:val="22"/>
        </w:rPr>
      </w:pPr>
      <w:r>
        <w:rPr>
          <w:rFonts w:asciiTheme="minorHAnsi" w:hAnsiTheme="minorHAnsi" w:cstheme="minorHAnsi"/>
          <w:sz w:val="22"/>
          <w:szCs w:val="22"/>
        </w:rPr>
        <w:t xml:space="preserve">ICPDR, which has vast experience in producing catalogues of brochures, an in-house magazine (Danube Watch), paper reports, and in formulating a huge amount of extended storytelling and in-depth analysis of Danube-related activities. In parallel. ICPDR maintains a network of journalists and engages writers, publishers and graphic designers, essential to such publications; </w:t>
      </w:r>
    </w:p>
    <w:p w14:paraId="79A877DD" w14:textId="77777777" w:rsidR="00212C79" w:rsidRDefault="00212C79" w:rsidP="00212C79">
      <w:pPr>
        <w:pStyle w:val="ListParagraph"/>
        <w:numPr>
          <w:ilvl w:val="0"/>
          <w:numId w:val="38"/>
        </w:numPr>
        <w:contextualSpacing w:val="0"/>
        <w:jc w:val="both"/>
        <w:rPr>
          <w:rFonts w:asciiTheme="minorHAnsi" w:hAnsiTheme="minorHAnsi" w:cstheme="minorHAnsi"/>
          <w:b/>
          <w:sz w:val="22"/>
          <w:szCs w:val="22"/>
        </w:rPr>
      </w:pPr>
      <w:r>
        <w:rPr>
          <w:rFonts w:asciiTheme="minorHAnsi" w:hAnsiTheme="minorHAnsi" w:cstheme="minorHAnsi"/>
          <w:sz w:val="22"/>
          <w:szCs w:val="22"/>
        </w:rPr>
        <w:t xml:space="preserve">GRID </w:t>
      </w:r>
      <w:proofErr w:type="spellStart"/>
      <w:r>
        <w:rPr>
          <w:rFonts w:asciiTheme="minorHAnsi" w:hAnsiTheme="minorHAnsi" w:cstheme="minorHAnsi"/>
          <w:sz w:val="22"/>
          <w:szCs w:val="22"/>
        </w:rPr>
        <w:t>Arendal</w:t>
      </w:r>
      <w:proofErr w:type="spellEnd"/>
      <w:r>
        <w:rPr>
          <w:rFonts w:asciiTheme="minorHAnsi" w:hAnsiTheme="minorHAnsi" w:cstheme="minorHAnsi"/>
          <w:sz w:val="22"/>
          <w:szCs w:val="22"/>
        </w:rPr>
        <w:t xml:space="preserve"> with extensive expertise in communications and visualization, with experience providing communications training for project teams, journalists and students; maps and graphics production; multimedia storytelling; photography and video production; media outreach; development of print and online publications, including policy briefs; and website design and development will give IW:LEARN the much-needed leverage in embarking into new communication </w:t>
      </w:r>
      <w:proofErr w:type="spellStart"/>
      <w:r>
        <w:rPr>
          <w:rFonts w:asciiTheme="minorHAnsi" w:hAnsiTheme="minorHAnsi" w:cstheme="minorHAnsi"/>
          <w:sz w:val="22"/>
          <w:szCs w:val="22"/>
        </w:rPr>
        <w:t>endeavours</w:t>
      </w:r>
      <w:proofErr w:type="spellEnd"/>
      <w:r>
        <w:rPr>
          <w:rFonts w:asciiTheme="minorHAnsi" w:hAnsiTheme="minorHAnsi" w:cstheme="minorHAnsi"/>
          <w:sz w:val="22"/>
          <w:szCs w:val="22"/>
        </w:rPr>
        <w:t xml:space="preserve">; and </w:t>
      </w:r>
    </w:p>
    <w:p w14:paraId="4F0B5F42" w14:textId="77777777" w:rsidR="00212C79" w:rsidRDefault="00212C79" w:rsidP="00212C79">
      <w:pPr>
        <w:pStyle w:val="ListParagraph"/>
        <w:numPr>
          <w:ilvl w:val="0"/>
          <w:numId w:val="38"/>
        </w:numPr>
        <w:contextualSpacing w:val="0"/>
        <w:jc w:val="both"/>
        <w:rPr>
          <w:rFonts w:asciiTheme="minorHAnsi" w:hAnsiTheme="minorHAnsi" w:cstheme="minorHAnsi"/>
          <w:b/>
          <w:sz w:val="22"/>
          <w:szCs w:val="22"/>
        </w:rPr>
      </w:pPr>
      <w:r>
        <w:rPr>
          <w:rFonts w:asciiTheme="minorHAnsi" w:hAnsiTheme="minorHAnsi" w:cstheme="minorHAnsi"/>
          <w:sz w:val="22"/>
          <w:szCs w:val="22"/>
        </w:rPr>
        <w:t xml:space="preserve">The IDB, who will </w:t>
      </w:r>
      <w:proofErr w:type="spellStart"/>
      <w:r>
        <w:rPr>
          <w:rFonts w:asciiTheme="minorHAnsi" w:hAnsiTheme="minorHAnsi" w:cstheme="minorHAnsi"/>
          <w:sz w:val="22"/>
          <w:szCs w:val="22"/>
        </w:rPr>
        <w:t>cofinance</w:t>
      </w:r>
      <w:proofErr w:type="spellEnd"/>
      <w:r>
        <w:rPr>
          <w:rFonts w:asciiTheme="minorHAnsi" w:hAnsiTheme="minorHAnsi" w:cstheme="minorHAnsi"/>
          <w:sz w:val="22"/>
          <w:szCs w:val="22"/>
        </w:rPr>
        <w:t xml:space="preserve"> the activity with support for hands-on communication and training.</w:t>
      </w:r>
    </w:p>
    <w:p w14:paraId="02523821" w14:textId="77777777" w:rsidR="00212C79" w:rsidRDefault="00212C79" w:rsidP="00212C79">
      <w:pPr>
        <w:jc w:val="both"/>
        <w:rPr>
          <w:rFonts w:asciiTheme="minorHAnsi" w:hAnsiTheme="minorHAnsi" w:cstheme="minorHAnsi"/>
          <w:sz w:val="22"/>
          <w:szCs w:val="22"/>
        </w:rPr>
      </w:pPr>
    </w:p>
    <w:p w14:paraId="273FF29A" w14:textId="77777777" w:rsidR="00212C79" w:rsidRDefault="00212C79" w:rsidP="00212C79">
      <w:pPr>
        <w:jc w:val="both"/>
        <w:rPr>
          <w:rFonts w:asciiTheme="minorHAnsi" w:hAnsiTheme="minorHAnsi" w:cstheme="minorHAnsi"/>
          <w:sz w:val="22"/>
          <w:szCs w:val="22"/>
        </w:rPr>
      </w:pPr>
      <w:r>
        <w:rPr>
          <w:rFonts w:asciiTheme="minorHAnsi" w:hAnsiTheme="minorHAnsi" w:cstheme="minorHAnsi"/>
          <w:sz w:val="22"/>
          <w:szCs w:val="22"/>
        </w:rPr>
        <w:t>Sub-component 2.3 is comprised of four activities:</w:t>
      </w:r>
    </w:p>
    <w:p w14:paraId="5B4AC2A8" w14:textId="77777777" w:rsidR="00212C79" w:rsidRDefault="00212C79" w:rsidP="00212C79">
      <w:pPr>
        <w:jc w:val="both"/>
        <w:rPr>
          <w:rFonts w:asciiTheme="minorHAnsi" w:hAnsiTheme="minorHAnsi" w:cstheme="minorHAnsi"/>
          <w:sz w:val="22"/>
          <w:szCs w:val="22"/>
        </w:rPr>
      </w:pPr>
    </w:p>
    <w:p w14:paraId="5E1A872A" w14:textId="77777777" w:rsidR="00212C79" w:rsidRDefault="00212C79" w:rsidP="00212C79">
      <w:pPr>
        <w:numPr>
          <w:ilvl w:val="0"/>
          <w:numId w:val="3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2.3.1: Organize regional communications training workshops, events and webinars on project and data storytelling engaging both projects and journalists</w:t>
      </w:r>
      <w:sdt>
        <w:sdtPr>
          <w:rPr>
            <w:rFonts w:asciiTheme="minorHAnsi" w:hAnsiTheme="minorHAnsi" w:cstheme="minorHAnsi"/>
          </w:rPr>
          <w:tag w:val="goog_rdk_708"/>
          <w:id w:val="1767809849"/>
        </w:sdtPr>
        <w:sdtEndPr/>
        <w:sdtContent>
          <w:r>
            <w:rPr>
              <w:rFonts w:asciiTheme="minorHAnsi" w:hAnsiTheme="minorHAnsi" w:cstheme="minorHAnsi"/>
              <w:color w:val="000000"/>
              <w:sz w:val="22"/>
              <w:szCs w:val="22"/>
            </w:rPr>
            <w:t>;</w:t>
          </w:r>
        </w:sdtContent>
      </w:sdt>
    </w:p>
    <w:p w14:paraId="3AC031D2" w14:textId="77777777" w:rsidR="00212C79" w:rsidRDefault="00212C79" w:rsidP="00212C79">
      <w:pPr>
        <w:numPr>
          <w:ilvl w:val="0"/>
          <w:numId w:val="3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2.3.2: Establish a roster of communication specialists, environmental journalists and media networks</w:t>
      </w:r>
      <w:sdt>
        <w:sdtPr>
          <w:rPr>
            <w:rFonts w:asciiTheme="minorHAnsi" w:hAnsiTheme="minorHAnsi" w:cstheme="minorHAnsi"/>
          </w:rPr>
          <w:tag w:val="goog_rdk_709"/>
          <w:id w:val="673925208"/>
        </w:sdtPr>
        <w:sdtEndPr/>
        <w:sdtContent>
          <w:r>
            <w:rPr>
              <w:rFonts w:asciiTheme="minorHAnsi" w:hAnsiTheme="minorHAnsi" w:cstheme="minorHAnsi"/>
              <w:color w:val="000000"/>
              <w:sz w:val="22"/>
              <w:szCs w:val="22"/>
            </w:rPr>
            <w:t>;</w:t>
          </w:r>
        </w:sdtContent>
      </w:sdt>
    </w:p>
    <w:p w14:paraId="7A441DC7" w14:textId="77777777" w:rsidR="00212C79" w:rsidRDefault="00212C79" w:rsidP="00212C79">
      <w:pPr>
        <w:numPr>
          <w:ilvl w:val="0"/>
          <w:numId w:val="3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2.3.3: Provide access to references (videos, links, etc.) on communication best practices and tools</w:t>
      </w:r>
      <w:sdt>
        <w:sdtPr>
          <w:rPr>
            <w:rFonts w:asciiTheme="minorHAnsi" w:hAnsiTheme="minorHAnsi" w:cstheme="minorHAnsi"/>
          </w:rPr>
          <w:tag w:val="goog_rdk_710"/>
          <w:id w:val="-1399202019"/>
        </w:sdtPr>
        <w:sdtEndPr/>
        <w:sdtContent>
          <w:r>
            <w:rPr>
              <w:rFonts w:asciiTheme="minorHAnsi" w:hAnsiTheme="minorHAnsi" w:cstheme="minorHAnsi"/>
              <w:color w:val="000000"/>
              <w:sz w:val="22"/>
              <w:szCs w:val="22"/>
            </w:rPr>
            <w:t>; and</w:t>
          </w:r>
        </w:sdtContent>
      </w:sdt>
      <w:r>
        <w:rPr>
          <w:rFonts w:asciiTheme="minorHAnsi" w:hAnsiTheme="minorHAnsi" w:cstheme="minorHAnsi"/>
          <w:color w:val="000000"/>
          <w:sz w:val="22"/>
          <w:szCs w:val="22"/>
        </w:rPr>
        <w:t xml:space="preserve"> </w:t>
      </w:r>
    </w:p>
    <w:p w14:paraId="223748FD" w14:textId="77777777" w:rsidR="00212C79" w:rsidRDefault="00212C79" w:rsidP="00212C79">
      <w:pPr>
        <w:numPr>
          <w:ilvl w:val="0"/>
          <w:numId w:val="3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2.3.4: Support the production of publications (print, online) drawing upon the GEF IW portfolio of work and experience in transboundary water systems and their results, and convey key messages and findings</w:t>
      </w:r>
      <w:sdt>
        <w:sdtPr>
          <w:rPr>
            <w:rFonts w:asciiTheme="minorHAnsi" w:hAnsiTheme="minorHAnsi" w:cstheme="minorHAnsi"/>
          </w:rPr>
          <w:tag w:val="goog_rdk_711"/>
          <w:id w:val="-745716916"/>
        </w:sdtPr>
        <w:sdtEndPr/>
        <w:sdtContent>
          <w:r>
            <w:rPr>
              <w:rFonts w:asciiTheme="minorHAnsi" w:hAnsiTheme="minorHAnsi" w:cstheme="minorHAnsi"/>
              <w:color w:val="000000"/>
              <w:sz w:val="22"/>
              <w:szCs w:val="22"/>
            </w:rPr>
            <w:t>.</w:t>
          </w:r>
        </w:sdtContent>
      </w:sdt>
    </w:p>
    <w:p w14:paraId="6BECBA24" w14:textId="77777777" w:rsidR="00212C79" w:rsidRPr="00212C79" w:rsidRDefault="00212C79" w:rsidP="00212C79"/>
    <w:p w14:paraId="7E409551" w14:textId="18CADAF4" w:rsidR="00212C79"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2.3.1</w:t>
      </w:r>
      <w:r>
        <w:rPr>
          <w:rFonts w:asciiTheme="minorHAnsi" w:hAnsiTheme="minorHAnsi" w:cstheme="minorHAnsi"/>
          <w:b/>
          <w:bCs/>
          <w:color w:val="000000" w:themeColor="text1"/>
          <w:sz w:val="22"/>
          <w:szCs w:val="22"/>
        </w:rPr>
        <w:t xml:space="preserve">: </w:t>
      </w:r>
      <w:r w:rsidRPr="00F56ED1">
        <w:rPr>
          <w:rFonts w:asciiTheme="minorHAnsi" w:hAnsiTheme="minorHAnsi" w:cstheme="minorHAnsi"/>
          <w:b/>
          <w:bCs/>
          <w:color w:val="000000" w:themeColor="text1"/>
          <w:sz w:val="22"/>
          <w:szCs w:val="22"/>
        </w:rPr>
        <w:t>Organize regional communications training workshops, events and webinars on project and data storytelling engaging both projects and journalists</w:t>
      </w:r>
    </w:p>
    <w:sdt>
      <w:sdtPr>
        <w:rPr>
          <w:rFonts w:asciiTheme="minorHAnsi" w:hAnsiTheme="minorHAnsi" w:cstheme="minorHAnsi"/>
        </w:rPr>
        <w:tag w:val="goog_rdk_714"/>
        <w:id w:val="272910546"/>
      </w:sdtPr>
      <w:sdtEndPr/>
      <w:sdtContent>
        <w:p w14:paraId="32ECD2BC" w14:textId="77777777" w:rsidR="00F56ED1" w:rsidRDefault="00F57A55" w:rsidP="00F56ED1">
          <w:pPr>
            <w:jc w:val="both"/>
            <w:rPr>
              <w:rFonts w:asciiTheme="minorHAnsi" w:hAnsiTheme="minorHAnsi" w:cstheme="minorHAnsi"/>
              <w:color w:val="000000"/>
              <w:sz w:val="22"/>
              <w:szCs w:val="22"/>
            </w:rPr>
          </w:pPr>
          <w:sdt>
            <w:sdtPr>
              <w:rPr>
                <w:rFonts w:asciiTheme="minorHAnsi" w:hAnsiTheme="minorHAnsi" w:cstheme="minorHAnsi"/>
              </w:rPr>
              <w:tag w:val="goog_rdk_713"/>
              <w:id w:val="501709682"/>
            </w:sdtPr>
            <w:sdtEndPr/>
            <w:sdtContent>
              <w:r w:rsidR="00F56ED1">
                <w:rPr>
                  <w:rFonts w:asciiTheme="minorHAnsi" w:hAnsiTheme="minorHAnsi" w:cstheme="minorHAnsi"/>
                  <w:color w:val="000000"/>
                  <w:sz w:val="22"/>
                  <w:szCs w:val="22"/>
                </w:rPr>
                <w:t>Two regional workshops and four webinars will be organized for project staff interested in doing communication works and communication specialists within the GEF IW portfolio, as well as journalists and media practitioners with focus skills upgrading in using the latest innovations in reporting and communications, as well as designing messages and crafting catchy headlines and stories.  Both the project participants and media practitioners will benefit from the workshops and events through an active exchange of knowledge and experiences. Additionally, IW:LEARN will embed hands-on exercises in producing visual narrative outputs through tools such as Exposure, Adobe Sparks, Story Maps, and others in the workshops.</w:t>
              </w:r>
            </w:sdtContent>
          </w:sdt>
        </w:p>
      </w:sdtContent>
    </w:sdt>
    <w:sdt>
      <w:sdtPr>
        <w:rPr>
          <w:rFonts w:asciiTheme="minorHAnsi" w:hAnsiTheme="minorHAnsi" w:cstheme="minorHAnsi"/>
        </w:rPr>
        <w:tag w:val="goog_rdk_717"/>
        <w:id w:val="1113711123"/>
      </w:sdtPr>
      <w:sdtEndPr/>
      <w:sdtContent>
        <w:p w14:paraId="425D56BB" w14:textId="77777777" w:rsidR="00F56ED1" w:rsidRDefault="00F57A55" w:rsidP="00F56ED1">
          <w:pPr>
            <w:jc w:val="both"/>
            <w:rPr>
              <w:rFonts w:asciiTheme="minorHAnsi" w:hAnsiTheme="minorHAnsi" w:cstheme="minorHAnsi"/>
              <w:sz w:val="22"/>
              <w:szCs w:val="22"/>
            </w:rPr>
          </w:pPr>
          <w:sdt>
            <w:sdtPr>
              <w:rPr>
                <w:rFonts w:asciiTheme="minorHAnsi" w:hAnsiTheme="minorHAnsi" w:cstheme="minorHAnsi"/>
              </w:rPr>
              <w:tag w:val="goog_rdk_716"/>
              <w:id w:val="-490096860"/>
              <w:showingPlcHdr/>
            </w:sdtPr>
            <w:sdtEndPr/>
            <w:sdtContent>
              <w:r w:rsidR="00F56ED1">
                <w:rPr>
                  <w:rFonts w:asciiTheme="minorHAnsi" w:hAnsiTheme="minorHAnsi" w:cstheme="minorHAnsi"/>
                </w:rPr>
                <w:t xml:space="preserve">     </w:t>
              </w:r>
            </w:sdtContent>
          </w:sdt>
        </w:p>
      </w:sdtContent>
    </w:sdt>
    <w:p w14:paraId="11D51502" w14:textId="77777777" w:rsidR="00F56ED1" w:rsidRDefault="00F56ED1" w:rsidP="00F56ED1">
      <w:pPr>
        <w:jc w:val="both"/>
        <w:rPr>
          <w:rFonts w:asciiTheme="minorHAnsi" w:hAnsiTheme="minorHAnsi" w:cstheme="minorHAnsi"/>
          <w:color w:val="0000FF"/>
          <w:sz w:val="22"/>
          <w:szCs w:val="22"/>
        </w:rPr>
      </w:pPr>
      <w:r>
        <w:rPr>
          <w:rFonts w:asciiTheme="minorHAnsi" w:hAnsiTheme="minorHAnsi" w:cstheme="minorHAnsi"/>
          <w:sz w:val="22"/>
          <w:szCs w:val="22"/>
        </w:rPr>
        <w:t xml:space="preserve">The PCU will jointly work with the communication experts in ICPDR and GRID </w:t>
      </w:r>
      <w:proofErr w:type="spellStart"/>
      <w:r>
        <w:rPr>
          <w:rFonts w:asciiTheme="minorHAnsi" w:hAnsiTheme="minorHAnsi" w:cstheme="minorHAnsi"/>
          <w:sz w:val="22"/>
          <w:szCs w:val="22"/>
        </w:rPr>
        <w:t>Arendal</w:t>
      </w:r>
      <w:proofErr w:type="spellEnd"/>
      <w:r>
        <w:rPr>
          <w:rFonts w:asciiTheme="minorHAnsi" w:hAnsiTheme="minorHAnsi" w:cstheme="minorHAnsi"/>
          <w:sz w:val="22"/>
          <w:szCs w:val="22"/>
        </w:rPr>
        <w:t xml:space="preserve"> in identifying topics and framework for each workshop and webinar. The partners will take the lead in outlining criteria for screening journalists and communications experts from outside the GEF IW portfolio and in finalizing a list of participants, as well as in organizing venue, speakers and related arrangements for sponsored participants</w:t>
      </w:r>
      <w:r>
        <w:rPr>
          <w:rFonts w:asciiTheme="minorHAnsi" w:hAnsiTheme="minorHAnsi" w:cstheme="minorHAnsi"/>
          <w:color w:val="0000FF"/>
          <w:sz w:val="22"/>
          <w:szCs w:val="22"/>
        </w:rPr>
        <w:t xml:space="preserve"> </w:t>
      </w:r>
      <w:r>
        <w:rPr>
          <w:rFonts w:asciiTheme="minorHAnsi" w:hAnsiTheme="minorHAnsi" w:cstheme="minorHAnsi"/>
          <w:color w:val="000000"/>
          <w:sz w:val="22"/>
          <w:szCs w:val="22"/>
        </w:rPr>
        <w:t xml:space="preserve">(in case of face-to-face workshop). </w:t>
      </w:r>
    </w:p>
    <w:p w14:paraId="35CD1C7E" w14:textId="7EEAD8BD" w:rsidR="00F56ED1" w:rsidRDefault="00F56ED1" w:rsidP="00F56ED1"/>
    <w:p w14:paraId="1289D92D" w14:textId="77777777" w:rsidR="00F56ED1" w:rsidRPr="00F56ED1" w:rsidRDefault="00F56ED1" w:rsidP="00F56ED1"/>
    <w:p w14:paraId="4D5D5968" w14:textId="314F2A19"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lastRenderedPageBreak/>
        <w:t>Activity 2.3.2</w:t>
      </w:r>
      <w:r>
        <w:rPr>
          <w:rFonts w:asciiTheme="minorHAnsi" w:hAnsiTheme="minorHAnsi" w:cstheme="minorHAnsi"/>
          <w:b/>
          <w:bCs/>
          <w:color w:val="000000" w:themeColor="text1"/>
          <w:sz w:val="22"/>
          <w:szCs w:val="22"/>
        </w:rPr>
        <w:t xml:space="preserve">: </w:t>
      </w:r>
      <w:r w:rsidRPr="00F56ED1">
        <w:rPr>
          <w:rFonts w:asciiTheme="minorHAnsi" w:hAnsiTheme="minorHAnsi" w:cstheme="minorHAnsi"/>
          <w:b/>
          <w:bCs/>
          <w:color w:val="000000" w:themeColor="text1"/>
          <w:sz w:val="22"/>
          <w:szCs w:val="22"/>
        </w:rPr>
        <w:t>Establish a roster of communication specialists, environmental journalists and media networks</w:t>
      </w:r>
    </w:p>
    <w:p w14:paraId="7A03823F" w14:textId="77777777" w:rsidR="00F56ED1" w:rsidRDefault="00F56ED1" w:rsidP="00F56ED1">
      <w:pPr>
        <w:jc w:val="both"/>
        <w:rPr>
          <w:rFonts w:asciiTheme="minorHAnsi" w:hAnsiTheme="minorHAnsi" w:cstheme="minorHAnsi"/>
          <w:b/>
          <w:sz w:val="22"/>
          <w:szCs w:val="22"/>
        </w:rPr>
      </w:pPr>
      <w:r>
        <w:rPr>
          <w:rFonts w:asciiTheme="minorHAnsi" w:hAnsiTheme="minorHAnsi" w:cstheme="minorHAnsi"/>
          <w:sz w:val="22"/>
          <w:szCs w:val="22"/>
        </w:rPr>
        <w:t xml:space="preserve">The participants of the events in 2.3.1 will be included in the roster of communication specialists, journalists and media </w:t>
      </w:r>
      <w:sdt>
        <w:sdtPr>
          <w:rPr>
            <w:rFonts w:asciiTheme="minorHAnsi" w:hAnsiTheme="minorHAnsi" w:cstheme="minorHAnsi"/>
          </w:rPr>
          <w:tag w:val="goog_rdk_719"/>
          <w:id w:val="1101767190"/>
        </w:sdtPr>
        <w:sdtEndPr/>
        <w:sdtContent>
          <w:r>
            <w:rPr>
              <w:rFonts w:asciiTheme="minorHAnsi" w:hAnsiTheme="minorHAnsi" w:cstheme="minorHAnsi"/>
              <w:sz w:val="22"/>
              <w:szCs w:val="22"/>
            </w:rPr>
            <w:t xml:space="preserve">outlet, </w:t>
          </w:r>
        </w:sdtContent>
      </w:sdt>
      <w:r>
        <w:rPr>
          <w:rFonts w:asciiTheme="minorHAnsi" w:hAnsiTheme="minorHAnsi" w:cstheme="minorHAnsi"/>
          <w:sz w:val="22"/>
          <w:szCs w:val="22"/>
        </w:rPr>
        <w:t xml:space="preserve">which will be established to serve as main resource for the portfolio in </w:t>
      </w:r>
      <w:sdt>
        <w:sdtPr>
          <w:rPr>
            <w:rFonts w:asciiTheme="minorHAnsi" w:hAnsiTheme="minorHAnsi" w:cstheme="minorHAnsi"/>
          </w:rPr>
          <w:tag w:val="goog_rdk_720"/>
          <w:id w:val="-1887327755"/>
          <w:showingPlcHdr/>
        </w:sdtPr>
        <w:sdtEndPr/>
        <w:sdtContent>
          <w:r>
            <w:rPr>
              <w:rFonts w:asciiTheme="minorHAnsi" w:hAnsiTheme="minorHAnsi" w:cstheme="minorHAnsi"/>
            </w:rPr>
            <w:t xml:space="preserve">     </w:t>
          </w:r>
        </w:sdtContent>
      </w:sdt>
      <w:sdt>
        <w:sdtPr>
          <w:rPr>
            <w:rFonts w:asciiTheme="minorHAnsi" w:hAnsiTheme="minorHAnsi" w:cstheme="minorHAnsi"/>
          </w:rPr>
          <w:tag w:val="goog_rdk_721"/>
          <w:id w:val="1809983785"/>
        </w:sdtPr>
        <w:sdtEndPr/>
        <w:sdtContent>
          <w:r>
            <w:rPr>
              <w:rFonts w:asciiTheme="minorHAnsi" w:hAnsiTheme="minorHAnsi" w:cstheme="minorHAnsi"/>
              <w:sz w:val="22"/>
              <w:szCs w:val="22"/>
            </w:rPr>
            <w:t>channeling</w:t>
          </w:r>
        </w:sdtContent>
      </w:sdt>
      <w:r>
        <w:rPr>
          <w:rFonts w:asciiTheme="minorHAnsi" w:hAnsiTheme="minorHAnsi" w:cstheme="minorHAnsi"/>
          <w:sz w:val="22"/>
          <w:szCs w:val="22"/>
        </w:rPr>
        <w:t xml:space="preserve"> press releases and also </w:t>
      </w:r>
      <w:sdt>
        <w:sdtPr>
          <w:rPr>
            <w:rFonts w:asciiTheme="minorHAnsi" w:hAnsiTheme="minorHAnsi" w:cstheme="minorHAnsi"/>
          </w:rPr>
          <w:tag w:val="goog_rdk_723"/>
          <w:id w:val="1956509122"/>
        </w:sdtPr>
        <w:sdtEndPr/>
        <w:sdtContent>
          <w:r>
            <w:rPr>
              <w:rFonts w:asciiTheme="minorHAnsi" w:hAnsiTheme="minorHAnsi" w:cstheme="minorHAnsi"/>
              <w:sz w:val="22"/>
              <w:szCs w:val="22"/>
            </w:rPr>
            <w:t xml:space="preserve">in </w:t>
          </w:r>
        </w:sdtContent>
      </w:sdt>
      <w:r>
        <w:rPr>
          <w:rFonts w:asciiTheme="minorHAnsi" w:hAnsiTheme="minorHAnsi" w:cstheme="minorHAnsi"/>
          <w:sz w:val="22"/>
          <w:szCs w:val="22"/>
        </w:rPr>
        <w:t xml:space="preserve">finding communication experts to fill in a project need. Opt-in to the roster will be accepted based on a set of criteria prepared by the partners. </w:t>
      </w:r>
    </w:p>
    <w:p w14:paraId="73A895F5" w14:textId="77777777" w:rsidR="00F56ED1" w:rsidRDefault="00F56ED1" w:rsidP="00F56ED1">
      <w:pPr>
        <w:jc w:val="both"/>
        <w:rPr>
          <w:rFonts w:asciiTheme="minorHAnsi" w:hAnsiTheme="minorHAnsi" w:cstheme="minorHAnsi"/>
          <w:sz w:val="22"/>
          <w:szCs w:val="22"/>
        </w:rPr>
      </w:pPr>
    </w:p>
    <w:p w14:paraId="450ECD0F" w14:textId="6BC31275" w:rsidR="00F56ED1" w:rsidRPr="00F439E2" w:rsidRDefault="00F56ED1" w:rsidP="00F439E2">
      <w:pPr>
        <w:jc w:val="both"/>
        <w:rPr>
          <w:rFonts w:asciiTheme="minorHAnsi" w:hAnsiTheme="minorHAnsi" w:cstheme="minorHAnsi"/>
          <w:sz w:val="22"/>
          <w:szCs w:val="22"/>
        </w:rPr>
      </w:pPr>
      <w:r>
        <w:rPr>
          <w:rFonts w:asciiTheme="minorHAnsi" w:hAnsiTheme="minorHAnsi" w:cstheme="minorHAnsi"/>
          <w:sz w:val="22"/>
          <w:szCs w:val="22"/>
        </w:rPr>
        <w:t>The role of the PCU is to provide overall direction in the establishment of the roster and in the long run, to maintain and keep information up-to-date in a dedicated Project Communications webpage. The partners will be responsible in nominating journalists and media firms into the roster. They are also expected to recommend opportunities for the members of the roster to develop their knowledge and skills, and to support relevant portfolio activities such as in helping develop project strategies on how best to communicate scientific issues to the public.</w:t>
      </w:r>
    </w:p>
    <w:p w14:paraId="3810B141" w14:textId="77777777" w:rsidR="00F56ED1" w:rsidRPr="00F56ED1" w:rsidRDefault="00F56ED1" w:rsidP="00F56ED1"/>
    <w:p w14:paraId="3248D60A" w14:textId="634542E9"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2.3.3</w:t>
      </w:r>
      <w:r>
        <w:rPr>
          <w:rFonts w:asciiTheme="minorHAnsi" w:hAnsiTheme="minorHAnsi" w:cstheme="minorHAnsi"/>
          <w:b/>
          <w:bCs/>
          <w:color w:val="000000" w:themeColor="text1"/>
          <w:sz w:val="22"/>
          <w:szCs w:val="22"/>
        </w:rPr>
        <w:t xml:space="preserve">: </w:t>
      </w:r>
      <w:r w:rsidRPr="00F56ED1">
        <w:rPr>
          <w:rFonts w:asciiTheme="minorHAnsi" w:hAnsiTheme="minorHAnsi" w:cstheme="minorHAnsi"/>
          <w:b/>
          <w:bCs/>
          <w:color w:val="000000" w:themeColor="text1"/>
          <w:sz w:val="22"/>
          <w:szCs w:val="22"/>
        </w:rPr>
        <w:t>Provide access to references (videos, links, etc.) on communication best practices and tools</w:t>
      </w:r>
    </w:p>
    <w:p w14:paraId="26234E95"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As a new venture of IW:LEARN, this activity will sustain the outputs of Activity 2.3.1 for further use within and outside the portfolio by those who are already reporting about the environment, as well as those who are interested to make the shift.  Useful references on key communication, publishing, innovative tools and other formats will be made available in IWLEARN.NET for practitioners and anyone keen in environmental communications and journalism to avail for free. These reference materials can also help young people who are studying community development and natural/environmental science. </w:t>
      </w:r>
    </w:p>
    <w:p w14:paraId="338A66F9" w14:textId="77777777" w:rsidR="00F56ED1" w:rsidRDefault="00F56ED1" w:rsidP="00F56ED1">
      <w:pPr>
        <w:jc w:val="both"/>
        <w:rPr>
          <w:rFonts w:asciiTheme="minorHAnsi" w:hAnsiTheme="minorHAnsi" w:cstheme="minorHAnsi"/>
          <w:sz w:val="22"/>
          <w:szCs w:val="22"/>
        </w:rPr>
      </w:pPr>
    </w:p>
    <w:p w14:paraId="7324D110" w14:textId="35A806DE" w:rsidR="00F56ED1" w:rsidRPr="00F439E2" w:rsidRDefault="00F56ED1" w:rsidP="00F439E2">
      <w:pPr>
        <w:jc w:val="both"/>
        <w:rPr>
          <w:rFonts w:asciiTheme="minorHAnsi" w:hAnsiTheme="minorHAnsi" w:cstheme="minorHAnsi"/>
          <w:b/>
          <w:sz w:val="22"/>
          <w:szCs w:val="22"/>
        </w:rPr>
      </w:pPr>
      <w:r>
        <w:rPr>
          <w:rFonts w:asciiTheme="minorHAnsi" w:hAnsiTheme="minorHAnsi" w:cstheme="minorHAnsi"/>
          <w:sz w:val="22"/>
          <w:szCs w:val="22"/>
        </w:rPr>
        <w:t>The PCU will be responsible for creating and maintaining the Project Communications Hub and in uploading reference materials including outputs of workshops and Webinars, links to other websites.</w:t>
      </w:r>
    </w:p>
    <w:p w14:paraId="057B1CCF" w14:textId="77777777" w:rsidR="00F56ED1" w:rsidRPr="00F56ED1" w:rsidRDefault="00F56ED1" w:rsidP="00F56ED1"/>
    <w:p w14:paraId="5F0CEFB0" w14:textId="66CF0BDC"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2.3.4</w:t>
      </w:r>
      <w:r>
        <w:rPr>
          <w:rFonts w:asciiTheme="minorHAnsi" w:hAnsiTheme="minorHAnsi" w:cstheme="minorHAnsi"/>
          <w:b/>
          <w:bCs/>
          <w:color w:val="000000" w:themeColor="text1"/>
          <w:sz w:val="22"/>
          <w:szCs w:val="22"/>
        </w:rPr>
        <w:t xml:space="preserve">: </w:t>
      </w:r>
      <w:r w:rsidRPr="00F56ED1">
        <w:rPr>
          <w:rFonts w:asciiTheme="minorHAnsi" w:hAnsiTheme="minorHAnsi" w:cstheme="minorHAnsi"/>
          <w:b/>
          <w:bCs/>
          <w:color w:val="000000" w:themeColor="text1"/>
          <w:sz w:val="22"/>
          <w:szCs w:val="22"/>
        </w:rPr>
        <w:t>Support the production of publications (print, online) drawing upon the GEF IW portfolio of work and experience in transboundary water systems and their results, and convey key messages and findings</w:t>
      </w:r>
    </w:p>
    <w:p w14:paraId="2B42367C"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IW:LEARN will support the production of publications that delve into the work and experience of the GEF IW portfolio and outputs. This would be in formats such as summaries, factsheets, brochures for policy- and decision-makers.  This activity will fund and oversee the production of at least one online or print publication headlining portfolio-wide experience and achievements. At least four summaries, factsheets or brochures will be developed and published in a format suited for policy- and decision-makers specifically explicating and promoting new IW:LEARN themes, such as Nexus investments as a way to reinforce SAPs, or sustainable financing as a mean to address SAP investment priorities.</w:t>
      </w:r>
    </w:p>
    <w:p w14:paraId="26310864" w14:textId="77777777" w:rsidR="00F56ED1" w:rsidRDefault="00F56ED1" w:rsidP="00F56ED1">
      <w:pPr>
        <w:jc w:val="both"/>
        <w:rPr>
          <w:rFonts w:asciiTheme="minorHAnsi" w:hAnsiTheme="minorHAnsi" w:cstheme="minorHAnsi"/>
          <w:sz w:val="22"/>
          <w:szCs w:val="22"/>
        </w:rPr>
      </w:pPr>
    </w:p>
    <w:p w14:paraId="3006D269" w14:textId="6B6A8D8B" w:rsidR="00F56ED1" w:rsidRPr="00F439E2" w:rsidRDefault="00F56ED1" w:rsidP="00F439E2">
      <w:pPr>
        <w:jc w:val="both"/>
        <w:rPr>
          <w:rFonts w:asciiTheme="minorHAnsi" w:hAnsiTheme="minorHAnsi" w:cstheme="minorHAnsi"/>
          <w:b/>
          <w:sz w:val="22"/>
          <w:szCs w:val="22"/>
        </w:rPr>
      </w:pPr>
      <w:r>
        <w:rPr>
          <w:rFonts w:asciiTheme="minorHAnsi" w:hAnsiTheme="minorHAnsi" w:cstheme="minorHAnsi"/>
          <w:sz w:val="22"/>
          <w:szCs w:val="22"/>
        </w:rPr>
        <w:t>The PCU will oversee the production of the publications and supervise contractors/publishers, coordinate with experts and partners on content preparation, from start to finish to ensure high quality output. Partners involved in the specific thematic activity featured in the publication will contribute to the preparation and finalization of content.</w:t>
      </w:r>
      <w:r>
        <w:rPr>
          <w:rFonts w:asciiTheme="minorHAnsi" w:hAnsiTheme="minorHAnsi" w:cstheme="minorHAnsi"/>
          <w:b/>
          <w:sz w:val="22"/>
          <w:szCs w:val="22"/>
        </w:rPr>
        <w:t xml:space="preserve"> </w:t>
      </w:r>
    </w:p>
    <w:p w14:paraId="2B8DE8C6" w14:textId="77777777" w:rsidR="00F56ED1" w:rsidRPr="00F56ED1" w:rsidRDefault="00F56ED1" w:rsidP="00F56ED1"/>
    <w:p w14:paraId="7E27B125" w14:textId="02B16B35" w:rsidR="00F56ED1" w:rsidRDefault="00F56ED1" w:rsidP="00F56ED1">
      <w:pPr>
        <w:pStyle w:val="Heading3"/>
        <w:rPr>
          <w:rFonts w:asciiTheme="minorHAnsi" w:hAnsiTheme="minorHAnsi" w:cstheme="minorHAnsi"/>
          <w:b/>
          <w:bCs/>
          <w:color w:val="000000" w:themeColor="text1"/>
          <w:u w:val="single"/>
        </w:rPr>
      </w:pPr>
      <w:bookmarkStart w:id="17" w:name="_Toc115094377"/>
      <w:r w:rsidRPr="0032322D">
        <w:rPr>
          <w:rFonts w:asciiTheme="minorHAnsi" w:hAnsiTheme="minorHAnsi" w:cstheme="minorHAnsi"/>
          <w:b/>
          <w:bCs/>
          <w:color w:val="000000" w:themeColor="text1"/>
          <w:u w:val="single"/>
        </w:rPr>
        <w:t xml:space="preserve">Component </w:t>
      </w:r>
      <w:r>
        <w:rPr>
          <w:rFonts w:asciiTheme="minorHAnsi" w:hAnsiTheme="minorHAnsi" w:cstheme="minorHAnsi"/>
          <w:b/>
          <w:bCs/>
          <w:color w:val="000000" w:themeColor="text1"/>
          <w:u w:val="single"/>
        </w:rPr>
        <w:t>3</w:t>
      </w:r>
      <w:r w:rsidR="00F439E2">
        <w:rPr>
          <w:rFonts w:asciiTheme="minorHAnsi" w:hAnsiTheme="minorHAnsi" w:cstheme="minorHAnsi"/>
          <w:b/>
          <w:bCs/>
          <w:color w:val="000000" w:themeColor="text1"/>
          <w:u w:val="single"/>
        </w:rPr>
        <w:t xml:space="preserve">: </w:t>
      </w:r>
      <w:r w:rsidR="00F439E2" w:rsidRPr="00F439E2">
        <w:rPr>
          <w:rFonts w:asciiTheme="minorHAnsi" w:hAnsiTheme="minorHAnsi" w:cstheme="minorHAnsi"/>
          <w:b/>
          <w:bCs/>
          <w:color w:val="000000" w:themeColor="text1"/>
          <w:u w:val="single"/>
        </w:rPr>
        <w:t>Deliver Intra and Inter-Regional Knowledge Management Across Focal Areas in Small Island Developing States to Improve Portfolio Performance</w:t>
      </w:r>
      <w:bookmarkEnd w:id="17"/>
    </w:p>
    <w:p w14:paraId="05863E59" w14:textId="77777777" w:rsidR="00F56ED1" w:rsidRDefault="00F56ED1" w:rsidP="00F56ED1">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Small Island Developing States (SIDS) are a recognized classification of countries based on shared socio-economic development constraints, including small population, limited resources, remoteness, susceptibility to natural disasters, vulnerability to external shocks, and excessive dependence on international trade. The growth and development of SIDS is also often hindered by high transportation and communication costs, disproportionately expensive public administration, and infrastructure due </w:t>
      </w:r>
      <w:r>
        <w:rPr>
          <w:rFonts w:asciiTheme="minorHAnsi" w:hAnsiTheme="minorHAnsi" w:cstheme="minorHAnsi"/>
          <w:color w:val="000000"/>
          <w:sz w:val="22"/>
          <w:szCs w:val="22"/>
        </w:rPr>
        <w:lastRenderedPageBreak/>
        <w:t>to their small size, and little to no opportunity to create economies of scale.</w:t>
      </w:r>
      <w:r>
        <w:rPr>
          <w:rFonts w:asciiTheme="minorHAnsi" w:hAnsiTheme="minorHAnsi" w:cstheme="minorHAnsi"/>
          <w:color w:val="000000"/>
          <w:sz w:val="22"/>
          <w:szCs w:val="22"/>
          <w:vertAlign w:val="superscript"/>
        </w:rPr>
        <w:footnoteReference w:id="5"/>
      </w:r>
      <w:r>
        <w:rPr>
          <w:rFonts w:asciiTheme="minorHAnsi" w:hAnsiTheme="minorHAnsi" w:cstheme="minorHAnsi"/>
          <w:color w:val="000000"/>
          <w:sz w:val="22"/>
          <w:szCs w:val="22"/>
        </w:rPr>
        <w:t xml:space="preserve"> These shared constraints often cut across the GEF focal areas, including several past SIDS focused investments including the GEF-5 Pacific Ridge to Reef Program (GEF ID# 5395) and the GEF-7 Implementing Sustainable Low and Non-Chemical Development in SIDS (ISLANDS) (GEF ID# 10185). The knowledge generate from past and current GEF SIDS investments are an important resource to inform achievement of national sustainable development goals, including the priorities of the Small Island Developing States Accelerated Modalities of Action (SAMOA Pathway). </w:t>
      </w:r>
    </w:p>
    <w:p w14:paraId="0A129761" w14:textId="77777777" w:rsidR="00F56ED1" w:rsidRDefault="00F56ED1" w:rsidP="00F56ED1">
      <w:pPr>
        <w:shd w:val="clear" w:color="auto" w:fill="FFFFFF"/>
        <w:jc w:val="both"/>
        <w:rPr>
          <w:rFonts w:asciiTheme="minorHAnsi" w:hAnsiTheme="minorHAnsi" w:cstheme="minorHAnsi"/>
          <w:color w:val="000000"/>
          <w:sz w:val="22"/>
          <w:szCs w:val="22"/>
        </w:rPr>
      </w:pPr>
    </w:p>
    <w:p w14:paraId="06461CD0" w14:textId="77777777" w:rsidR="00F56ED1" w:rsidRDefault="00F56ED1" w:rsidP="00F56ED1">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vision for Component 3 is to support GEF funded SIDS projects with a focus on the Pacific, Caribbean, and Atlantic and Indian Ocean regions to strengthen their impact at both the regional and inter-regional level. This component will enable primarily the GEF-funded SIDS projects, but also projects financed from other sources, to collectively learn from each other and gain exposure to knowledge and ingenuity within and between the regions linked to GEF objectives, especially including IW focal area objectives. To achieve this, it is imperative that GEF IW:LEARN builds on the IW portfolio’s suite of current solutions, finding things that have worked and expanding on them to combine the best understanding, ideas and expertise to generate collective knowledge in order to accelerate progress within SIDS GEF projects and their impact on their regions. Building on the active IW:LEARN community, Component 3 will further facilitate knowledge exchange across GEF focal areas to support SIDS. The activities within Component 3 have been designed to leverage existing ongoing global SIDS partnerships and initiatives to ensure complementarity and efficient implementation and results generation to support SIDS for long-term impact. </w:t>
      </w:r>
    </w:p>
    <w:p w14:paraId="4ACC105C" w14:textId="77777777" w:rsidR="00F56ED1" w:rsidRDefault="00F56ED1" w:rsidP="00F56ED1">
      <w:pPr>
        <w:jc w:val="both"/>
        <w:rPr>
          <w:rFonts w:asciiTheme="minorHAnsi" w:hAnsiTheme="minorHAnsi" w:cstheme="minorHAnsi"/>
          <w:sz w:val="22"/>
          <w:szCs w:val="22"/>
        </w:rPr>
      </w:pPr>
    </w:p>
    <w:p w14:paraId="119C6720" w14:textId="77777777" w:rsidR="00F56ED1" w:rsidRDefault="00F56ED1" w:rsidP="00F56ED1">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component is designed to leverage baseline programs from key SIDS stakeholders, including the UN-DESA SIDS Unit and UN Inter-Agency Consultative Group (IACG) on SIDS, UNDP SIDS Unit and their “Rising Up For SIDS” program, and specific SIDS targeted support from UNCTAD, UNESCO, and UNEP. </w:t>
      </w:r>
      <w:r>
        <w:rPr>
          <w:rFonts w:asciiTheme="minorHAnsi" w:hAnsiTheme="minorHAnsi" w:cstheme="minorHAnsi"/>
          <w:sz w:val="22"/>
          <w:szCs w:val="22"/>
        </w:rPr>
        <w:t xml:space="preserve">Opportunities to strengthen relationships with other key SIDS organizations will also be explored through this component, such as the Alliance of Small Island States (AOSIS). </w:t>
      </w:r>
      <w:r>
        <w:rPr>
          <w:rFonts w:asciiTheme="minorHAnsi" w:hAnsiTheme="minorHAnsi" w:cstheme="minorHAnsi"/>
          <w:color w:val="000000"/>
          <w:sz w:val="22"/>
          <w:szCs w:val="22"/>
        </w:rPr>
        <w:t xml:space="preserve">Collectively, this component baseline represents an intersection of targeted support to SIDS in national sustainable development priorities such as the SDG and </w:t>
      </w:r>
      <w:r>
        <w:rPr>
          <w:rFonts w:asciiTheme="minorHAnsi" w:hAnsiTheme="minorHAnsi" w:cstheme="minorHAnsi"/>
          <w:sz w:val="22"/>
          <w:szCs w:val="22"/>
        </w:rPr>
        <w:t>SAMOA Pathway</w:t>
      </w:r>
      <w:r>
        <w:rPr>
          <w:rFonts w:asciiTheme="minorHAnsi" w:hAnsiTheme="minorHAnsi" w:cstheme="minorHAnsi"/>
          <w:color w:val="000000"/>
          <w:sz w:val="22"/>
          <w:szCs w:val="22"/>
        </w:rPr>
        <w:t xml:space="preserve"> complemented with GEF support to strategically link the GEF and SIDS communities.   </w:t>
      </w:r>
    </w:p>
    <w:p w14:paraId="382CF7F7" w14:textId="77777777" w:rsidR="00F56ED1" w:rsidRDefault="00F56ED1" w:rsidP="00F56ED1">
      <w:pPr>
        <w:jc w:val="both"/>
        <w:rPr>
          <w:rFonts w:asciiTheme="minorHAnsi" w:hAnsiTheme="minorHAnsi" w:cstheme="minorHAnsi"/>
          <w:color w:val="000000"/>
          <w:sz w:val="22"/>
          <w:szCs w:val="22"/>
        </w:rPr>
      </w:pPr>
    </w:p>
    <w:p w14:paraId="30318131" w14:textId="77777777" w:rsidR="00F56ED1" w:rsidRDefault="00F56ED1" w:rsidP="00F56ED1">
      <w:pPr>
        <w:jc w:val="both"/>
        <w:rPr>
          <w:rFonts w:asciiTheme="minorHAnsi" w:hAnsiTheme="minorHAnsi" w:cstheme="minorHAnsi"/>
          <w:sz w:val="22"/>
          <w:szCs w:val="22"/>
        </w:rPr>
      </w:pPr>
      <w:r>
        <w:rPr>
          <w:rFonts w:asciiTheme="minorHAnsi" w:hAnsiTheme="minorHAnsi" w:cstheme="minorHAnsi"/>
          <w:color w:val="000000"/>
          <w:sz w:val="22"/>
          <w:szCs w:val="22"/>
        </w:rPr>
        <w:t>The Component 3 will, first, aim at supporting the collaboration among SIDS through regional and inter-regional twinning and dialogue activities. Second, it will support the existing dialogues and share IW portfolio freshwater and large marine ecosystem experience through GEF projects. Third, this component will cooperate with other GEF focal area projects of interest to SIDS, and strive to build partnerships with the applicable UNEP Regional Seas or other regional intergovernmental environment bodies as appropriate. And finally, it will seek synergies with the GEF7 Islands program’s knowledge management component.</w:t>
      </w:r>
    </w:p>
    <w:p w14:paraId="7636130F" w14:textId="77777777" w:rsidR="00F56ED1" w:rsidRDefault="00F56ED1" w:rsidP="00F56ED1">
      <w:pPr>
        <w:jc w:val="both"/>
        <w:rPr>
          <w:rFonts w:asciiTheme="minorHAnsi" w:hAnsiTheme="minorHAnsi" w:cstheme="minorHAnsi"/>
          <w:color w:val="000000"/>
          <w:sz w:val="22"/>
          <w:szCs w:val="22"/>
        </w:rPr>
      </w:pPr>
    </w:p>
    <w:p w14:paraId="1386139F"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The following sub-components are foreseen under Component 3:</w:t>
      </w:r>
    </w:p>
    <w:p w14:paraId="19AB8744" w14:textId="77777777" w:rsidR="00F56ED1" w:rsidRDefault="00F56ED1" w:rsidP="00F56ED1">
      <w:pPr>
        <w:jc w:val="both"/>
        <w:rPr>
          <w:rFonts w:asciiTheme="minorHAnsi" w:hAnsiTheme="minorHAnsi" w:cstheme="minorHAnsi"/>
          <w:b/>
          <w:sz w:val="22"/>
          <w:szCs w:val="22"/>
        </w:rPr>
      </w:pPr>
    </w:p>
    <w:p w14:paraId="647100A3" w14:textId="77777777" w:rsidR="00F56ED1" w:rsidRDefault="00F56ED1" w:rsidP="00F56ED1">
      <w:pPr>
        <w:numPr>
          <w:ilvl w:val="0"/>
          <w:numId w:val="40"/>
        </w:numPr>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Sub-component 3.1: </w:t>
      </w:r>
      <w:r>
        <w:rPr>
          <w:rFonts w:asciiTheme="minorHAnsi" w:hAnsiTheme="minorHAnsi" w:cstheme="minorHAnsi"/>
          <w:color w:val="000000"/>
          <w:sz w:val="22"/>
          <w:szCs w:val="22"/>
        </w:rPr>
        <w:t>Twinning and dialogue activities in support of regional collaboration among SIDS via cooperation among all focal area projects and participating countries</w:t>
      </w:r>
      <w:sdt>
        <w:sdtPr>
          <w:rPr>
            <w:rFonts w:asciiTheme="minorHAnsi" w:hAnsiTheme="minorHAnsi" w:cstheme="minorHAnsi"/>
          </w:rPr>
          <w:tag w:val="goog_rdk_724"/>
          <w:id w:val="-2119432558"/>
        </w:sdtPr>
        <w:sdtEndPr/>
        <w:sdtContent>
          <w:r>
            <w:rPr>
              <w:rFonts w:asciiTheme="minorHAnsi" w:hAnsiTheme="minorHAnsi" w:cstheme="minorHAnsi"/>
              <w:color w:val="000000"/>
              <w:sz w:val="22"/>
              <w:szCs w:val="22"/>
            </w:rPr>
            <w:t>;</w:t>
          </w:r>
        </w:sdtContent>
      </w:sdt>
    </w:p>
    <w:p w14:paraId="5E324B40" w14:textId="77777777" w:rsidR="00F56ED1" w:rsidRDefault="00F56ED1" w:rsidP="00F56ED1">
      <w:pPr>
        <w:numPr>
          <w:ilvl w:val="0"/>
          <w:numId w:val="40"/>
        </w:numPr>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Sub-component 3.2: </w:t>
      </w:r>
      <w:r>
        <w:rPr>
          <w:rFonts w:asciiTheme="minorHAnsi" w:hAnsiTheme="minorHAnsi" w:cstheme="minorHAnsi"/>
          <w:color w:val="000000"/>
          <w:sz w:val="22"/>
          <w:szCs w:val="22"/>
        </w:rPr>
        <w:t>Strengthened web portal and resource catalogue to facilitate information-sharing and learning across the SIDS project portfolio in support of the SAMOA Pathway areas and beyond</w:t>
      </w:r>
      <w:sdt>
        <w:sdtPr>
          <w:rPr>
            <w:rFonts w:asciiTheme="minorHAnsi" w:hAnsiTheme="minorHAnsi" w:cstheme="minorHAnsi"/>
          </w:rPr>
          <w:tag w:val="goog_rdk_725"/>
          <w:id w:val="1263180500"/>
        </w:sdtPr>
        <w:sdtEndPr/>
        <w:sdtContent>
          <w:r>
            <w:rPr>
              <w:rFonts w:asciiTheme="minorHAnsi" w:hAnsiTheme="minorHAnsi" w:cstheme="minorHAnsi"/>
              <w:color w:val="000000"/>
              <w:sz w:val="22"/>
              <w:szCs w:val="22"/>
            </w:rPr>
            <w:t>;</w:t>
          </w:r>
        </w:sdtContent>
      </w:sdt>
    </w:p>
    <w:p w14:paraId="4A7DAE84" w14:textId="77777777" w:rsidR="00F56ED1" w:rsidRDefault="00F56ED1" w:rsidP="00F56ED1">
      <w:pPr>
        <w:numPr>
          <w:ilvl w:val="0"/>
          <w:numId w:val="40"/>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Sub-component 3.3: </w:t>
      </w:r>
      <w:r>
        <w:rPr>
          <w:rFonts w:asciiTheme="minorHAnsi" w:hAnsiTheme="minorHAnsi" w:cstheme="minorHAnsi"/>
          <w:color w:val="000000"/>
          <w:sz w:val="22"/>
          <w:szCs w:val="22"/>
        </w:rPr>
        <w:t>Training courses and other capacity-strengthening guidance developed on cross-cutting topics of relevance to SIDS</w:t>
      </w:r>
      <w:sdt>
        <w:sdtPr>
          <w:rPr>
            <w:rFonts w:asciiTheme="minorHAnsi" w:hAnsiTheme="minorHAnsi" w:cstheme="minorHAnsi"/>
          </w:rPr>
          <w:tag w:val="goog_rdk_726"/>
          <w:id w:val="385528864"/>
        </w:sdtPr>
        <w:sdtEndPr/>
        <w:sdtContent>
          <w:r>
            <w:rPr>
              <w:rFonts w:asciiTheme="minorHAnsi" w:hAnsiTheme="minorHAnsi" w:cstheme="minorHAnsi"/>
              <w:color w:val="000000"/>
              <w:sz w:val="22"/>
              <w:szCs w:val="22"/>
            </w:rPr>
            <w:t>; and</w:t>
          </w:r>
        </w:sdtContent>
      </w:sdt>
    </w:p>
    <w:p w14:paraId="2D108CDA" w14:textId="1A35C03A" w:rsidR="00F56ED1" w:rsidRPr="00F439E2" w:rsidRDefault="00F56ED1" w:rsidP="00F439E2">
      <w:pPr>
        <w:numPr>
          <w:ilvl w:val="0"/>
          <w:numId w:val="40"/>
        </w:numPr>
        <w:jc w:val="both"/>
        <w:rPr>
          <w:rFonts w:asciiTheme="minorHAnsi" w:hAnsiTheme="minorHAnsi" w:cstheme="minorHAnsi"/>
          <w:color w:val="000000"/>
          <w:sz w:val="22"/>
          <w:szCs w:val="22"/>
        </w:rPr>
      </w:pPr>
      <w:r>
        <w:rPr>
          <w:rFonts w:asciiTheme="minorHAnsi" w:hAnsiTheme="minorHAnsi" w:cstheme="minorHAnsi"/>
          <w:b/>
          <w:color w:val="000000"/>
          <w:sz w:val="22"/>
          <w:szCs w:val="22"/>
        </w:rPr>
        <w:lastRenderedPageBreak/>
        <w:t xml:space="preserve">Sub-component 3.4: </w:t>
      </w:r>
      <w:r>
        <w:rPr>
          <w:rFonts w:asciiTheme="minorHAnsi" w:hAnsiTheme="minorHAnsi" w:cstheme="minorHAnsi"/>
          <w:color w:val="000000"/>
          <w:sz w:val="22"/>
          <w:szCs w:val="22"/>
        </w:rPr>
        <w:t>Intra and inter-regional training delivered in and among SIDS regions through regional partners</w:t>
      </w:r>
      <w:sdt>
        <w:sdtPr>
          <w:rPr>
            <w:rFonts w:asciiTheme="minorHAnsi" w:hAnsiTheme="minorHAnsi" w:cstheme="minorHAnsi"/>
          </w:rPr>
          <w:tag w:val="goog_rdk_727"/>
          <w:id w:val="-1915234757"/>
        </w:sdtPr>
        <w:sdtEndPr/>
        <w:sdtContent>
          <w:r>
            <w:rPr>
              <w:rFonts w:asciiTheme="minorHAnsi" w:hAnsiTheme="minorHAnsi" w:cstheme="minorHAnsi"/>
              <w:color w:val="000000"/>
              <w:sz w:val="22"/>
              <w:szCs w:val="22"/>
            </w:rPr>
            <w:t>.</w:t>
          </w:r>
        </w:sdtContent>
      </w:sdt>
    </w:p>
    <w:p w14:paraId="7DA12E4F" w14:textId="77777777" w:rsidR="00F56ED1" w:rsidRPr="00F56ED1" w:rsidRDefault="00F56ED1" w:rsidP="00F56ED1"/>
    <w:p w14:paraId="24947E43" w14:textId="150EA8C4" w:rsidR="00F56ED1" w:rsidRDefault="00F56ED1" w:rsidP="00F56ED1">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3.1</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Twinning and dialogue activities in support of regional collaboration among SIDS via cooperation among all focal area projects and participating countries (UNEP)</w:t>
      </w:r>
    </w:p>
    <w:p w14:paraId="6344706E" w14:textId="77777777" w:rsidR="00F56ED1" w:rsidRDefault="00F56ED1" w:rsidP="00F56ED1">
      <w:pPr>
        <w:jc w:val="both"/>
        <w:rPr>
          <w:rFonts w:asciiTheme="minorHAnsi" w:hAnsiTheme="minorHAnsi" w:cstheme="minorHAnsi"/>
          <w:b/>
          <w:sz w:val="22"/>
          <w:szCs w:val="22"/>
        </w:rPr>
      </w:pPr>
    </w:p>
    <w:p w14:paraId="539A0C78" w14:textId="77777777" w:rsidR="00F56ED1" w:rsidRDefault="00F56ED1" w:rsidP="00F56ED1">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57DD2FA2" w14:textId="77777777" w:rsidR="00F56ED1" w:rsidRDefault="00F56ED1" w:rsidP="00F56ED1">
      <w:pPr>
        <w:shd w:val="clear" w:color="auto" w:fill="E7E6E6"/>
        <w:jc w:val="both"/>
        <w:rPr>
          <w:rFonts w:asciiTheme="minorHAnsi" w:hAnsiTheme="minorHAnsi" w:cstheme="minorHAnsi"/>
          <w:sz w:val="22"/>
          <w:szCs w:val="22"/>
        </w:rPr>
      </w:pPr>
    </w:p>
    <w:p w14:paraId="5B794419"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3.1 is:</w:t>
      </w:r>
    </w:p>
    <w:p w14:paraId="563662A6" w14:textId="77777777" w:rsidR="00F56ED1" w:rsidRDefault="00F56ED1" w:rsidP="00F56ED1">
      <w:pPr>
        <w:shd w:val="clear" w:color="auto" w:fill="E7E6E6"/>
        <w:jc w:val="both"/>
        <w:rPr>
          <w:rFonts w:asciiTheme="minorHAnsi" w:hAnsiTheme="minorHAnsi" w:cstheme="minorHAnsi"/>
          <w:sz w:val="22"/>
          <w:szCs w:val="22"/>
        </w:rPr>
      </w:pPr>
    </w:p>
    <w:p w14:paraId="7F7365E6"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sz w:val="22"/>
          <w:szCs w:val="22"/>
        </w:rPr>
        <w:t>Twinning and dialogue activities in support of regional collaboration among Small Island Developing States via cooperation among all focal area projects and participating countries</w:t>
      </w:r>
    </w:p>
    <w:p w14:paraId="09192277" w14:textId="77777777" w:rsidR="00F56ED1" w:rsidRDefault="00F56ED1" w:rsidP="00F56ED1">
      <w:pPr>
        <w:shd w:val="clear" w:color="auto" w:fill="E7E6E6"/>
        <w:jc w:val="both"/>
        <w:rPr>
          <w:rFonts w:asciiTheme="minorHAnsi" w:hAnsiTheme="minorHAnsi" w:cstheme="minorHAnsi"/>
          <w:sz w:val="22"/>
          <w:szCs w:val="22"/>
        </w:rPr>
      </w:pPr>
    </w:p>
    <w:p w14:paraId="244BF717"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3.1 is:</w:t>
      </w:r>
    </w:p>
    <w:p w14:paraId="1152E841" w14:textId="77777777" w:rsidR="00F56ED1" w:rsidRDefault="00F56ED1" w:rsidP="00F56ED1">
      <w:pPr>
        <w:shd w:val="clear" w:color="auto" w:fill="E7E6E6"/>
        <w:jc w:val="both"/>
        <w:rPr>
          <w:rFonts w:asciiTheme="minorHAnsi" w:hAnsiTheme="minorHAnsi" w:cstheme="minorHAnsi"/>
          <w:color w:val="000000"/>
          <w:sz w:val="22"/>
          <w:szCs w:val="22"/>
        </w:rPr>
      </w:pPr>
    </w:p>
    <w:p w14:paraId="34A4B040"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color w:val="000000"/>
          <w:sz w:val="22"/>
          <w:szCs w:val="22"/>
        </w:rPr>
        <w:t>Enhanced global collaboration and communication among Small Island Developing States</w:t>
      </w:r>
    </w:p>
    <w:p w14:paraId="2D0A484A" w14:textId="77777777" w:rsidR="00F56ED1" w:rsidRDefault="00F56ED1" w:rsidP="00F56ED1">
      <w:pPr>
        <w:shd w:val="clear" w:color="auto" w:fill="E7E6E6"/>
        <w:jc w:val="both"/>
        <w:rPr>
          <w:rFonts w:asciiTheme="minorHAnsi" w:hAnsiTheme="minorHAnsi" w:cstheme="minorHAnsi"/>
          <w:b/>
          <w:sz w:val="22"/>
          <w:szCs w:val="22"/>
        </w:rPr>
      </w:pPr>
    </w:p>
    <w:p w14:paraId="7E840BD5" w14:textId="77777777" w:rsidR="00F56ED1" w:rsidRDefault="00F56ED1" w:rsidP="00F56ED1">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3: GEF Grant USD350,004 (UNDP Components 3.2, 3.3) 850,000 (UNEP Components 3.1, 3.4)</w:t>
      </w:r>
    </w:p>
    <w:p w14:paraId="2AC6D920"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29846616" w14:textId="77777777" w:rsidR="00F56ED1" w:rsidRDefault="00F56ED1" w:rsidP="00F56ED1">
      <w:pPr>
        <w:shd w:val="clear" w:color="auto" w:fill="E7E6E6"/>
        <w:jc w:val="both"/>
        <w:rPr>
          <w:rFonts w:asciiTheme="minorHAnsi" w:hAnsiTheme="minorHAnsi" w:cstheme="minorHAnsi"/>
          <w:sz w:val="22"/>
          <w:szCs w:val="22"/>
        </w:rPr>
      </w:pPr>
    </w:p>
    <w:p w14:paraId="574D1C14" w14:textId="77777777" w:rsidR="00F56ED1" w:rsidRDefault="00F56ED1" w:rsidP="00F56ED1">
      <w:pPr>
        <w:shd w:val="clear" w:color="auto" w:fill="E7E6E6"/>
        <w:jc w:val="both"/>
        <w:rPr>
          <w:rFonts w:asciiTheme="minorHAnsi" w:hAnsiTheme="minorHAnsi" w:cstheme="minorHAnsi"/>
          <w:b/>
          <w:sz w:val="22"/>
          <w:szCs w:val="22"/>
        </w:rPr>
      </w:pPr>
      <w:r>
        <w:rPr>
          <w:rFonts w:asciiTheme="minorHAnsi" w:hAnsiTheme="minorHAnsi" w:cstheme="minorHAnsi"/>
          <w:sz w:val="22"/>
          <w:szCs w:val="22"/>
        </w:rPr>
        <w:t>1.3: Structured and iterative twinning exchange program between projects and institutions with demonstrated excellence in water and ocean management</w:t>
      </w:r>
    </w:p>
    <w:p w14:paraId="443B0D0C" w14:textId="77777777" w:rsidR="00F56ED1" w:rsidRDefault="00F56ED1" w:rsidP="00F56ED1">
      <w:pPr>
        <w:jc w:val="both"/>
        <w:rPr>
          <w:rFonts w:asciiTheme="minorHAnsi" w:hAnsiTheme="minorHAnsi" w:cstheme="minorHAnsi"/>
          <w:sz w:val="22"/>
          <w:szCs w:val="22"/>
        </w:rPr>
      </w:pPr>
    </w:p>
    <w:p w14:paraId="287060C6"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project will support SIDS iterative project twinning exchanges (two exchanges in each twinning initiative) between the projects and their identified partners. An enhanced twinning approach will be deployed that builds on previous IW:LEARN and LME:LEARN twinning experiences to promote lasting partnerships between projects through repeat visits and a program of goals to be set over the duration of the IW:LEARN project. This activity will operate in coordination with the broader project twinning activities under sub-component 1.3 with a specific focus on SIDS project stakeholders and GEF funded SIDS projects addressing relevant themes beyond the GEF IW focal area which address the unique development barriers of SIDS. </w:t>
      </w:r>
    </w:p>
    <w:p w14:paraId="7A3D567B" w14:textId="77777777" w:rsidR="00F56ED1" w:rsidRDefault="00F56ED1" w:rsidP="00F56ED1">
      <w:pPr>
        <w:jc w:val="both"/>
        <w:rPr>
          <w:rFonts w:asciiTheme="minorHAnsi" w:hAnsiTheme="minorHAnsi" w:cstheme="minorHAnsi"/>
          <w:sz w:val="22"/>
          <w:szCs w:val="22"/>
        </w:rPr>
      </w:pPr>
    </w:p>
    <w:p w14:paraId="1E2BA2A0"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To ensure relevance with SIDS project needs, specific twinning themes will be identified by SIDS project partners in conversation with the PCU during project execution. Cross-cutting themes that address issues across multiple GEF focal areas will be prioritized, potentially including themes that may not be SIDS specific but are important issues for SIDS countries and coastal countries alike. Potential twinning themes identified for SIDS twinning include, </w:t>
      </w:r>
      <w:r>
        <w:rPr>
          <w:rFonts w:asciiTheme="minorHAnsi" w:hAnsiTheme="minorHAnsi" w:cstheme="minorHAnsi"/>
          <w:i/>
          <w:sz w:val="22"/>
          <w:szCs w:val="22"/>
        </w:rPr>
        <w:t>inter alia</w:t>
      </w:r>
      <w:r>
        <w:rPr>
          <w:rFonts w:asciiTheme="minorHAnsi" w:hAnsiTheme="minorHAnsi" w:cstheme="minorHAnsi"/>
          <w:sz w:val="22"/>
          <w:szCs w:val="22"/>
        </w:rPr>
        <w:t>:</w:t>
      </w:r>
    </w:p>
    <w:p w14:paraId="0B0A8402" w14:textId="77777777" w:rsidR="00F56ED1" w:rsidRDefault="00F56ED1" w:rsidP="00F56ED1">
      <w:pPr>
        <w:jc w:val="both"/>
        <w:rPr>
          <w:rFonts w:asciiTheme="minorHAnsi" w:hAnsiTheme="minorHAnsi" w:cstheme="minorHAnsi"/>
          <w:sz w:val="22"/>
          <w:szCs w:val="22"/>
        </w:rPr>
      </w:pPr>
    </w:p>
    <w:p w14:paraId="2D76F6D4" w14:textId="77777777" w:rsidR="00F56ED1" w:rsidRDefault="00F56ED1" w:rsidP="00F56ED1">
      <w:pPr>
        <w:numPr>
          <w:ilvl w:val="0"/>
          <w:numId w:val="4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Regional SIDS cooperation of sustainable natural resource management for advance economic resilience, including blue economy priorities; </w:t>
      </w:r>
    </w:p>
    <w:p w14:paraId="47E7DC09" w14:textId="77777777" w:rsidR="00F56ED1" w:rsidRDefault="00F56ED1" w:rsidP="00F56ED1">
      <w:pPr>
        <w:numPr>
          <w:ilvl w:val="0"/>
          <w:numId w:val="41"/>
        </w:numPr>
        <w:jc w:val="both"/>
        <w:rPr>
          <w:rFonts w:asciiTheme="minorHAnsi" w:hAnsiTheme="minorHAnsi" w:cstheme="minorHAnsi"/>
          <w:color w:val="000000"/>
          <w:sz w:val="22"/>
          <w:szCs w:val="22"/>
        </w:rPr>
      </w:pPr>
      <w:r>
        <w:rPr>
          <w:rFonts w:asciiTheme="minorHAnsi" w:hAnsiTheme="minorHAnsi" w:cstheme="minorHAnsi"/>
          <w:color w:val="000000"/>
          <w:sz w:val="22"/>
          <w:szCs w:val="22"/>
        </w:rPr>
        <w:t>Ecosystem based approaches in sustainable management of marine living resources through marine protected areas and marine spatial planning tools;</w:t>
      </w:r>
    </w:p>
    <w:p w14:paraId="24F127E1" w14:textId="77777777" w:rsidR="00F56ED1" w:rsidRDefault="00F56ED1" w:rsidP="00F56ED1">
      <w:pPr>
        <w:numPr>
          <w:ilvl w:val="0"/>
          <w:numId w:val="4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Coastal zone management, and coastal pollution reduction, including promotion of ridge-to-reef ecosystem connectivity; </w:t>
      </w:r>
    </w:p>
    <w:p w14:paraId="529397B6" w14:textId="77777777" w:rsidR="00F56ED1" w:rsidRDefault="00F56ED1" w:rsidP="00F56ED1">
      <w:pPr>
        <w:numPr>
          <w:ilvl w:val="0"/>
          <w:numId w:val="4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Integrated water resources and wastewater management, including floods and droughts for island countries; </w:t>
      </w:r>
    </w:p>
    <w:p w14:paraId="03300B12" w14:textId="77777777" w:rsidR="00F56ED1" w:rsidRDefault="00F56ED1" w:rsidP="00F56ED1">
      <w:pPr>
        <w:numPr>
          <w:ilvl w:val="0"/>
          <w:numId w:val="41"/>
        </w:numPr>
        <w:jc w:val="both"/>
        <w:rPr>
          <w:rFonts w:asciiTheme="minorHAnsi" w:hAnsiTheme="minorHAnsi" w:cstheme="minorHAnsi"/>
          <w:color w:val="000000"/>
          <w:sz w:val="22"/>
          <w:szCs w:val="22"/>
        </w:rPr>
      </w:pPr>
      <w:r>
        <w:rPr>
          <w:rFonts w:asciiTheme="minorHAnsi" w:hAnsiTheme="minorHAnsi" w:cstheme="minorHAnsi"/>
          <w:color w:val="000000"/>
          <w:sz w:val="22"/>
          <w:szCs w:val="22"/>
        </w:rPr>
        <w:t>Updated alignment of TDA-SAPs with SAMOA Pathway priorities</w:t>
      </w:r>
      <w:sdt>
        <w:sdtPr>
          <w:rPr>
            <w:rFonts w:asciiTheme="minorHAnsi" w:hAnsiTheme="minorHAnsi" w:cstheme="minorHAnsi"/>
          </w:rPr>
          <w:tag w:val="goog_rdk_728"/>
          <w:id w:val="-2295084"/>
        </w:sdtPr>
        <w:sdtEndPr/>
        <w:sdtContent>
          <w:r>
            <w:rPr>
              <w:rFonts w:asciiTheme="minorHAnsi" w:hAnsiTheme="minorHAnsi" w:cstheme="minorHAnsi"/>
              <w:color w:val="000000"/>
              <w:sz w:val="22"/>
              <w:szCs w:val="22"/>
            </w:rPr>
            <w:t>; and</w:t>
          </w:r>
        </w:sdtContent>
      </w:sdt>
      <w:sdt>
        <w:sdtPr>
          <w:rPr>
            <w:rFonts w:asciiTheme="minorHAnsi" w:hAnsiTheme="minorHAnsi" w:cstheme="minorHAnsi"/>
          </w:rPr>
          <w:tag w:val="goog_rdk_729"/>
          <w:id w:val="200598611"/>
          <w:showingPlcHdr/>
        </w:sdtPr>
        <w:sdtEndPr/>
        <w:sdtContent>
          <w:r>
            <w:rPr>
              <w:rFonts w:asciiTheme="minorHAnsi" w:hAnsiTheme="minorHAnsi" w:cstheme="minorHAnsi"/>
            </w:rPr>
            <w:t xml:space="preserve">     </w:t>
          </w:r>
        </w:sdtContent>
      </w:sdt>
    </w:p>
    <w:p w14:paraId="65255EDE" w14:textId="77777777" w:rsidR="00F56ED1" w:rsidRDefault="00F56ED1" w:rsidP="00F56ED1">
      <w:pPr>
        <w:numPr>
          <w:ilvl w:val="0"/>
          <w:numId w:val="42"/>
        </w:num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Support for strengthened engagement of SIDS in United Nations Decade of Ocean Science for Sustainable Development (2021-2030) and in the post 2020 global biodiversity framework; and </w:t>
      </w:r>
    </w:p>
    <w:p w14:paraId="65B566BB" w14:textId="77777777" w:rsidR="00F56ED1" w:rsidRDefault="00F57A55" w:rsidP="00F56ED1">
      <w:pPr>
        <w:numPr>
          <w:ilvl w:val="0"/>
          <w:numId w:val="41"/>
        </w:numPr>
        <w:jc w:val="both"/>
        <w:rPr>
          <w:rFonts w:asciiTheme="minorHAnsi" w:hAnsiTheme="minorHAnsi" w:cstheme="minorHAnsi"/>
          <w:color w:val="000000"/>
          <w:sz w:val="22"/>
          <w:szCs w:val="22"/>
        </w:rPr>
      </w:pPr>
      <w:sdt>
        <w:sdtPr>
          <w:rPr>
            <w:rFonts w:asciiTheme="minorHAnsi" w:hAnsiTheme="minorHAnsi" w:cstheme="minorHAnsi"/>
          </w:rPr>
          <w:tag w:val="goog_rdk_735"/>
          <w:id w:val="-10770652"/>
        </w:sdtPr>
        <w:sdtEndPr/>
        <w:sdtContent>
          <w:r w:rsidR="00F56ED1">
            <w:rPr>
              <w:rFonts w:asciiTheme="minorHAnsi" w:hAnsiTheme="minorHAnsi" w:cstheme="minorHAnsi"/>
              <w:color w:val="000000"/>
              <w:sz w:val="22"/>
              <w:szCs w:val="22"/>
            </w:rPr>
            <w:t>Integrated Ocean Governance to support policy and decision making.</w:t>
          </w:r>
        </w:sdtContent>
      </w:sdt>
      <w:r w:rsidR="00F56ED1">
        <w:rPr>
          <w:rFonts w:asciiTheme="minorHAnsi" w:hAnsiTheme="minorHAnsi" w:cstheme="minorHAnsi"/>
          <w:color w:val="000000"/>
          <w:sz w:val="22"/>
          <w:szCs w:val="22"/>
        </w:rPr>
        <w:t xml:space="preserve">  </w:t>
      </w:r>
    </w:p>
    <w:p w14:paraId="7B32FCFB" w14:textId="77777777" w:rsidR="00F56ED1" w:rsidRDefault="00F56ED1" w:rsidP="00F56ED1">
      <w:pPr>
        <w:jc w:val="both"/>
        <w:rPr>
          <w:rFonts w:asciiTheme="minorHAnsi" w:hAnsiTheme="minorHAnsi" w:cstheme="minorHAnsi"/>
          <w:sz w:val="22"/>
          <w:szCs w:val="22"/>
        </w:rPr>
      </w:pPr>
    </w:p>
    <w:p w14:paraId="6E201C59"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This sub-component will further maintain project funding for ad hoc proposals submitted by GEF SIDS projects wishing to </w:t>
      </w:r>
      <w:proofErr w:type="spellStart"/>
      <w:r>
        <w:rPr>
          <w:rFonts w:asciiTheme="minorHAnsi" w:hAnsiTheme="minorHAnsi" w:cstheme="minorHAnsi"/>
          <w:sz w:val="22"/>
          <w:szCs w:val="22"/>
        </w:rPr>
        <w:t>catalyse</w:t>
      </w:r>
      <w:proofErr w:type="spellEnd"/>
      <w:r>
        <w:rPr>
          <w:rFonts w:asciiTheme="minorHAnsi" w:hAnsiTheme="minorHAnsi" w:cstheme="minorHAnsi"/>
          <w:sz w:val="22"/>
          <w:szCs w:val="22"/>
        </w:rPr>
        <w:t xml:space="preserve"> twinning arrangements.</w:t>
      </w:r>
    </w:p>
    <w:p w14:paraId="60EC6336" w14:textId="77777777" w:rsidR="00F56ED1" w:rsidRDefault="00F56ED1" w:rsidP="00F56ED1">
      <w:pPr>
        <w:jc w:val="both"/>
        <w:rPr>
          <w:rFonts w:asciiTheme="minorHAnsi" w:hAnsiTheme="minorHAnsi" w:cstheme="minorHAnsi"/>
          <w:sz w:val="22"/>
          <w:szCs w:val="22"/>
        </w:rPr>
      </w:pPr>
    </w:p>
    <w:p w14:paraId="67A70993"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sub-component has the following principal objectives: </w:t>
      </w:r>
    </w:p>
    <w:p w14:paraId="0E272904" w14:textId="77777777" w:rsidR="00F56ED1" w:rsidRDefault="00F56ED1" w:rsidP="00F56ED1">
      <w:pPr>
        <w:jc w:val="both"/>
        <w:rPr>
          <w:rFonts w:asciiTheme="minorHAnsi" w:hAnsiTheme="minorHAnsi" w:cstheme="minorHAnsi"/>
          <w:sz w:val="22"/>
          <w:szCs w:val="22"/>
        </w:rPr>
      </w:pPr>
    </w:p>
    <w:p w14:paraId="0F5D456A" w14:textId="77777777" w:rsidR="00F56ED1" w:rsidRDefault="00F56ED1" w:rsidP="00F56ED1">
      <w:pPr>
        <w:numPr>
          <w:ilvl w:val="0"/>
          <w:numId w:val="43"/>
        </w:numPr>
        <w:jc w:val="both"/>
        <w:rPr>
          <w:rFonts w:asciiTheme="minorHAnsi" w:hAnsiTheme="minorHAnsi" w:cstheme="minorHAnsi"/>
          <w:color w:val="000000"/>
          <w:sz w:val="22"/>
          <w:szCs w:val="22"/>
        </w:rPr>
      </w:pPr>
      <w:r>
        <w:rPr>
          <w:rFonts w:asciiTheme="minorHAnsi" w:hAnsiTheme="minorHAnsi" w:cstheme="minorHAnsi"/>
          <w:color w:val="000000"/>
          <w:sz w:val="22"/>
          <w:szCs w:val="22"/>
        </w:rPr>
        <w:t>Exchange project experience and expertise at the operational level between projects with similar goals, objectives and activities;</w:t>
      </w:r>
    </w:p>
    <w:p w14:paraId="083CA783" w14:textId="77777777" w:rsidR="00F56ED1" w:rsidRDefault="00F56ED1" w:rsidP="00F56ED1">
      <w:pPr>
        <w:numPr>
          <w:ilvl w:val="0"/>
          <w:numId w:val="43"/>
        </w:numPr>
        <w:jc w:val="both"/>
        <w:rPr>
          <w:rFonts w:asciiTheme="minorHAnsi" w:hAnsiTheme="minorHAnsi" w:cstheme="minorHAnsi"/>
          <w:color w:val="000000"/>
          <w:sz w:val="22"/>
          <w:szCs w:val="22"/>
        </w:rPr>
      </w:pPr>
      <w:r>
        <w:rPr>
          <w:rFonts w:asciiTheme="minorHAnsi" w:hAnsiTheme="minorHAnsi" w:cstheme="minorHAnsi"/>
          <w:color w:val="000000"/>
          <w:sz w:val="22"/>
          <w:szCs w:val="22"/>
        </w:rPr>
        <w:t>Mutually increase capacity for more effective protection of shared resources and sustainable management of SIDS freshwater and marine ecosystems;</w:t>
      </w:r>
    </w:p>
    <w:p w14:paraId="19F30251" w14:textId="77777777" w:rsidR="00F56ED1" w:rsidRDefault="00F56ED1" w:rsidP="00F56ED1">
      <w:pPr>
        <w:numPr>
          <w:ilvl w:val="0"/>
          <w:numId w:val="43"/>
        </w:numPr>
        <w:jc w:val="both"/>
        <w:rPr>
          <w:rFonts w:asciiTheme="minorHAnsi" w:hAnsiTheme="minorHAnsi" w:cstheme="minorHAnsi"/>
          <w:color w:val="000000"/>
          <w:sz w:val="22"/>
          <w:szCs w:val="22"/>
        </w:rPr>
      </w:pPr>
      <w:r>
        <w:rPr>
          <w:rFonts w:asciiTheme="minorHAnsi" w:hAnsiTheme="minorHAnsi" w:cstheme="minorHAnsi"/>
          <w:color w:val="000000"/>
          <w:sz w:val="22"/>
          <w:szCs w:val="22"/>
        </w:rPr>
        <w:t>Document and disseminate recommendations and lessons gleaned from the exchanges across participating GEF IW projects;</w:t>
      </w:r>
      <w:sdt>
        <w:sdtPr>
          <w:rPr>
            <w:rFonts w:asciiTheme="minorHAnsi" w:hAnsiTheme="minorHAnsi" w:cstheme="minorHAnsi"/>
          </w:rPr>
          <w:tag w:val="goog_rdk_736"/>
          <w:id w:val="1616253731"/>
        </w:sdtPr>
        <w:sdtEndPr/>
        <w:sdtContent>
          <w:r>
            <w:rPr>
              <w:rFonts w:asciiTheme="minorHAnsi" w:hAnsiTheme="minorHAnsi" w:cstheme="minorHAnsi"/>
              <w:color w:val="000000"/>
              <w:sz w:val="22"/>
              <w:szCs w:val="22"/>
            </w:rPr>
            <w:t xml:space="preserve"> and</w:t>
          </w:r>
        </w:sdtContent>
      </w:sdt>
    </w:p>
    <w:p w14:paraId="1AAC99F8" w14:textId="77777777" w:rsidR="00F56ED1" w:rsidRDefault="00F56ED1" w:rsidP="00F56ED1">
      <w:pPr>
        <w:numPr>
          <w:ilvl w:val="0"/>
          <w:numId w:val="43"/>
        </w:numPr>
        <w:jc w:val="both"/>
        <w:rPr>
          <w:rFonts w:asciiTheme="minorHAnsi" w:hAnsiTheme="minorHAnsi" w:cstheme="minorHAnsi"/>
          <w:color w:val="000000"/>
          <w:sz w:val="22"/>
          <w:szCs w:val="22"/>
        </w:rPr>
      </w:pPr>
      <w:r>
        <w:rPr>
          <w:rFonts w:asciiTheme="minorHAnsi" w:hAnsiTheme="minorHAnsi" w:cstheme="minorHAnsi"/>
          <w:color w:val="000000"/>
          <w:sz w:val="22"/>
          <w:szCs w:val="22"/>
        </w:rPr>
        <w:t>Enhanced exposure of cross-cutting themes and multiple environmental benefits generated by GEF focal areas in support of SIDS priorities, including the SAMOA Pathway.</w:t>
      </w:r>
    </w:p>
    <w:p w14:paraId="6A9B8FF0" w14:textId="77777777" w:rsidR="00F56ED1" w:rsidRDefault="00F56ED1" w:rsidP="00F56ED1">
      <w:pPr>
        <w:ind w:left="720"/>
        <w:jc w:val="both"/>
        <w:rPr>
          <w:rFonts w:asciiTheme="minorHAnsi" w:hAnsiTheme="minorHAnsi" w:cstheme="minorHAnsi"/>
          <w:color w:val="000000"/>
          <w:sz w:val="22"/>
          <w:szCs w:val="22"/>
        </w:rPr>
      </w:pPr>
    </w:p>
    <w:p w14:paraId="6CEDEA03"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activity will contribute to the overall Component 3 goal of enhancing portfolio and partner capacity through the transfer of expertise and practical skills via direct personal knowledge transfer. </w:t>
      </w:r>
    </w:p>
    <w:p w14:paraId="7E3770A5"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work with projects to develop and solicit twinning proposals, help coordinate their logistics and ensure sustained follow-up, monitoring of impact, and sharing the learning with the wider IW:LEARN community, including partner SIDS organizations. </w:t>
      </w:r>
    </w:p>
    <w:p w14:paraId="2FE95803" w14:textId="77777777" w:rsidR="00F56ED1" w:rsidRDefault="00F56ED1" w:rsidP="00F56ED1">
      <w:pPr>
        <w:jc w:val="both"/>
        <w:rPr>
          <w:rFonts w:asciiTheme="minorHAnsi" w:hAnsiTheme="minorHAnsi" w:cstheme="minorHAnsi"/>
          <w:sz w:val="22"/>
          <w:szCs w:val="22"/>
        </w:rPr>
      </w:pPr>
    </w:p>
    <w:p w14:paraId="25E23E7D"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While specific twinning partners under sub-component 3.1 will be identified in conjunction with sub-component 1.3 by the PCU, engagement of active GEF SIDS project partners, such as UNEP Regional Seas conventions and regional intergovernmental organizations will be prioritized where possible.  The Inter-American Development Bank offered support to execution of this activity.</w:t>
      </w:r>
    </w:p>
    <w:p w14:paraId="7383FB41" w14:textId="77777777" w:rsidR="00F56ED1" w:rsidRDefault="00F56ED1" w:rsidP="00F56ED1">
      <w:pPr>
        <w:ind w:left="360" w:hanging="360"/>
        <w:jc w:val="both"/>
        <w:rPr>
          <w:rFonts w:asciiTheme="minorHAnsi" w:hAnsiTheme="minorHAnsi" w:cstheme="minorHAnsi"/>
          <w:color w:val="000000"/>
          <w:sz w:val="22"/>
          <w:szCs w:val="22"/>
        </w:rPr>
      </w:pPr>
    </w:p>
    <w:p w14:paraId="294ACF25" w14:textId="77777777" w:rsidR="00F56ED1" w:rsidRDefault="00F56ED1" w:rsidP="00F56ED1">
      <w:pPr>
        <w:ind w:left="360" w:hanging="360"/>
        <w:jc w:val="both"/>
        <w:rPr>
          <w:rFonts w:asciiTheme="minorHAnsi" w:hAnsiTheme="minorHAnsi" w:cstheme="minorHAnsi"/>
          <w:color w:val="000000"/>
          <w:sz w:val="22"/>
          <w:szCs w:val="22"/>
        </w:rPr>
      </w:pPr>
      <w:r>
        <w:rPr>
          <w:rFonts w:asciiTheme="minorHAnsi" w:hAnsiTheme="minorHAnsi" w:cstheme="minorHAnsi"/>
          <w:color w:val="000000"/>
          <w:sz w:val="22"/>
          <w:szCs w:val="22"/>
        </w:rPr>
        <w:t>Sub-component 3.1 is comprised of three activities:</w:t>
      </w:r>
    </w:p>
    <w:p w14:paraId="35F992E3" w14:textId="77777777" w:rsidR="00F56ED1" w:rsidRDefault="00F56ED1" w:rsidP="00F56ED1">
      <w:pPr>
        <w:ind w:left="360" w:hanging="360"/>
        <w:jc w:val="both"/>
        <w:rPr>
          <w:rFonts w:asciiTheme="minorHAnsi" w:hAnsiTheme="minorHAnsi" w:cstheme="minorHAnsi"/>
          <w:color w:val="000000"/>
          <w:sz w:val="22"/>
          <w:szCs w:val="22"/>
        </w:rPr>
      </w:pPr>
    </w:p>
    <w:p w14:paraId="4284DD24" w14:textId="77777777" w:rsidR="00F56ED1" w:rsidRDefault="00F56ED1" w:rsidP="00F56ED1">
      <w:pPr>
        <w:numPr>
          <w:ilvl w:val="0"/>
          <w:numId w:val="9"/>
        </w:num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Activity 3.1.1: Support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of iterative twinning between SIDS related projects sharing similar development/ecosystem characteristics</w:t>
      </w:r>
      <w:sdt>
        <w:sdtPr>
          <w:rPr>
            <w:rFonts w:asciiTheme="minorHAnsi" w:hAnsiTheme="minorHAnsi" w:cstheme="minorHAnsi"/>
          </w:rPr>
          <w:tag w:val="goog_rdk_737"/>
          <w:id w:val="2055655539"/>
        </w:sdtPr>
        <w:sdtEndPr/>
        <w:sdtContent>
          <w:r>
            <w:rPr>
              <w:rFonts w:asciiTheme="minorHAnsi" w:hAnsiTheme="minorHAnsi" w:cstheme="minorHAnsi"/>
              <w:sz w:val="22"/>
              <w:szCs w:val="22"/>
            </w:rPr>
            <w:t>;</w:t>
          </w:r>
        </w:sdtContent>
      </w:sdt>
    </w:p>
    <w:p w14:paraId="7E247D46" w14:textId="77777777" w:rsidR="00F56ED1" w:rsidRDefault="00F56ED1" w:rsidP="00F56ED1">
      <w:pPr>
        <w:numPr>
          <w:ilvl w:val="0"/>
          <w:numId w:val="9"/>
        </w:num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Activity 3.1.2: </w:t>
      </w:r>
      <w:proofErr w:type="spellStart"/>
      <w:r>
        <w:rPr>
          <w:rFonts w:asciiTheme="minorHAnsi" w:hAnsiTheme="minorHAnsi" w:cstheme="minorHAnsi"/>
          <w:color w:val="000000"/>
          <w:sz w:val="22"/>
          <w:szCs w:val="22"/>
        </w:rPr>
        <w:t>Organise</w:t>
      </w:r>
      <w:proofErr w:type="spellEnd"/>
      <w:r>
        <w:rPr>
          <w:rFonts w:asciiTheme="minorHAnsi" w:hAnsiTheme="minorHAnsi" w:cstheme="minorHAnsi"/>
          <w:color w:val="000000"/>
          <w:sz w:val="22"/>
          <w:szCs w:val="22"/>
        </w:rPr>
        <w:t xml:space="preserve"> ad-hoc twinning exchanges based on proposals to solve specific technical/governance issues in SIDS</w:t>
      </w:r>
      <w:sdt>
        <w:sdtPr>
          <w:rPr>
            <w:rFonts w:asciiTheme="minorHAnsi" w:hAnsiTheme="minorHAnsi" w:cstheme="minorHAnsi"/>
          </w:rPr>
          <w:tag w:val="goog_rdk_738"/>
          <w:id w:val="901563909"/>
        </w:sdtPr>
        <w:sdtEndPr/>
        <w:sdtContent>
          <w:r>
            <w:rPr>
              <w:rFonts w:asciiTheme="minorHAnsi" w:hAnsiTheme="minorHAnsi" w:cstheme="minorHAnsi"/>
              <w:sz w:val="22"/>
              <w:szCs w:val="22"/>
            </w:rPr>
            <w:t>; and</w:t>
          </w:r>
        </w:sdtContent>
      </w:sdt>
    </w:p>
    <w:p w14:paraId="58E6E668" w14:textId="77777777" w:rsidR="00F56ED1" w:rsidRDefault="00F56ED1" w:rsidP="00F56ED1">
      <w:pPr>
        <w:numPr>
          <w:ilvl w:val="0"/>
          <w:numId w:val="9"/>
        </w:num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3.1.3: Facilitate on-going conversation among partners after twinning through web-based options, such as lightning chats</w:t>
      </w:r>
      <w:sdt>
        <w:sdtPr>
          <w:rPr>
            <w:rFonts w:asciiTheme="minorHAnsi" w:hAnsiTheme="minorHAnsi" w:cstheme="minorHAnsi"/>
          </w:rPr>
          <w:tag w:val="goog_rdk_739"/>
          <w:id w:val="224106129"/>
        </w:sdtPr>
        <w:sdtEndPr/>
        <w:sdtContent>
          <w:r>
            <w:rPr>
              <w:rFonts w:asciiTheme="minorHAnsi" w:hAnsiTheme="minorHAnsi" w:cstheme="minorHAnsi"/>
              <w:sz w:val="22"/>
              <w:szCs w:val="22"/>
            </w:rPr>
            <w:t>.</w:t>
          </w:r>
        </w:sdtContent>
      </w:sdt>
    </w:p>
    <w:p w14:paraId="2D2206EA" w14:textId="77777777" w:rsidR="00F56ED1" w:rsidRDefault="00F56ED1" w:rsidP="00F56ED1">
      <w:pPr>
        <w:jc w:val="both"/>
        <w:rPr>
          <w:rFonts w:asciiTheme="minorHAnsi" w:hAnsiTheme="minorHAnsi" w:cstheme="minorHAnsi"/>
          <w:b/>
          <w:sz w:val="22"/>
          <w:szCs w:val="22"/>
        </w:rPr>
      </w:pPr>
    </w:p>
    <w:p w14:paraId="0D6FFE67" w14:textId="77777777" w:rsidR="00F56ED1" w:rsidRDefault="00F56ED1" w:rsidP="00F56ED1">
      <w:pPr>
        <w:jc w:val="both"/>
        <w:rPr>
          <w:rFonts w:asciiTheme="minorHAnsi" w:hAnsiTheme="minorHAnsi" w:cstheme="minorHAnsi"/>
          <w:b/>
          <w:sz w:val="22"/>
          <w:szCs w:val="22"/>
        </w:rPr>
      </w:pPr>
      <w:r>
        <w:rPr>
          <w:rFonts w:asciiTheme="minorHAnsi" w:hAnsiTheme="minorHAnsi" w:cstheme="minorHAnsi"/>
          <w:sz w:val="22"/>
          <w:szCs w:val="22"/>
        </w:rPr>
        <w:t>Due to the COVID-19 pandemics, the in-person exchange between the projects should not take place for at least first three quarters of the first year of the project’s implementation. However, during that period, the technical aspects of the twinning exchanges, including exchange of experience, knowledge and methodologies could take place. The communications channels between projects will be established via known online platforms and will be facilitated by the PCU. Partners supporting this sub-component will also be involved in online communications.</w:t>
      </w:r>
    </w:p>
    <w:p w14:paraId="1C7F5C29" w14:textId="77777777" w:rsidR="00F56ED1" w:rsidRDefault="00F56ED1" w:rsidP="00F56ED1">
      <w:pPr>
        <w:jc w:val="both"/>
        <w:rPr>
          <w:rFonts w:asciiTheme="minorHAnsi" w:hAnsiTheme="minorHAnsi" w:cstheme="minorHAnsi"/>
          <w:b/>
          <w:sz w:val="22"/>
          <w:szCs w:val="22"/>
        </w:rPr>
      </w:pPr>
    </w:p>
    <w:p w14:paraId="3E33DBBB" w14:textId="77777777" w:rsidR="00F56ED1" w:rsidRPr="00F56ED1" w:rsidRDefault="00F56ED1" w:rsidP="00F56ED1"/>
    <w:p w14:paraId="54407138" w14:textId="77777777" w:rsidR="00F56ED1" w:rsidRPr="00F56ED1" w:rsidRDefault="00F56ED1" w:rsidP="00F56ED1"/>
    <w:p w14:paraId="3332C31E" w14:textId="7157E4D7" w:rsidR="00F56ED1" w:rsidRDefault="00F56ED1" w:rsidP="00F56ED1">
      <w:pPr>
        <w:pStyle w:val="Heading5"/>
        <w:rPr>
          <w:rFonts w:asciiTheme="minorHAnsi" w:hAnsiTheme="minorHAnsi" w:cstheme="minorHAnsi"/>
          <w:b/>
          <w:bCs/>
          <w:color w:val="000000" w:themeColor="text1"/>
          <w:sz w:val="22"/>
          <w:szCs w:val="22"/>
        </w:rPr>
      </w:pPr>
      <w:bookmarkStart w:id="18" w:name="_Hlk115085165"/>
      <w:r w:rsidRPr="00F56ED1">
        <w:rPr>
          <w:rFonts w:asciiTheme="minorHAnsi" w:hAnsiTheme="minorHAnsi" w:cstheme="minorHAnsi"/>
          <w:b/>
          <w:bCs/>
          <w:color w:val="000000" w:themeColor="text1"/>
          <w:sz w:val="22"/>
          <w:szCs w:val="22"/>
        </w:rPr>
        <w:lastRenderedPageBreak/>
        <w:t xml:space="preserve">Activity 3.1.1: </w:t>
      </w:r>
      <w:bookmarkEnd w:id="18"/>
      <w:r w:rsidRPr="00F56ED1">
        <w:rPr>
          <w:rFonts w:asciiTheme="minorHAnsi" w:hAnsiTheme="minorHAnsi" w:cstheme="minorHAnsi"/>
          <w:b/>
          <w:bCs/>
          <w:color w:val="000000" w:themeColor="text1"/>
          <w:sz w:val="22"/>
          <w:szCs w:val="22"/>
        </w:rPr>
        <w:t xml:space="preserve">Support </w:t>
      </w:r>
      <w:proofErr w:type="spellStart"/>
      <w:r w:rsidRPr="00F56ED1">
        <w:rPr>
          <w:rFonts w:asciiTheme="minorHAnsi" w:hAnsiTheme="minorHAnsi" w:cstheme="minorHAnsi"/>
          <w:b/>
          <w:bCs/>
          <w:color w:val="000000" w:themeColor="text1"/>
          <w:sz w:val="22"/>
          <w:szCs w:val="22"/>
        </w:rPr>
        <w:t>programme</w:t>
      </w:r>
      <w:proofErr w:type="spellEnd"/>
      <w:r w:rsidRPr="00F56ED1">
        <w:rPr>
          <w:rFonts w:asciiTheme="minorHAnsi" w:hAnsiTheme="minorHAnsi" w:cstheme="minorHAnsi"/>
          <w:b/>
          <w:bCs/>
          <w:color w:val="000000" w:themeColor="text1"/>
          <w:sz w:val="22"/>
          <w:szCs w:val="22"/>
        </w:rPr>
        <w:t xml:space="preserve"> of iterative twinning between SIDS related projects sharing similar development/ecosystem characteristics</w:t>
      </w:r>
    </w:p>
    <w:p w14:paraId="79DFED30"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project will focus on iterative or multiple twinning exchanges between the same identified twinning pairs presented in the twinning proposal. Proposals for twinning will be structured to demonstrate their benefits and focus on specific capacity-strengthening goals over the course of project implementation. They will be results-driven and timed to have real impacts in project implementation. In addition, twinned projects will also produce specific outputs that benefit the broader IW portfolio and across GEF focal areas, expected to be in the form of knowledge synthesis materials (for example, a twinning report, an experience note, scientific article to be published in a reputed journal, communication campaign or a video presentation). </w:t>
      </w:r>
    </w:p>
    <w:p w14:paraId="1E9B3A02" w14:textId="77777777" w:rsidR="00F56ED1" w:rsidRDefault="00F56ED1" w:rsidP="00F56ED1">
      <w:pPr>
        <w:jc w:val="both"/>
        <w:rPr>
          <w:rFonts w:asciiTheme="minorHAnsi" w:hAnsiTheme="minorHAnsi" w:cstheme="minorHAnsi"/>
          <w:sz w:val="22"/>
          <w:szCs w:val="22"/>
        </w:rPr>
      </w:pPr>
    </w:p>
    <w:p w14:paraId="440D2409"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activity will be </w:t>
      </w:r>
      <w:proofErr w:type="spellStart"/>
      <w:r>
        <w:rPr>
          <w:rFonts w:asciiTheme="minorHAnsi" w:hAnsiTheme="minorHAnsi" w:cstheme="minorHAnsi"/>
          <w:sz w:val="22"/>
          <w:szCs w:val="22"/>
        </w:rPr>
        <w:t>organised</w:t>
      </w:r>
      <w:proofErr w:type="spellEnd"/>
      <w:r>
        <w:rPr>
          <w:rFonts w:asciiTheme="minorHAnsi" w:hAnsiTheme="minorHAnsi" w:cstheme="minorHAnsi"/>
          <w:sz w:val="22"/>
          <w:szCs w:val="22"/>
        </w:rPr>
        <w:t xml:space="preserve"> by the PCU in conjunction with sub-component 1.3 and in coordination with UNEP. There will be a focus on identifying twinning project pairs that address important SIDS-specific issues and that generate mutual, realistic and time-bound benefits for both parties. The SIDS specific focus will entail inter-connected or common issues important or share similar ecosystem characteristics among SIDS and would benefit from sustained cooperation. </w:t>
      </w:r>
    </w:p>
    <w:p w14:paraId="472C47C8" w14:textId="77777777" w:rsidR="00F56ED1" w:rsidRDefault="00F56ED1" w:rsidP="00F56ED1">
      <w:pPr>
        <w:jc w:val="both"/>
        <w:rPr>
          <w:rFonts w:asciiTheme="minorHAnsi" w:hAnsiTheme="minorHAnsi" w:cstheme="minorHAnsi"/>
          <w:sz w:val="22"/>
          <w:szCs w:val="22"/>
        </w:rPr>
      </w:pPr>
    </w:p>
    <w:p w14:paraId="4232B416" w14:textId="6E6D265D" w:rsidR="00F56ED1" w:rsidRDefault="00F56ED1" w:rsidP="00F439E2">
      <w:pPr>
        <w:jc w:val="both"/>
        <w:rPr>
          <w:rFonts w:asciiTheme="minorHAnsi" w:hAnsiTheme="minorHAnsi" w:cstheme="minorHAnsi"/>
          <w:sz w:val="22"/>
          <w:szCs w:val="22"/>
        </w:rPr>
      </w:pPr>
      <w:r>
        <w:rPr>
          <w:rFonts w:asciiTheme="minorHAnsi" w:hAnsiTheme="minorHAnsi" w:cstheme="minorHAnsi"/>
          <w:sz w:val="22"/>
          <w:szCs w:val="22"/>
        </w:rPr>
        <w:t>To capture the full range of GEF focal areas within SIDS, the PCU will work with country GEF operational focal points (OFPs), GEF Agency regional coordinators, and GEF Secretariat that oversee GEF programming across multiple GEF focal areas. As a complement to twinning under sub-component 1.3, this sub-component will also target learning opportunities across SIDS-specific issues that cut across multiple GEF focal areas.</w:t>
      </w:r>
    </w:p>
    <w:p w14:paraId="0810BB04" w14:textId="77777777" w:rsidR="00F56ED1" w:rsidRPr="00F56ED1" w:rsidRDefault="00F56ED1" w:rsidP="00F56ED1"/>
    <w:p w14:paraId="04E33138" w14:textId="4B588343"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3.1.2</w:t>
      </w:r>
      <w:r>
        <w:rPr>
          <w:rFonts w:asciiTheme="minorHAnsi" w:hAnsiTheme="minorHAnsi" w:cstheme="minorHAnsi"/>
          <w:b/>
          <w:bCs/>
          <w:color w:val="000000" w:themeColor="text1"/>
          <w:sz w:val="22"/>
          <w:szCs w:val="22"/>
        </w:rPr>
        <w:t xml:space="preserve">: </w:t>
      </w:r>
      <w:proofErr w:type="spellStart"/>
      <w:r w:rsidRPr="00F56ED1">
        <w:rPr>
          <w:rFonts w:asciiTheme="minorHAnsi" w:hAnsiTheme="minorHAnsi" w:cstheme="minorHAnsi"/>
          <w:b/>
          <w:bCs/>
          <w:color w:val="000000" w:themeColor="text1"/>
          <w:sz w:val="22"/>
          <w:szCs w:val="22"/>
        </w:rPr>
        <w:t>Organise</w:t>
      </w:r>
      <w:proofErr w:type="spellEnd"/>
      <w:r w:rsidRPr="00F56ED1">
        <w:rPr>
          <w:rFonts w:asciiTheme="minorHAnsi" w:hAnsiTheme="minorHAnsi" w:cstheme="minorHAnsi"/>
          <w:b/>
          <w:bCs/>
          <w:color w:val="000000" w:themeColor="text1"/>
          <w:sz w:val="22"/>
          <w:szCs w:val="22"/>
        </w:rPr>
        <w:t xml:space="preserve"> ad-hoc twinning exchanges based on proposals to solve specific technical/governance issues in SIDS</w:t>
      </w:r>
    </w:p>
    <w:p w14:paraId="759AF7D9"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This activity will build on the 3.1.1. twinning with additional budget support devoted to GEF SIDS relevant IW project twinning exchanges with other, primarily SIDS but also other sharing similar problems, GEF IW projects and/or knowledgeable institutions based on ad hoc proposal submissions to the PCU. Proposed twinning projects will have the opportunity to submit proposals for funding on the basis of cost-sharing, and also demonstrate that the outputs of the twinning will have portfolio-wide benefits in support of SIDS and alignment with advancing SAMOA Pathway priorities. </w:t>
      </w:r>
    </w:p>
    <w:p w14:paraId="5523297B" w14:textId="77777777" w:rsidR="00F56ED1" w:rsidRDefault="00F56ED1" w:rsidP="00F56ED1">
      <w:pPr>
        <w:jc w:val="both"/>
        <w:rPr>
          <w:rFonts w:asciiTheme="minorHAnsi" w:hAnsiTheme="minorHAnsi" w:cstheme="minorHAnsi"/>
          <w:sz w:val="22"/>
          <w:szCs w:val="22"/>
        </w:rPr>
      </w:pPr>
    </w:p>
    <w:p w14:paraId="40FB3205"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The proposal identification form will ask projects to indicate the objectives of the twinning, expected outcomes and outputs, a list of participants, assessment of finances and logistics, an agenda and indication as to how the twinning relationship will be sustained after its completion. The proposals will be reviewed by the GEF IW:LEARN PCU and UNEP. Similarly, to the other activities this activity is expected to result in enhanced management capacity on specific thematic areas.</w:t>
      </w:r>
    </w:p>
    <w:p w14:paraId="4E2ABD1B" w14:textId="77777777" w:rsidR="00F56ED1" w:rsidRPr="00F56ED1" w:rsidRDefault="00F56ED1" w:rsidP="00F56ED1"/>
    <w:p w14:paraId="58A59A56" w14:textId="47CF4CEA"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3.1.3</w:t>
      </w:r>
      <w:r>
        <w:rPr>
          <w:rFonts w:asciiTheme="minorHAnsi" w:hAnsiTheme="minorHAnsi" w:cstheme="minorHAnsi"/>
          <w:b/>
          <w:bCs/>
          <w:color w:val="000000" w:themeColor="text1"/>
          <w:sz w:val="22"/>
          <w:szCs w:val="22"/>
        </w:rPr>
        <w:t xml:space="preserve">: </w:t>
      </w:r>
      <w:r w:rsidRPr="00F56ED1">
        <w:rPr>
          <w:rFonts w:asciiTheme="minorHAnsi" w:hAnsiTheme="minorHAnsi" w:cstheme="minorHAnsi"/>
          <w:b/>
          <w:bCs/>
          <w:color w:val="000000" w:themeColor="text1"/>
          <w:sz w:val="22"/>
          <w:szCs w:val="22"/>
        </w:rPr>
        <w:t>Facilitate on-going conversation among/with twinning partners through web-based options such as lightning chats</w:t>
      </w:r>
    </w:p>
    <w:p w14:paraId="7994425D"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As part of the follow up on each twinning, a virtual “Knowledge Dialogue” will be facilitated by the PCU to encourage the continuation of peer-to-peer learning and to monitor the progress of participants in applying the knowledge gained. These proceedings will be posted on the SIDS hub (sub-component 3.2) for wider distribution and knowledge dissemination. </w:t>
      </w:r>
    </w:p>
    <w:p w14:paraId="47C2E09F" w14:textId="77777777" w:rsidR="00F56ED1" w:rsidRDefault="00F56ED1" w:rsidP="00F56ED1">
      <w:pPr>
        <w:jc w:val="both"/>
        <w:rPr>
          <w:rFonts w:asciiTheme="minorHAnsi" w:hAnsiTheme="minorHAnsi" w:cstheme="minorHAnsi"/>
          <w:sz w:val="22"/>
          <w:szCs w:val="22"/>
        </w:rPr>
      </w:pPr>
    </w:p>
    <w:p w14:paraId="1A3010E6"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outcome of this activity will contribute to enhanced collaboration and communication among experts and institutions that support SIDS across the GEF portfolio. This activity will make use of free web-based software such as Skype, or GoToMeeting, provided by IOC-UNESCO as a co-financing. The PCU will </w:t>
      </w:r>
      <w:proofErr w:type="spellStart"/>
      <w:r>
        <w:rPr>
          <w:rFonts w:asciiTheme="minorHAnsi" w:hAnsiTheme="minorHAnsi" w:cstheme="minorHAnsi"/>
          <w:sz w:val="22"/>
          <w:szCs w:val="22"/>
        </w:rPr>
        <w:t>organise</w:t>
      </w:r>
      <w:proofErr w:type="spellEnd"/>
      <w:r>
        <w:rPr>
          <w:rFonts w:asciiTheme="minorHAnsi" w:hAnsiTheme="minorHAnsi" w:cstheme="minorHAnsi"/>
          <w:sz w:val="22"/>
          <w:szCs w:val="22"/>
        </w:rPr>
        <w:t xml:space="preserve"> the chats, propose themes and facilitate the events.</w:t>
      </w:r>
    </w:p>
    <w:p w14:paraId="6AED63A8" w14:textId="77777777" w:rsidR="00F56ED1" w:rsidRPr="00F56ED1" w:rsidRDefault="00F56ED1" w:rsidP="00F56ED1"/>
    <w:p w14:paraId="30152476" w14:textId="14A4C4BF" w:rsidR="00F56ED1" w:rsidRDefault="00F56ED1" w:rsidP="00F56ED1">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lastRenderedPageBreak/>
        <w:t xml:space="preserve">Sub-component </w:t>
      </w:r>
      <w:r>
        <w:rPr>
          <w:rFonts w:asciiTheme="minorHAnsi" w:hAnsiTheme="minorHAnsi" w:cstheme="minorHAnsi"/>
          <w:b/>
          <w:bCs/>
          <w:i w:val="0"/>
          <w:iCs w:val="0"/>
          <w:color w:val="000000" w:themeColor="text1"/>
        </w:rPr>
        <w:t>3.2</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Strengthened web portal and resource catalogue to facilitate information-sharing and learning across the SIDS project portfolio in support of the SAMOA Pathway (UNDP)</w:t>
      </w:r>
    </w:p>
    <w:p w14:paraId="36118C1C" w14:textId="77777777" w:rsidR="00F56ED1" w:rsidRDefault="00F56ED1" w:rsidP="00F56ED1">
      <w:pPr>
        <w:jc w:val="both"/>
        <w:rPr>
          <w:rFonts w:asciiTheme="minorHAnsi" w:hAnsiTheme="minorHAnsi" w:cstheme="minorHAnsi"/>
          <w:b/>
          <w:sz w:val="22"/>
          <w:szCs w:val="22"/>
        </w:rPr>
      </w:pPr>
    </w:p>
    <w:p w14:paraId="5A38D50E" w14:textId="77777777" w:rsidR="00F56ED1" w:rsidRDefault="00F56ED1" w:rsidP="00F56ED1">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51524D7B" w14:textId="77777777" w:rsidR="00F56ED1" w:rsidRDefault="00F56ED1" w:rsidP="00F56ED1">
      <w:pPr>
        <w:shd w:val="clear" w:color="auto" w:fill="E7E6E6"/>
        <w:jc w:val="both"/>
        <w:rPr>
          <w:rFonts w:asciiTheme="minorHAnsi" w:hAnsiTheme="minorHAnsi" w:cstheme="minorHAnsi"/>
          <w:sz w:val="22"/>
          <w:szCs w:val="22"/>
        </w:rPr>
      </w:pPr>
    </w:p>
    <w:p w14:paraId="5D7347E4"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3.2 is:</w:t>
      </w:r>
    </w:p>
    <w:p w14:paraId="2A99D85C" w14:textId="77777777" w:rsidR="00F56ED1" w:rsidRDefault="00F56ED1" w:rsidP="00F56ED1">
      <w:pPr>
        <w:shd w:val="clear" w:color="auto" w:fill="E7E6E6"/>
        <w:jc w:val="both"/>
        <w:rPr>
          <w:rFonts w:asciiTheme="minorHAnsi" w:hAnsiTheme="minorHAnsi" w:cstheme="minorHAnsi"/>
          <w:sz w:val="22"/>
          <w:szCs w:val="22"/>
        </w:rPr>
      </w:pPr>
    </w:p>
    <w:p w14:paraId="6B0E15CA"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sz w:val="22"/>
          <w:szCs w:val="22"/>
        </w:rPr>
        <w:t>Strengthened web portal and resource catalogue to facilitate information-sharing and learning across the SIDS project portfolio in support of the SAMOA Pathway</w:t>
      </w:r>
    </w:p>
    <w:p w14:paraId="1666D475" w14:textId="77777777" w:rsidR="00F56ED1" w:rsidRDefault="00F56ED1" w:rsidP="00F56ED1">
      <w:pPr>
        <w:shd w:val="clear" w:color="auto" w:fill="E7E6E6"/>
        <w:jc w:val="both"/>
        <w:rPr>
          <w:rFonts w:asciiTheme="minorHAnsi" w:hAnsiTheme="minorHAnsi" w:cstheme="minorHAnsi"/>
          <w:sz w:val="22"/>
          <w:szCs w:val="22"/>
        </w:rPr>
      </w:pPr>
    </w:p>
    <w:p w14:paraId="01F1398A"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3.2 is:</w:t>
      </w:r>
    </w:p>
    <w:p w14:paraId="1E391CFB" w14:textId="77777777" w:rsidR="00F56ED1" w:rsidRDefault="00F56ED1" w:rsidP="00F56ED1">
      <w:pPr>
        <w:shd w:val="clear" w:color="auto" w:fill="E7E6E6"/>
        <w:jc w:val="both"/>
        <w:rPr>
          <w:rFonts w:asciiTheme="minorHAnsi" w:hAnsiTheme="minorHAnsi" w:cstheme="minorHAnsi"/>
          <w:color w:val="000000"/>
          <w:sz w:val="22"/>
          <w:szCs w:val="22"/>
        </w:rPr>
      </w:pPr>
    </w:p>
    <w:p w14:paraId="1019855B" w14:textId="77777777" w:rsidR="00F56ED1" w:rsidRDefault="00F56ED1" w:rsidP="00F56ED1">
      <w:pPr>
        <w:shd w:val="clear" w:color="auto" w:fill="E7E6E6"/>
        <w:jc w:val="both"/>
        <w:rPr>
          <w:rFonts w:asciiTheme="minorHAnsi" w:hAnsiTheme="minorHAnsi" w:cstheme="minorHAnsi"/>
          <w:color w:val="000000"/>
          <w:sz w:val="22"/>
          <w:szCs w:val="22"/>
        </w:rPr>
      </w:pPr>
      <w:r>
        <w:rPr>
          <w:rFonts w:asciiTheme="minorHAnsi" w:hAnsiTheme="minorHAnsi" w:cstheme="minorHAnsi"/>
          <w:color w:val="000000"/>
          <w:sz w:val="22"/>
          <w:szCs w:val="22"/>
        </w:rPr>
        <w:t>Enhanced global collaboration and communication among Small Island Developing States</w:t>
      </w:r>
    </w:p>
    <w:p w14:paraId="3E1DB911" w14:textId="77777777" w:rsidR="00F56ED1" w:rsidRDefault="00F56ED1" w:rsidP="00F56ED1">
      <w:pPr>
        <w:shd w:val="clear" w:color="auto" w:fill="E7E6E6"/>
        <w:jc w:val="both"/>
        <w:rPr>
          <w:rFonts w:asciiTheme="minorHAnsi" w:hAnsiTheme="minorHAnsi" w:cstheme="minorHAnsi"/>
          <w:b/>
          <w:sz w:val="22"/>
          <w:szCs w:val="22"/>
        </w:rPr>
      </w:pPr>
    </w:p>
    <w:p w14:paraId="1551A62F" w14:textId="77777777" w:rsidR="00F56ED1" w:rsidRDefault="00F56ED1" w:rsidP="00F56ED1">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 xml:space="preserve">The overall costs for Component 3: GEF Grant USD350,004 (UNDP Components 3.2, 3.3) 850,000 (UNEP Components 3.1, 3.4) </w:t>
      </w:r>
    </w:p>
    <w:p w14:paraId="786106DA" w14:textId="77777777" w:rsidR="00F56ED1" w:rsidRDefault="00F56ED1" w:rsidP="00F56ED1">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3D50D8B9" w14:textId="77777777" w:rsidR="00F56ED1" w:rsidRDefault="00F56ED1" w:rsidP="00F56ED1">
      <w:pPr>
        <w:shd w:val="clear" w:color="auto" w:fill="E7E6E6"/>
        <w:jc w:val="both"/>
        <w:rPr>
          <w:rFonts w:asciiTheme="minorHAnsi" w:hAnsiTheme="minorHAnsi" w:cstheme="minorHAnsi"/>
          <w:sz w:val="22"/>
          <w:szCs w:val="22"/>
        </w:rPr>
      </w:pPr>
    </w:p>
    <w:p w14:paraId="6197110A" w14:textId="77777777" w:rsidR="00F56ED1" w:rsidRDefault="00F56ED1" w:rsidP="00F56ED1">
      <w:pPr>
        <w:shd w:val="clear" w:color="auto" w:fill="E7E6E6"/>
        <w:jc w:val="both"/>
        <w:rPr>
          <w:rFonts w:asciiTheme="minorHAnsi" w:hAnsiTheme="minorHAnsi" w:cstheme="minorHAnsi"/>
          <w:b/>
          <w:sz w:val="22"/>
          <w:szCs w:val="22"/>
        </w:rPr>
      </w:pPr>
      <w:r>
        <w:rPr>
          <w:rFonts w:asciiTheme="minorHAnsi" w:hAnsiTheme="minorHAnsi" w:cstheme="minorHAnsi"/>
          <w:sz w:val="22"/>
          <w:szCs w:val="22"/>
        </w:rPr>
        <w:t>2.1: GEF IW:LEARN website supporting improved GEF IW project snapshots and a searchable knowledge bank of project experience</w:t>
      </w:r>
    </w:p>
    <w:p w14:paraId="7B7592AF" w14:textId="77777777" w:rsidR="00F56ED1" w:rsidRDefault="00F56ED1" w:rsidP="00F56ED1">
      <w:pPr>
        <w:jc w:val="both"/>
        <w:rPr>
          <w:rFonts w:asciiTheme="minorHAnsi" w:hAnsiTheme="minorHAnsi" w:cstheme="minorHAnsi"/>
          <w:color w:val="000000"/>
          <w:sz w:val="22"/>
          <w:szCs w:val="22"/>
        </w:rPr>
      </w:pPr>
    </w:p>
    <w:p w14:paraId="68892C8C" w14:textId="77777777" w:rsidR="00F56ED1" w:rsidRDefault="00F56ED1" w:rsidP="00F56ED1">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global SIDS community maintains an active exchange of knowledge across several platforms, such as </w:t>
      </w:r>
      <w:proofErr w:type="spellStart"/>
      <w:r>
        <w:rPr>
          <w:rFonts w:asciiTheme="minorHAnsi" w:hAnsiTheme="minorHAnsi" w:cstheme="minorHAnsi"/>
          <w:color w:val="000000"/>
          <w:sz w:val="22"/>
          <w:szCs w:val="22"/>
        </w:rPr>
        <w:t>SIDSDock</w:t>
      </w:r>
      <w:proofErr w:type="spellEnd"/>
      <w:r>
        <w:rPr>
          <w:rFonts w:asciiTheme="minorHAnsi" w:hAnsiTheme="minorHAnsi" w:cstheme="minorHAnsi"/>
          <w:color w:val="000000"/>
          <w:sz w:val="22"/>
          <w:szCs w:val="22"/>
          <w:vertAlign w:val="superscript"/>
        </w:rPr>
        <w:footnoteReference w:id="6"/>
      </w:r>
      <w:r>
        <w:rPr>
          <w:rFonts w:asciiTheme="minorHAnsi" w:hAnsiTheme="minorHAnsi" w:cstheme="minorHAnsi"/>
          <w:color w:val="000000"/>
          <w:sz w:val="22"/>
          <w:szCs w:val="22"/>
        </w:rPr>
        <w:t xml:space="preserve"> supporting adoption of cleaner energy, the SIDS Action Platform</w:t>
      </w:r>
      <w:r>
        <w:rPr>
          <w:rFonts w:asciiTheme="minorHAnsi" w:hAnsiTheme="minorHAnsi" w:cstheme="minorHAnsi"/>
          <w:color w:val="000000"/>
          <w:sz w:val="22"/>
          <w:szCs w:val="22"/>
          <w:vertAlign w:val="superscript"/>
        </w:rPr>
        <w:footnoteReference w:id="7"/>
      </w:r>
      <w:r>
        <w:rPr>
          <w:rFonts w:asciiTheme="minorHAnsi" w:hAnsiTheme="minorHAnsi" w:cstheme="minorHAnsi"/>
          <w:color w:val="000000"/>
          <w:sz w:val="22"/>
          <w:szCs w:val="22"/>
        </w:rPr>
        <w:t xml:space="preserve"> in support for implementation of the SAMOA Pathway, and from multiple SIDS partners through mechanisms such as the Inter-Agency Consultative Group (IACG) on SIDS coordinated by UN-DESA. </w:t>
      </w:r>
    </w:p>
    <w:p w14:paraId="717EE321" w14:textId="77777777" w:rsidR="00F56ED1" w:rsidRDefault="00F56ED1" w:rsidP="00F56ED1">
      <w:pPr>
        <w:jc w:val="both"/>
        <w:rPr>
          <w:rFonts w:asciiTheme="minorHAnsi" w:hAnsiTheme="minorHAnsi" w:cstheme="minorHAnsi"/>
          <w:color w:val="000000"/>
          <w:sz w:val="22"/>
          <w:szCs w:val="22"/>
        </w:rPr>
      </w:pPr>
    </w:p>
    <w:p w14:paraId="2BDC54E3" w14:textId="77777777" w:rsidR="00F56ED1" w:rsidRDefault="00F56ED1" w:rsidP="00F56ED1">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Based on initial stakeholder feedback, this sub-component will create a new section on the iwlearn.net website for a SIDS Hub. With all the available existing knowledge, the SIDS Hub will prioritize cataloguing available SIDS knowledge resources and opportunities to facilitate information-sharing and learning across the GEF SIDS project portfolio. The goal of the SIDS Hub will be to strengthen dissemination of existing knowledge and knowledge management mechanisms, not duplicate the existing resources. The SIDS Hub aims at becoming the face of the project towards the GEF SIDS portfolio, both including the IW community but also addressing relevant SIDS issues that cut across GEF focal areas. The SIDS hub will leverage the functionalities that already exist on the IW:LEARN web portal and build on the experiences from the similarly structured LME Hub. </w:t>
      </w:r>
    </w:p>
    <w:p w14:paraId="3EB15185" w14:textId="77777777" w:rsidR="00F56ED1" w:rsidRDefault="00F56ED1" w:rsidP="00F56ED1">
      <w:pPr>
        <w:jc w:val="both"/>
        <w:rPr>
          <w:rFonts w:asciiTheme="minorHAnsi" w:hAnsiTheme="minorHAnsi" w:cstheme="minorHAnsi"/>
          <w:color w:val="000000"/>
          <w:sz w:val="22"/>
          <w:szCs w:val="22"/>
        </w:rPr>
      </w:pPr>
    </w:p>
    <w:p w14:paraId="339138FA" w14:textId="77777777" w:rsidR="00F56ED1" w:rsidRDefault="00F56ED1" w:rsidP="00F56ED1">
      <w:pPr>
        <w:jc w:val="both"/>
        <w:rPr>
          <w:rFonts w:asciiTheme="minorHAnsi" w:hAnsiTheme="minorHAnsi" w:cstheme="minorHAnsi"/>
          <w:color w:val="000000"/>
          <w:sz w:val="22"/>
          <w:szCs w:val="22"/>
        </w:rPr>
      </w:pPr>
      <w:r>
        <w:rPr>
          <w:rFonts w:asciiTheme="minorHAnsi" w:hAnsiTheme="minorHAnsi" w:cstheme="minorHAnsi"/>
          <w:color w:val="000000"/>
          <w:sz w:val="22"/>
          <w:szCs w:val="22"/>
        </w:rPr>
        <w:t>The principal objective of this sub-component is to deliver a new communication product and knowledge management resource aimed to complement existing SIDS resources for the general public and GEF SIDS projects personnel, providing a high-quality user experience for the GEF SIDS portfolio.</w:t>
      </w:r>
    </w:p>
    <w:p w14:paraId="6543AA9B" w14:textId="77777777" w:rsidR="00F56ED1" w:rsidRDefault="00F56ED1" w:rsidP="00F56ED1">
      <w:pPr>
        <w:jc w:val="both"/>
        <w:rPr>
          <w:rFonts w:asciiTheme="minorHAnsi" w:hAnsiTheme="minorHAnsi" w:cstheme="minorHAnsi"/>
          <w:sz w:val="22"/>
          <w:szCs w:val="22"/>
        </w:rPr>
      </w:pPr>
    </w:p>
    <w:p w14:paraId="6FF4E9B4"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This sub-component will contribute to the overall component goal of enhancing portfolio and partner capacity through the transfer of expertise and practical skills via direct personal knowledge transfer. The sub-component will be executed in conjunction with the overall improvements of the IW:LEARN website under sub-component 2.1. </w:t>
      </w:r>
    </w:p>
    <w:p w14:paraId="21B67FBA" w14:textId="77777777" w:rsidR="00F56ED1" w:rsidRDefault="00F56ED1" w:rsidP="00F56ED1">
      <w:pPr>
        <w:jc w:val="both"/>
        <w:rPr>
          <w:rFonts w:asciiTheme="minorHAnsi" w:hAnsiTheme="minorHAnsi" w:cstheme="minorHAnsi"/>
          <w:sz w:val="22"/>
          <w:szCs w:val="22"/>
        </w:rPr>
      </w:pPr>
    </w:p>
    <w:p w14:paraId="714EB43F"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lastRenderedPageBreak/>
        <w:t xml:space="preserve">The role of the PCU will be to conduct the initial status, gaps, and needs assessments, and to work with SIDS projects across GEF focal areas to develop and solicit material to be uploaded on the SIDS Hub, and provide technical support. </w:t>
      </w:r>
    </w:p>
    <w:p w14:paraId="7365BF22" w14:textId="77777777" w:rsidR="00F56ED1" w:rsidRDefault="00F56ED1" w:rsidP="00F56ED1">
      <w:pPr>
        <w:jc w:val="both"/>
        <w:rPr>
          <w:rFonts w:asciiTheme="minorHAnsi" w:hAnsiTheme="minorHAnsi" w:cstheme="minorHAnsi"/>
          <w:sz w:val="22"/>
          <w:szCs w:val="22"/>
        </w:rPr>
      </w:pPr>
    </w:p>
    <w:p w14:paraId="21626B12"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This sub-component will seek to leverage further partner contributions. The project aims to strengthen the IW:LEARN partnership by working with the existing SIDS community as identified by an initial status and needs assessment. This will ideally include leveraging the wealth of existing SIDS knowledge resources through strategic partnerships with: </w:t>
      </w:r>
    </w:p>
    <w:p w14:paraId="57B264C9" w14:textId="77777777" w:rsidR="00F56ED1" w:rsidRDefault="00F56ED1" w:rsidP="00F56ED1">
      <w:pPr>
        <w:jc w:val="both"/>
        <w:rPr>
          <w:rFonts w:asciiTheme="minorHAnsi" w:hAnsiTheme="minorHAnsi" w:cstheme="minorHAnsi"/>
          <w:sz w:val="22"/>
          <w:szCs w:val="22"/>
        </w:rPr>
      </w:pPr>
    </w:p>
    <w:p w14:paraId="71D1454A" w14:textId="77777777" w:rsidR="00F56ED1" w:rsidRDefault="00F56ED1" w:rsidP="00F56ED1">
      <w:pPr>
        <w:numPr>
          <w:ilvl w:val="0"/>
          <w:numId w:val="44"/>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UN-DESA SIDS Unit and the IACG on SIDS</w:t>
      </w:r>
      <w:sdt>
        <w:sdtPr>
          <w:rPr>
            <w:rFonts w:asciiTheme="minorHAnsi" w:hAnsiTheme="minorHAnsi" w:cstheme="minorHAnsi"/>
          </w:rPr>
          <w:tag w:val="goog_rdk_741"/>
          <w:id w:val="923989412"/>
        </w:sdtPr>
        <w:sdtEndPr/>
        <w:sdtContent>
          <w:r>
            <w:rPr>
              <w:rFonts w:asciiTheme="minorHAnsi" w:hAnsiTheme="minorHAnsi" w:cstheme="minorHAnsi"/>
              <w:color w:val="000000"/>
              <w:sz w:val="22"/>
              <w:szCs w:val="22"/>
            </w:rPr>
            <w:t>;</w:t>
          </w:r>
        </w:sdtContent>
      </w:sdt>
    </w:p>
    <w:sdt>
      <w:sdtPr>
        <w:rPr>
          <w:rFonts w:asciiTheme="minorHAnsi" w:hAnsiTheme="minorHAnsi" w:cstheme="minorHAnsi"/>
        </w:rPr>
        <w:tag w:val="goog_rdk_744"/>
        <w:id w:val="243928601"/>
      </w:sdtPr>
      <w:sdtEndPr/>
      <w:sdtContent>
        <w:p w14:paraId="045C12A9" w14:textId="77777777" w:rsidR="00F56ED1" w:rsidRDefault="00F56ED1" w:rsidP="00F56ED1">
          <w:pPr>
            <w:numPr>
              <w:ilvl w:val="0"/>
              <w:numId w:val="44"/>
            </w:numPr>
            <w:ind w:left="709"/>
            <w:jc w:val="both"/>
            <w:rPr>
              <w:rFonts w:asciiTheme="minorHAnsi" w:hAnsiTheme="minorHAnsi" w:cstheme="minorHAnsi"/>
            </w:rPr>
          </w:pPr>
          <w:r>
            <w:rPr>
              <w:rFonts w:asciiTheme="minorHAnsi" w:hAnsiTheme="minorHAnsi" w:cstheme="minorHAnsi"/>
              <w:color w:val="000000"/>
              <w:sz w:val="22"/>
              <w:szCs w:val="22"/>
            </w:rPr>
            <w:t>The AOSIS-managed SIDS Dock</w:t>
          </w:r>
          <w:sdt>
            <w:sdtPr>
              <w:rPr>
                <w:rFonts w:asciiTheme="minorHAnsi" w:hAnsiTheme="minorHAnsi" w:cstheme="minorHAnsi"/>
              </w:rPr>
              <w:tag w:val="goog_rdk_742"/>
              <w:id w:val="-12843551"/>
            </w:sdtPr>
            <w:sdtEndPr/>
            <w:sdtContent>
              <w:r>
                <w:rPr>
                  <w:rFonts w:asciiTheme="minorHAnsi" w:hAnsiTheme="minorHAnsi" w:cstheme="minorHAnsi"/>
                  <w:color w:val="000000"/>
                  <w:sz w:val="22"/>
                  <w:szCs w:val="22"/>
                </w:rPr>
                <w:t xml:space="preserve">; </w:t>
              </w:r>
            </w:sdtContent>
          </w:sdt>
          <w:sdt>
            <w:sdtPr>
              <w:rPr>
                <w:rFonts w:asciiTheme="minorHAnsi" w:hAnsiTheme="minorHAnsi" w:cstheme="minorHAnsi"/>
              </w:rPr>
              <w:tag w:val="goog_rdk_743"/>
              <w:id w:val="-725371922"/>
              <w:showingPlcHdr/>
            </w:sdtPr>
            <w:sdtEndPr/>
            <w:sdtContent>
              <w:r>
                <w:rPr>
                  <w:rFonts w:asciiTheme="minorHAnsi" w:hAnsiTheme="minorHAnsi" w:cstheme="minorHAnsi"/>
                </w:rPr>
                <w:t xml:space="preserve">     </w:t>
              </w:r>
            </w:sdtContent>
          </w:sdt>
        </w:p>
      </w:sdtContent>
    </w:sdt>
    <w:p w14:paraId="5B448ABA" w14:textId="77777777" w:rsidR="00F56ED1" w:rsidRDefault="00F57A55" w:rsidP="00F56ED1">
      <w:pPr>
        <w:numPr>
          <w:ilvl w:val="0"/>
          <w:numId w:val="44"/>
        </w:numPr>
        <w:ind w:left="709"/>
        <w:jc w:val="both"/>
        <w:rPr>
          <w:rFonts w:asciiTheme="minorHAnsi" w:hAnsiTheme="minorHAnsi" w:cstheme="minorHAnsi"/>
          <w:color w:val="000000"/>
          <w:sz w:val="22"/>
          <w:szCs w:val="22"/>
        </w:rPr>
      </w:pPr>
      <w:sdt>
        <w:sdtPr>
          <w:rPr>
            <w:rFonts w:asciiTheme="minorHAnsi" w:hAnsiTheme="minorHAnsi" w:cstheme="minorHAnsi"/>
          </w:rPr>
          <w:tag w:val="goog_rdk_745"/>
          <w:id w:val="252553688"/>
        </w:sdtPr>
        <w:sdtEndPr/>
        <w:sdtContent>
          <w:r w:rsidR="00F56ED1">
            <w:rPr>
              <w:rFonts w:asciiTheme="minorHAnsi" w:hAnsiTheme="minorHAnsi" w:cstheme="minorHAnsi"/>
              <w:color w:val="000000"/>
              <w:sz w:val="22"/>
              <w:szCs w:val="22"/>
            </w:rPr>
            <w:t xml:space="preserve">Regional Seas </w:t>
          </w:r>
          <w:proofErr w:type="spellStart"/>
          <w:r w:rsidR="00F56ED1">
            <w:rPr>
              <w:rFonts w:asciiTheme="minorHAnsi" w:hAnsiTheme="minorHAnsi" w:cstheme="minorHAnsi"/>
              <w:color w:val="000000"/>
              <w:sz w:val="22"/>
              <w:szCs w:val="22"/>
            </w:rPr>
            <w:t>Programme</w:t>
          </w:r>
          <w:proofErr w:type="spellEnd"/>
          <w:r w:rsidR="00F56ED1">
            <w:rPr>
              <w:rFonts w:asciiTheme="minorHAnsi" w:hAnsiTheme="minorHAnsi" w:cstheme="minorHAnsi"/>
              <w:color w:val="000000"/>
              <w:sz w:val="22"/>
              <w:szCs w:val="22"/>
            </w:rPr>
            <w:t xml:space="preserve"> prototype knowledge and information system; </w:t>
          </w:r>
        </w:sdtContent>
      </w:sdt>
      <w:sdt>
        <w:sdtPr>
          <w:rPr>
            <w:rFonts w:asciiTheme="minorHAnsi" w:hAnsiTheme="minorHAnsi" w:cstheme="minorHAnsi"/>
          </w:rPr>
          <w:tag w:val="goog_rdk_746"/>
          <w:id w:val="606235301"/>
        </w:sdtPr>
        <w:sdtEndPr/>
        <w:sdtContent>
          <w:r w:rsidR="00F56ED1">
            <w:rPr>
              <w:rFonts w:asciiTheme="minorHAnsi" w:hAnsiTheme="minorHAnsi" w:cstheme="minorHAnsi"/>
              <w:color w:val="000000"/>
              <w:sz w:val="22"/>
              <w:szCs w:val="22"/>
            </w:rPr>
            <w:t>and</w:t>
          </w:r>
        </w:sdtContent>
      </w:sdt>
    </w:p>
    <w:p w14:paraId="3C7203EE" w14:textId="0CFBBEA9" w:rsidR="00F56ED1" w:rsidRPr="00F56ED1" w:rsidRDefault="00F56ED1" w:rsidP="00F56ED1">
      <w:pPr>
        <w:numPr>
          <w:ilvl w:val="0"/>
          <w:numId w:val="44"/>
        </w:numPr>
        <w:ind w:left="709"/>
        <w:jc w:val="both"/>
        <w:rPr>
          <w:rFonts w:asciiTheme="minorHAnsi" w:hAnsiTheme="minorHAnsi" w:cstheme="minorHAnsi"/>
          <w:color w:val="000000"/>
          <w:sz w:val="22"/>
          <w:szCs w:val="22"/>
        </w:rPr>
      </w:pPr>
      <w:r>
        <w:rPr>
          <w:rFonts w:asciiTheme="minorHAnsi" w:hAnsiTheme="minorHAnsi" w:cstheme="minorHAnsi"/>
          <w:color w:val="000000"/>
          <w:sz w:val="22"/>
          <w:szCs w:val="22"/>
        </w:rPr>
        <w:t>Other members of the IACG on SIDS coordinated by UN-DESA, including UNCTAD, UNDP, UNEP, and UNESCO</w:t>
      </w:r>
      <w:sdt>
        <w:sdtPr>
          <w:rPr>
            <w:rFonts w:asciiTheme="minorHAnsi" w:hAnsiTheme="minorHAnsi" w:cstheme="minorHAnsi"/>
          </w:rPr>
          <w:tag w:val="goog_rdk_747"/>
          <w:id w:val="-1633710374"/>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p>
    <w:p w14:paraId="7D0D9766" w14:textId="77777777" w:rsidR="00F56ED1" w:rsidRDefault="00F56ED1" w:rsidP="00F56ED1">
      <w:pPr>
        <w:jc w:val="both"/>
        <w:rPr>
          <w:rFonts w:asciiTheme="minorHAnsi" w:hAnsiTheme="minorHAnsi" w:cstheme="minorHAnsi"/>
          <w:sz w:val="22"/>
          <w:szCs w:val="22"/>
        </w:rPr>
      </w:pPr>
    </w:p>
    <w:p w14:paraId="0D76315F"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The sub-component is comprised of two activities:</w:t>
      </w:r>
    </w:p>
    <w:p w14:paraId="0A50D32B" w14:textId="77777777" w:rsidR="00F56ED1" w:rsidRDefault="00F56ED1" w:rsidP="00F56ED1">
      <w:pPr>
        <w:numPr>
          <w:ilvl w:val="0"/>
          <w:numId w:val="45"/>
        </w:numPr>
        <w:spacing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3.2.1: Conduct a two-fold assessment and recommendations for development of SIDS Hub</w:t>
      </w:r>
      <w:sdt>
        <w:sdtPr>
          <w:rPr>
            <w:rFonts w:asciiTheme="minorHAnsi" w:hAnsiTheme="minorHAnsi" w:cstheme="minorHAnsi"/>
          </w:rPr>
          <w:tag w:val="goog_rdk_748"/>
          <w:id w:val="-1635173273"/>
        </w:sdtPr>
        <w:sdtEndPr/>
        <w:sdtContent>
          <w:r>
            <w:rPr>
              <w:rFonts w:asciiTheme="minorHAnsi" w:hAnsiTheme="minorHAnsi" w:cstheme="minorHAnsi"/>
              <w:color w:val="000000"/>
              <w:sz w:val="22"/>
              <w:szCs w:val="22"/>
            </w:rPr>
            <w:t>; and</w:t>
          </w:r>
        </w:sdtContent>
      </w:sdt>
    </w:p>
    <w:p w14:paraId="2CFCABC6" w14:textId="5CDC076E" w:rsidR="00F56ED1" w:rsidRPr="00F439E2" w:rsidRDefault="00F56ED1" w:rsidP="00F439E2">
      <w:pPr>
        <w:numPr>
          <w:ilvl w:val="0"/>
          <w:numId w:val="45"/>
        </w:numPr>
        <w:spacing w:after="160"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3.2.2: Development of the SIDS Hub within the IW:LEARN web site</w:t>
      </w:r>
      <w:sdt>
        <w:sdtPr>
          <w:rPr>
            <w:rFonts w:asciiTheme="minorHAnsi" w:hAnsiTheme="minorHAnsi" w:cstheme="minorHAnsi"/>
          </w:rPr>
          <w:tag w:val="goog_rdk_749"/>
          <w:id w:val="2064896746"/>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750"/>
          <w:id w:val="-734010704"/>
          <w:showingPlcHdr/>
        </w:sdtPr>
        <w:sdtEndPr/>
        <w:sdtContent>
          <w:r>
            <w:rPr>
              <w:rFonts w:asciiTheme="minorHAnsi" w:hAnsiTheme="minorHAnsi" w:cstheme="minorHAnsi"/>
            </w:rPr>
            <w:t xml:space="preserve">     </w:t>
          </w:r>
        </w:sdtContent>
      </w:sdt>
    </w:p>
    <w:p w14:paraId="30CE04DB" w14:textId="69D6E059"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3.2.1</w:t>
      </w:r>
      <w:r>
        <w:rPr>
          <w:rFonts w:asciiTheme="minorHAnsi" w:hAnsiTheme="minorHAnsi" w:cstheme="minorHAnsi"/>
          <w:b/>
          <w:bCs/>
          <w:color w:val="000000" w:themeColor="text1"/>
          <w:sz w:val="22"/>
          <w:szCs w:val="22"/>
        </w:rPr>
        <w:t xml:space="preserve">: </w:t>
      </w:r>
      <w:r w:rsidRPr="00F56ED1">
        <w:rPr>
          <w:rFonts w:asciiTheme="minorHAnsi" w:hAnsiTheme="minorHAnsi" w:cstheme="minorHAnsi"/>
          <w:b/>
          <w:bCs/>
          <w:color w:val="000000" w:themeColor="text1"/>
          <w:sz w:val="22"/>
          <w:szCs w:val="22"/>
        </w:rPr>
        <w:t>Conduct a two-fold assessment and recommendations for development of SIDS Hub</w:t>
      </w:r>
    </w:p>
    <w:p w14:paraId="477B402C" w14:textId="77777777" w:rsidR="00F56ED1" w:rsidRDefault="00F56ED1" w:rsidP="00F56ED1">
      <w:pPr>
        <w:jc w:val="both"/>
        <w:rPr>
          <w:rFonts w:asciiTheme="minorHAnsi" w:hAnsiTheme="minorHAnsi" w:cstheme="minorHAnsi"/>
          <w:color w:val="000000"/>
          <w:sz w:val="22"/>
          <w:szCs w:val="22"/>
        </w:rPr>
      </w:pPr>
      <w:r>
        <w:rPr>
          <w:rFonts w:asciiTheme="minorHAnsi" w:hAnsiTheme="minorHAnsi" w:cstheme="minorHAnsi"/>
          <w:sz w:val="22"/>
          <w:szCs w:val="22"/>
        </w:rPr>
        <w:t>Within this activity an assessment will be conducted that will inform the development of the SIDS Hub, including: (</w:t>
      </w:r>
      <w:r>
        <w:rPr>
          <w:rFonts w:asciiTheme="minorHAnsi" w:hAnsiTheme="minorHAnsi" w:cstheme="minorHAnsi"/>
          <w:color w:val="000000"/>
          <w:sz w:val="22"/>
          <w:szCs w:val="22"/>
        </w:rPr>
        <w:t xml:space="preserve">1) an assessment of all past and current SIDS knowledge materials available online, and; (2) a stakeholder-driven assessment of needs, gaps, and priorities from an IW:LEARN SIDS Hub from the SIDS GEF IW project community and other focal area projects. Based on this assessment, the recommendations will be provided for SIDS Hub content organization, including content assimilation, categorization, and synthesis based on the assessment. </w:t>
      </w:r>
    </w:p>
    <w:p w14:paraId="5E59B99D" w14:textId="77777777" w:rsidR="00F56ED1" w:rsidRDefault="00F56ED1" w:rsidP="00F56ED1">
      <w:pPr>
        <w:jc w:val="both"/>
        <w:rPr>
          <w:rFonts w:asciiTheme="minorHAnsi" w:hAnsiTheme="minorHAnsi" w:cstheme="minorHAnsi"/>
          <w:color w:val="000000"/>
          <w:sz w:val="22"/>
          <w:szCs w:val="22"/>
        </w:rPr>
      </w:pPr>
    </w:p>
    <w:p w14:paraId="3332AFE0" w14:textId="77777777" w:rsidR="00F56ED1" w:rsidRDefault="00F56ED1" w:rsidP="00F56ED1">
      <w:pPr>
        <w:jc w:val="both"/>
        <w:rPr>
          <w:rFonts w:asciiTheme="minorHAnsi" w:hAnsiTheme="minorHAnsi" w:cstheme="minorHAnsi"/>
          <w:sz w:val="22"/>
          <w:szCs w:val="22"/>
        </w:rPr>
      </w:pPr>
      <w:r>
        <w:rPr>
          <w:rFonts w:asciiTheme="minorHAnsi" w:hAnsiTheme="minorHAnsi" w:cstheme="minorHAnsi"/>
          <w:color w:val="000000"/>
          <w:sz w:val="22"/>
          <w:szCs w:val="22"/>
        </w:rPr>
        <w:t xml:space="preserve">The output of this activity will serve as the initial categorized content, including knowledge products and resources for the SIDS Hub. The knowledge gap assessment will also inform selection of themes and topics for training and twinning within the component, as possible. This activity will ensure the SIDS hub is filling its intended niche that complements existing resources for SIDS to build capacity of the SIDS community in support of delivery of the SAMOA Pathway. </w:t>
      </w:r>
    </w:p>
    <w:p w14:paraId="6EF1B79D" w14:textId="77777777" w:rsidR="00F56ED1" w:rsidRPr="00F56ED1" w:rsidRDefault="00F56ED1" w:rsidP="00F56ED1"/>
    <w:p w14:paraId="4A1DE5EA" w14:textId="6466C6A5" w:rsidR="00F56ED1" w:rsidRDefault="00F56ED1" w:rsidP="00F56ED1">
      <w:pPr>
        <w:pStyle w:val="Heading5"/>
        <w:rPr>
          <w:rFonts w:asciiTheme="minorHAnsi" w:hAnsiTheme="minorHAnsi" w:cstheme="minorHAnsi"/>
          <w:b/>
          <w:bCs/>
          <w:color w:val="000000" w:themeColor="text1"/>
          <w:sz w:val="22"/>
          <w:szCs w:val="22"/>
        </w:rPr>
      </w:pPr>
      <w:r w:rsidRPr="00F56ED1">
        <w:rPr>
          <w:rFonts w:asciiTheme="minorHAnsi" w:hAnsiTheme="minorHAnsi" w:cstheme="minorHAnsi"/>
          <w:b/>
          <w:bCs/>
          <w:color w:val="000000" w:themeColor="text1"/>
          <w:sz w:val="22"/>
          <w:szCs w:val="22"/>
        </w:rPr>
        <w:t>Activity 3.2.2</w:t>
      </w:r>
      <w:r>
        <w:rPr>
          <w:rFonts w:asciiTheme="minorHAnsi" w:hAnsiTheme="minorHAnsi" w:cstheme="minorHAnsi"/>
          <w:b/>
          <w:bCs/>
          <w:color w:val="000000" w:themeColor="text1"/>
          <w:sz w:val="22"/>
          <w:szCs w:val="22"/>
        </w:rPr>
        <w:t>:</w:t>
      </w:r>
      <w:r w:rsidRPr="00F56ED1">
        <w:rPr>
          <w:rFonts w:asciiTheme="minorHAnsi" w:hAnsiTheme="minorHAnsi" w:cstheme="minorHAnsi"/>
          <w:b/>
          <w:bCs/>
          <w:color w:val="000000" w:themeColor="text1"/>
          <w:sz w:val="22"/>
          <w:szCs w:val="22"/>
        </w:rPr>
        <w:t xml:space="preserve"> Development of the SIDS hub within the IW:LEARN web site for the GEF SIDS projects</w:t>
      </w:r>
    </w:p>
    <w:p w14:paraId="4227CEDB" w14:textId="77777777" w:rsidR="00F56ED1" w:rsidRDefault="00F56ED1" w:rsidP="00F56ED1">
      <w:pPr>
        <w:jc w:val="both"/>
        <w:rPr>
          <w:rFonts w:asciiTheme="minorHAnsi" w:hAnsiTheme="minorHAnsi" w:cstheme="minorHAnsi"/>
          <w:sz w:val="22"/>
          <w:szCs w:val="22"/>
        </w:rPr>
      </w:pPr>
      <w:r>
        <w:rPr>
          <w:rFonts w:asciiTheme="minorHAnsi" w:hAnsiTheme="minorHAnsi" w:cstheme="minorHAnsi"/>
          <w:sz w:val="22"/>
          <w:szCs w:val="22"/>
        </w:rPr>
        <w:t xml:space="preserve">The outcome of this activity is to strengthen the role of the GEF IW portfolio on SIDS. The SIDS Hub will be a dedicated space to disseminate knowledge for the GEF specific SIDS community. In addition to the baseline knowledge products and resources identified under activity 3.2.1, the SIDS hub will also serve as the main knowledge dissemination tool for the knowledge generated by this project and other ongoing GEF SIDS investments, including SIDS training courses (developed under Sub-component 3.3), collection of SIDS twinning reports and lightning chat recordings, a discussion forum, and other knowledge products. The SIDS Hub will build on the existing IW:LEARN website for hosting and technical support, while relying on SIDS projects’ community for ongoing population of information in the SIDS Hub. </w:t>
      </w:r>
    </w:p>
    <w:p w14:paraId="0C377BEE" w14:textId="77777777" w:rsidR="00F56ED1" w:rsidRDefault="00F56ED1" w:rsidP="00F56ED1">
      <w:pPr>
        <w:jc w:val="both"/>
        <w:rPr>
          <w:rFonts w:asciiTheme="minorHAnsi" w:hAnsiTheme="minorHAnsi" w:cstheme="minorHAnsi"/>
          <w:sz w:val="22"/>
          <w:szCs w:val="22"/>
        </w:rPr>
      </w:pPr>
    </w:p>
    <w:p w14:paraId="55DF932A" w14:textId="0015F88E" w:rsidR="00F56ED1" w:rsidRPr="00F439E2" w:rsidRDefault="00F56ED1" w:rsidP="00F439E2">
      <w:pPr>
        <w:jc w:val="both"/>
        <w:rPr>
          <w:rFonts w:asciiTheme="minorHAnsi" w:hAnsiTheme="minorHAnsi" w:cstheme="minorHAnsi"/>
          <w:sz w:val="22"/>
          <w:szCs w:val="22"/>
        </w:rPr>
      </w:pPr>
      <w:r>
        <w:rPr>
          <w:rFonts w:asciiTheme="minorHAnsi" w:hAnsiTheme="minorHAnsi" w:cstheme="minorHAnsi"/>
          <w:sz w:val="22"/>
          <w:szCs w:val="22"/>
        </w:rPr>
        <w:t>The SIDS Hub is versioned to have two levels of information: outreach materials aimed at general public; and a more technical section that will present material relevant for all issues of interest for the SIDS projects’ community. The SIDS Hub will follow positive experience from building the similar hub for the LME community in the context of the LME: LEARN.</w:t>
      </w:r>
    </w:p>
    <w:p w14:paraId="59E360EC" w14:textId="5BC732D5" w:rsidR="00EE4BEF" w:rsidRDefault="00EE4BEF" w:rsidP="00EE4BEF">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lastRenderedPageBreak/>
        <w:t xml:space="preserve">Sub-component </w:t>
      </w:r>
      <w:r>
        <w:rPr>
          <w:rFonts w:asciiTheme="minorHAnsi" w:hAnsiTheme="minorHAnsi" w:cstheme="minorHAnsi"/>
          <w:b/>
          <w:bCs/>
          <w:i w:val="0"/>
          <w:iCs w:val="0"/>
          <w:color w:val="000000" w:themeColor="text1"/>
        </w:rPr>
        <w:t>3.3</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Training courses and other capacity-strengthening guidance developed on cross-cutting topics of relevance to SIDS (UNDP)</w:t>
      </w:r>
    </w:p>
    <w:p w14:paraId="18723776" w14:textId="77777777" w:rsidR="00EE4BEF" w:rsidRDefault="00EE4BEF" w:rsidP="00EE4BEF">
      <w:pPr>
        <w:jc w:val="both"/>
        <w:rPr>
          <w:rFonts w:asciiTheme="minorHAnsi" w:hAnsiTheme="minorHAnsi" w:cstheme="minorHAnsi"/>
          <w:b/>
          <w:sz w:val="22"/>
          <w:szCs w:val="22"/>
        </w:rPr>
      </w:pPr>
    </w:p>
    <w:p w14:paraId="70C65F5D" w14:textId="77777777" w:rsidR="00EE4BEF" w:rsidRDefault="00EE4BEF" w:rsidP="00EE4BEF">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05456727" w14:textId="77777777" w:rsidR="00EE4BEF" w:rsidRDefault="00EE4BEF" w:rsidP="00EE4BEF">
      <w:pPr>
        <w:shd w:val="clear" w:color="auto" w:fill="E7E6E6"/>
        <w:jc w:val="both"/>
        <w:rPr>
          <w:rFonts w:asciiTheme="minorHAnsi" w:hAnsiTheme="minorHAnsi" w:cstheme="minorHAnsi"/>
          <w:sz w:val="22"/>
          <w:szCs w:val="22"/>
        </w:rPr>
      </w:pPr>
    </w:p>
    <w:p w14:paraId="5292FA17"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3.3 is:</w:t>
      </w:r>
    </w:p>
    <w:p w14:paraId="6B9123A9" w14:textId="77777777" w:rsidR="00EE4BEF" w:rsidRDefault="00EE4BEF" w:rsidP="00EE4BEF">
      <w:pPr>
        <w:shd w:val="clear" w:color="auto" w:fill="E7E6E6"/>
        <w:jc w:val="both"/>
        <w:rPr>
          <w:rFonts w:asciiTheme="minorHAnsi" w:hAnsiTheme="minorHAnsi" w:cstheme="minorHAnsi"/>
          <w:sz w:val="22"/>
          <w:szCs w:val="22"/>
        </w:rPr>
      </w:pPr>
    </w:p>
    <w:p w14:paraId="3A120C65"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Training courses and other capacity-strengthening guidance developed on cross-cutting topics of relevance to SIDS</w:t>
      </w:r>
    </w:p>
    <w:p w14:paraId="61725E39" w14:textId="77777777" w:rsidR="00EE4BEF" w:rsidRDefault="00EE4BEF" w:rsidP="00EE4BEF">
      <w:pPr>
        <w:shd w:val="clear" w:color="auto" w:fill="E7E6E6"/>
        <w:jc w:val="both"/>
        <w:rPr>
          <w:rFonts w:asciiTheme="minorHAnsi" w:hAnsiTheme="minorHAnsi" w:cstheme="minorHAnsi"/>
          <w:sz w:val="22"/>
          <w:szCs w:val="22"/>
        </w:rPr>
      </w:pPr>
    </w:p>
    <w:p w14:paraId="7B95A13F"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3.3 is:</w:t>
      </w:r>
    </w:p>
    <w:p w14:paraId="3657E759" w14:textId="77777777" w:rsidR="00EE4BEF" w:rsidRDefault="00EE4BEF" w:rsidP="00EE4BEF">
      <w:pPr>
        <w:shd w:val="clear" w:color="auto" w:fill="E7E6E6"/>
        <w:jc w:val="both"/>
        <w:rPr>
          <w:rFonts w:asciiTheme="minorHAnsi" w:hAnsiTheme="minorHAnsi" w:cstheme="minorHAnsi"/>
          <w:sz w:val="22"/>
          <w:szCs w:val="22"/>
        </w:rPr>
      </w:pPr>
    </w:p>
    <w:p w14:paraId="655305BD"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Improved coordination of GEF projects &amp; participating country counterparts in Small Island Developing States across all GEF focal areas and increased achievement of relevant environmental performance targets by project participating countries</w:t>
      </w:r>
    </w:p>
    <w:p w14:paraId="3D101DA5" w14:textId="77777777" w:rsidR="00EE4BEF" w:rsidRDefault="00EE4BEF" w:rsidP="00EE4BEF">
      <w:pPr>
        <w:shd w:val="clear" w:color="auto" w:fill="E7E6E6"/>
        <w:jc w:val="both"/>
        <w:rPr>
          <w:rFonts w:asciiTheme="minorHAnsi" w:hAnsiTheme="minorHAnsi" w:cstheme="minorHAnsi"/>
          <w:b/>
          <w:sz w:val="22"/>
          <w:szCs w:val="22"/>
        </w:rPr>
      </w:pPr>
    </w:p>
    <w:p w14:paraId="2E4E11B1" w14:textId="77777777" w:rsidR="00EE4BEF" w:rsidRDefault="00EE4BEF" w:rsidP="00EE4BEF">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3: GEF Grant USD350,004 (UNDP Components 3.2, 3.3) 850,000 (UNEP Components 3.1, 3.4)</w:t>
      </w:r>
    </w:p>
    <w:p w14:paraId="04098979" w14:textId="77777777" w:rsidR="00EE4BEF" w:rsidRDefault="00EE4BEF" w:rsidP="00EE4BEF">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 xml:space="preserve">This sub-component links to the following sub-components: </w:t>
      </w:r>
    </w:p>
    <w:p w14:paraId="7CEB9615" w14:textId="77777777" w:rsidR="00EE4BEF" w:rsidRDefault="00EE4BEF" w:rsidP="00EE4BEF">
      <w:pPr>
        <w:shd w:val="clear" w:color="auto" w:fill="E7E6E6"/>
        <w:jc w:val="both"/>
        <w:rPr>
          <w:rFonts w:asciiTheme="minorHAnsi" w:hAnsiTheme="minorHAnsi" w:cstheme="minorHAnsi"/>
          <w:sz w:val="22"/>
          <w:szCs w:val="22"/>
        </w:rPr>
      </w:pPr>
    </w:p>
    <w:p w14:paraId="74E9AD7E"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1.2: Regional training workshops for GEF IW projects and development partners on cross-cutting themes and key outputs from selected GEF portfolio methodology projects, delivered by partner learning network </w:t>
      </w:r>
    </w:p>
    <w:p w14:paraId="43B1C35E" w14:textId="77777777" w:rsidR="00EE4BEF" w:rsidRDefault="00EE4BEF" w:rsidP="00EE4BEF">
      <w:pPr>
        <w:shd w:val="clear" w:color="auto" w:fill="E7E6E6"/>
        <w:jc w:val="both"/>
        <w:rPr>
          <w:rFonts w:asciiTheme="minorHAnsi" w:hAnsiTheme="minorHAnsi" w:cstheme="minorHAnsi"/>
          <w:sz w:val="22"/>
          <w:szCs w:val="22"/>
        </w:rPr>
      </w:pPr>
    </w:p>
    <w:p w14:paraId="15A0CC16"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3.4: Intra and inter-regional training delivered in and among SIDS regions through regional partners </w:t>
      </w:r>
    </w:p>
    <w:p w14:paraId="54C220C9" w14:textId="77777777" w:rsidR="00EE4BEF" w:rsidRDefault="00EE4BEF" w:rsidP="00EE4BEF">
      <w:pPr>
        <w:shd w:val="clear" w:color="auto" w:fill="E7E6E6"/>
        <w:jc w:val="both"/>
        <w:rPr>
          <w:rFonts w:asciiTheme="minorHAnsi" w:hAnsiTheme="minorHAnsi" w:cstheme="minorHAnsi"/>
          <w:sz w:val="22"/>
          <w:szCs w:val="22"/>
        </w:rPr>
      </w:pPr>
    </w:p>
    <w:p w14:paraId="3670B316"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4.3: Training and capacity building activities in support of marine spatial planning in LME SAP implementation projects </w:t>
      </w:r>
    </w:p>
    <w:p w14:paraId="1C931455" w14:textId="77777777" w:rsidR="00EE4BEF" w:rsidRDefault="00EE4BEF" w:rsidP="00EE4BEF">
      <w:pPr>
        <w:shd w:val="clear" w:color="auto" w:fill="E7E6E6"/>
        <w:jc w:val="both"/>
        <w:rPr>
          <w:rFonts w:asciiTheme="minorHAnsi" w:hAnsiTheme="minorHAnsi" w:cstheme="minorHAnsi"/>
          <w:sz w:val="22"/>
          <w:szCs w:val="22"/>
        </w:rPr>
      </w:pPr>
    </w:p>
    <w:p w14:paraId="517FC357" w14:textId="77777777" w:rsidR="00EE4BEF" w:rsidRDefault="00EE4BEF" w:rsidP="00EE4BEF">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4.4 :Training and capacity building for marine and coastal projects and strategic planning methodologies on strengthening blue economy opportunities </w:t>
      </w:r>
    </w:p>
    <w:p w14:paraId="2D75BEDE" w14:textId="77777777" w:rsidR="00EE4BEF" w:rsidRDefault="00EE4BEF" w:rsidP="00EE4BEF">
      <w:pPr>
        <w:jc w:val="both"/>
        <w:rPr>
          <w:rFonts w:asciiTheme="minorHAnsi" w:hAnsiTheme="minorHAnsi" w:cstheme="minorHAnsi"/>
          <w:sz w:val="22"/>
          <w:szCs w:val="22"/>
        </w:rPr>
      </w:pPr>
    </w:p>
    <w:p w14:paraId="19281175" w14:textId="77777777" w:rsidR="00EE4BEF" w:rsidRDefault="00EE4BEF" w:rsidP="00EE4BEF">
      <w:pPr>
        <w:jc w:val="both"/>
        <w:rPr>
          <w:rFonts w:asciiTheme="minorHAnsi" w:hAnsiTheme="minorHAnsi" w:cstheme="minorHAnsi"/>
          <w:sz w:val="22"/>
          <w:szCs w:val="22"/>
        </w:rPr>
      </w:pPr>
      <w:r>
        <w:rPr>
          <w:rFonts w:asciiTheme="minorHAnsi" w:hAnsiTheme="minorHAnsi" w:cstheme="minorHAnsi"/>
          <w:sz w:val="22"/>
          <w:szCs w:val="22"/>
        </w:rPr>
        <w:t xml:space="preserve">One of the main value-added services of GEF IW:LEARN is the cross-fertilization between projects and their partners that occurs through global and regional face-to-face targeted learning workshops. Targeted training provides a means to strengthen capacity of projects and their partners in the regions. Face-to-face and online learning events also provide an environment for networking and sharing of experiences both during and after the event has concluded.  Multiple SIDS project representatives have been engaged in previous IW:LEARN targeted learnings. </w:t>
      </w:r>
    </w:p>
    <w:p w14:paraId="313281EF" w14:textId="77777777" w:rsidR="00EE4BEF" w:rsidRDefault="00EE4BEF" w:rsidP="00EE4BEF">
      <w:pPr>
        <w:jc w:val="both"/>
        <w:rPr>
          <w:rFonts w:asciiTheme="minorHAnsi" w:hAnsiTheme="minorHAnsi" w:cstheme="minorHAnsi"/>
          <w:sz w:val="22"/>
          <w:szCs w:val="22"/>
        </w:rPr>
      </w:pPr>
    </w:p>
    <w:p w14:paraId="79AF6BC9" w14:textId="77777777" w:rsidR="00EE4BEF" w:rsidRDefault="00EE4BEF" w:rsidP="00EE4BEF">
      <w:pPr>
        <w:jc w:val="both"/>
        <w:rPr>
          <w:rFonts w:asciiTheme="minorHAnsi" w:hAnsiTheme="minorHAnsi" w:cstheme="minorHAnsi"/>
          <w:sz w:val="22"/>
          <w:szCs w:val="22"/>
        </w:rPr>
      </w:pPr>
      <w:r>
        <w:rPr>
          <w:rFonts w:asciiTheme="minorHAnsi" w:hAnsiTheme="minorHAnsi" w:cstheme="minorHAnsi"/>
          <w:sz w:val="22"/>
          <w:szCs w:val="22"/>
        </w:rPr>
        <w:t xml:space="preserve">For sub-component 3.3, GEF IW:LEARN will identify appropriate partners with experience in subjects relevant for SIDS to develop thematic capacity-strengthening training materials that will be delivered at workshops and project/partner roundtables (sub-component 3.4). As issues and national priorities evolve, the training topics for this sub-component will be carefully selected during execution to ensure that timely SIDS specific support is most efficiently delivered. </w:t>
      </w:r>
    </w:p>
    <w:p w14:paraId="59C7068A" w14:textId="77777777" w:rsidR="00EE4BEF" w:rsidRDefault="00EE4BEF" w:rsidP="00EE4BEF">
      <w:pPr>
        <w:jc w:val="both"/>
        <w:rPr>
          <w:rFonts w:asciiTheme="minorHAnsi" w:hAnsiTheme="minorHAnsi" w:cstheme="minorHAnsi"/>
          <w:sz w:val="22"/>
          <w:szCs w:val="22"/>
        </w:rPr>
      </w:pPr>
    </w:p>
    <w:p w14:paraId="4352B42C" w14:textId="77777777" w:rsidR="00EE4BEF" w:rsidRDefault="00EE4BEF" w:rsidP="00EE4BEF">
      <w:pPr>
        <w:jc w:val="both"/>
        <w:rPr>
          <w:rFonts w:asciiTheme="minorHAnsi" w:hAnsiTheme="minorHAnsi" w:cstheme="minorHAnsi"/>
          <w:sz w:val="22"/>
          <w:szCs w:val="22"/>
        </w:rPr>
      </w:pPr>
      <w:r>
        <w:rPr>
          <w:rFonts w:asciiTheme="minorHAnsi" w:hAnsiTheme="minorHAnsi" w:cstheme="minorHAnsi"/>
          <w:sz w:val="22"/>
          <w:szCs w:val="22"/>
        </w:rPr>
        <w:t xml:space="preserve">The selection of training topics will be informed by multiple elements, including active dialogue with the SIDS community, GEF Agencies and IW community, IW portfolio surveys, corporate and strategic priorities of the GEF Secretariat, and leverage opportunities with existing training events, including with other sub-components of this project. To best serve global SIDS priorities under the SAMOA </w:t>
      </w:r>
      <w:r>
        <w:rPr>
          <w:rFonts w:asciiTheme="minorHAnsi" w:hAnsiTheme="minorHAnsi" w:cstheme="minorHAnsi"/>
          <w:sz w:val="22"/>
          <w:szCs w:val="22"/>
        </w:rPr>
        <w:lastRenderedPageBreak/>
        <w:t xml:space="preserve">Pathway, the PCU will prioritize triangulation of GEF SIDS portfolio training needs through consultations with the Inter-Agency Coordination Group (IAGC) on SIDS coordinated by UN-DESA. </w:t>
      </w:r>
    </w:p>
    <w:p w14:paraId="56D6E63B" w14:textId="77777777" w:rsidR="00EE4BEF" w:rsidRDefault="00EE4BEF" w:rsidP="00EE4BEF">
      <w:pPr>
        <w:jc w:val="both"/>
        <w:rPr>
          <w:rFonts w:asciiTheme="minorHAnsi" w:hAnsiTheme="minorHAnsi" w:cstheme="minorHAnsi"/>
          <w:color w:val="000000"/>
          <w:sz w:val="22"/>
          <w:szCs w:val="22"/>
        </w:rPr>
      </w:pPr>
    </w:p>
    <w:p w14:paraId="0D4B5501" w14:textId="77777777" w:rsidR="00EE4BEF" w:rsidRDefault="00EE4BEF" w:rsidP="00EE4BEF">
      <w:pPr>
        <w:jc w:val="both"/>
        <w:rPr>
          <w:rFonts w:asciiTheme="minorHAnsi" w:hAnsiTheme="minorHAnsi" w:cstheme="minorHAnsi"/>
          <w:sz w:val="22"/>
          <w:szCs w:val="22"/>
        </w:rPr>
      </w:pPr>
      <w:r>
        <w:rPr>
          <w:rFonts w:asciiTheme="minorHAnsi" w:hAnsiTheme="minorHAnsi" w:cstheme="minorHAnsi"/>
          <w:sz w:val="22"/>
          <w:szCs w:val="22"/>
        </w:rPr>
        <w:t>This Sub-component 3.3 has the following principal objectives:</w:t>
      </w:r>
    </w:p>
    <w:p w14:paraId="1E08CC99" w14:textId="77777777" w:rsidR="00EE4BEF" w:rsidRDefault="00EE4BEF" w:rsidP="00EE4BEF">
      <w:pPr>
        <w:jc w:val="both"/>
        <w:rPr>
          <w:rFonts w:asciiTheme="minorHAnsi" w:hAnsiTheme="minorHAnsi" w:cstheme="minorHAnsi"/>
          <w:sz w:val="22"/>
          <w:szCs w:val="22"/>
        </w:rPr>
      </w:pPr>
    </w:p>
    <w:p w14:paraId="529DDD20" w14:textId="77777777" w:rsidR="00EE4BEF" w:rsidRDefault="00EE4BEF" w:rsidP="00EE4BEF">
      <w:pPr>
        <w:numPr>
          <w:ilvl w:val="0"/>
          <w:numId w:val="11"/>
        </w:numPr>
        <w:jc w:val="both"/>
        <w:rPr>
          <w:rFonts w:asciiTheme="minorHAnsi" w:hAnsiTheme="minorHAnsi" w:cstheme="minorHAnsi"/>
          <w:color w:val="000000"/>
          <w:sz w:val="22"/>
          <w:szCs w:val="22"/>
        </w:rPr>
      </w:pPr>
      <w:r>
        <w:rPr>
          <w:rFonts w:asciiTheme="minorHAnsi" w:hAnsiTheme="minorHAnsi" w:cstheme="minorHAnsi"/>
          <w:color w:val="000000"/>
          <w:sz w:val="22"/>
          <w:szCs w:val="22"/>
        </w:rPr>
        <w:t>Strengthen the capacity of GEF project coordination units (IW and other focal areas) and their partner institutions in priority thematic areas for SIDS, globally and regionally as relevant to partner needs;</w:t>
      </w:r>
      <w:sdt>
        <w:sdtPr>
          <w:rPr>
            <w:rFonts w:asciiTheme="minorHAnsi" w:hAnsiTheme="minorHAnsi" w:cstheme="minorHAnsi"/>
          </w:rPr>
          <w:tag w:val="goog_rdk_752"/>
          <w:id w:val="917526213"/>
        </w:sdtPr>
        <w:sdtEndPr/>
        <w:sdtContent>
          <w:r>
            <w:rPr>
              <w:rFonts w:asciiTheme="minorHAnsi" w:hAnsiTheme="minorHAnsi" w:cstheme="minorHAnsi"/>
              <w:color w:val="000000"/>
              <w:sz w:val="22"/>
              <w:szCs w:val="22"/>
            </w:rPr>
            <w:t xml:space="preserve"> and</w:t>
          </w:r>
        </w:sdtContent>
      </w:sdt>
    </w:p>
    <w:p w14:paraId="0D3902C6" w14:textId="77777777" w:rsidR="00EE4BEF" w:rsidRDefault="00EE4BEF" w:rsidP="00EE4BEF">
      <w:pPr>
        <w:numPr>
          <w:ilvl w:val="0"/>
          <w:numId w:val="11"/>
        </w:numPr>
        <w:spacing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Enhance coordination among GEF SIDS projects through face-to-face and online networking, especially targeting regional cooperation.</w:t>
      </w:r>
    </w:p>
    <w:p w14:paraId="5F2C19DA" w14:textId="77777777" w:rsidR="00EE4BEF" w:rsidRDefault="00EE4BEF" w:rsidP="00EE4BEF">
      <w:pPr>
        <w:jc w:val="both"/>
        <w:rPr>
          <w:rFonts w:asciiTheme="minorHAnsi" w:hAnsiTheme="minorHAnsi" w:cstheme="minorHAnsi"/>
          <w:color w:val="000000"/>
          <w:sz w:val="22"/>
          <w:szCs w:val="22"/>
        </w:rPr>
      </w:pPr>
    </w:p>
    <w:p w14:paraId="39E8BBAE" w14:textId="77777777" w:rsidR="00EE4BEF" w:rsidRDefault="00EE4BEF" w:rsidP="00EE4BEF">
      <w:pPr>
        <w:jc w:val="both"/>
        <w:rPr>
          <w:rFonts w:asciiTheme="minorHAnsi" w:hAnsiTheme="minorHAnsi" w:cstheme="minorHAnsi"/>
          <w:sz w:val="22"/>
          <w:szCs w:val="22"/>
        </w:rPr>
      </w:pPr>
      <w:r>
        <w:rPr>
          <w:rFonts w:asciiTheme="minorHAnsi" w:hAnsiTheme="minorHAnsi" w:cstheme="minorHAnsi"/>
          <w:sz w:val="22"/>
          <w:szCs w:val="22"/>
        </w:rPr>
        <w:t>The role of the PCU will be to work with the UNDP SIDS Unit</w:t>
      </w:r>
      <w:r>
        <w:rPr>
          <w:rFonts w:asciiTheme="minorHAnsi" w:hAnsiTheme="minorHAnsi" w:cstheme="minorHAnsi"/>
          <w:color w:val="000000"/>
          <w:sz w:val="22"/>
          <w:szCs w:val="22"/>
        </w:rPr>
        <w:t xml:space="preserve">, leveraging ongoing SIDS support for SDGs and SAMOA Pathway priorities under the “Rising up for SIDS”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w:t>
      </w:r>
      <w:r>
        <w:rPr>
          <w:rFonts w:asciiTheme="minorHAnsi" w:hAnsiTheme="minorHAnsi" w:cstheme="minorHAnsi"/>
          <w:sz w:val="22"/>
          <w:szCs w:val="22"/>
        </w:rPr>
        <w:t xml:space="preserve"> and other partners to design effective training modules relevant to the context and needs of the GEF portfolio of importance for SIDS. Where possible, the PCU will leverage SIDS-specific training products with strategic partners as the opportunity allows. For example, building on planned training from SIDS partners, such as UNDP SIDS Unit targeting support for </w:t>
      </w:r>
      <w:r>
        <w:rPr>
          <w:rFonts w:asciiTheme="minorHAnsi" w:hAnsiTheme="minorHAnsi" w:cstheme="minorHAnsi"/>
          <w:color w:val="000000"/>
          <w:sz w:val="22"/>
          <w:szCs w:val="22"/>
        </w:rPr>
        <w:t xml:space="preserve">SIDS through three thematic pillars addressing climate change, blue economy, and digital transformation. </w:t>
      </w:r>
      <w:r>
        <w:rPr>
          <w:rFonts w:asciiTheme="minorHAnsi" w:hAnsiTheme="minorHAnsi" w:cstheme="minorHAnsi"/>
          <w:sz w:val="22"/>
          <w:szCs w:val="22"/>
        </w:rPr>
        <w:t>Where possible this sub-component will seek to leverage partner contributions within the existing SIDS community. This will ideally include leveraging the wealth of existing SIDS knowledge resources through adapting and amplifying existing SIDS-specific trainings from knowledge materials, such as UNCTAD SIDS trainings on sustainable blue financing and addressing economic vulnerability.</w:t>
      </w:r>
    </w:p>
    <w:p w14:paraId="3074C2E0" w14:textId="77777777" w:rsidR="00EE4BEF" w:rsidRDefault="00EE4BEF" w:rsidP="00EE4BEF">
      <w:pPr>
        <w:jc w:val="both"/>
        <w:rPr>
          <w:rFonts w:asciiTheme="minorHAnsi" w:hAnsiTheme="minorHAnsi" w:cstheme="minorHAnsi"/>
          <w:color w:val="000000"/>
          <w:sz w:val="22"/>
          <w:szCs w:val="22"/>
        </w:rPr>
      </w:pPr>
    </w:p>
    <w:p w14:paraId="0A64DBDA" w14:textId="77777777" w:rsidR="00EE4BEF" w:rsidRDefault="00EE4BEF" w:rsidP="00EE4BEF">
      <w:pPr>
        <w:jc w:val="both"/>
        <w:rPr>
          <w:rFonts w:asciiTheme="minorHAnsi" w:hAnsiTheme="minorHAnsi" w:cstheme="minorHAnsi"/>
          <w:color w:val="000000"/>
          <w:sz w:val="22"/>
          <w:szCs w:val="22"/>
        </w:rPr>
      </w:pPr>
      <w:r>
        <w:rPr>
          <w:rFonts w:asciiTheme="minorHAnsi" w:hAnsiTheme="minorHAnsi" w:cstheme="minorHAnsi"/>
          <w:color w:val="000000"/>
          <w:sz w:val="22"/>
          <w:szCs w:val="22"/>
        </w:rPr>
        <w:t>The Sub-component 3.3 is comprised of the following activity:</w:t>
      </w:r>
    </w:p>
    <w:p w14:paraId="5A52F0D1" w14:textId="77777777" w:rsidR="00EE4BEF" w:rsidRDefault="00EE4BEF" w:rsidP="00EE4BEF">
      <w:pPr>
        <w:jc w:val="both"/>
        <w:rPr>
          <w:rFonts w:asciiTheme="minorHAnsi" w:hAnsiTheme="minorHAnsi" w:cstheme="minorHAnsi"/>
          <w:color w:val="000000"/>
          <w:sz w:val="22"/>
          <w:szCs w:val="22"/>
        </w:rPr>
      </w:pPr>
    </w:p>
    <w:p w14:paraId="3AED6BBA" w14:textId="77777777" w:rsidR="00EE4BEF" w:rsidRDefault="00EE4BEF" w:rsidP="00EE4BEF">
      <w:pPr>
        <w:numPr>
          <w:ilvl w:val="0"/>
          <w:numId w:val="46"/>
        </w:numPr>
        <w:spacing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3.3.1: Compilation and development of training materials that can be used for online and face to face training on timely subjects identified as high priority for GEF SIDS projects</w:t>
      </w:r>
      <w:sdt>
        <w:sdtPr>
          <w:rPr>
            <w:rFonts w:asciiTheme="minorHAnsi" w:hAnsiTheme="minorHAnsi" w:cstheme="minorHAnsi"/>
          </w:rPr>
          <w:tag w:val="goog_rdk_753"/>
          <w:id w:val="718405956"/>
        </w:sdtPr>
        <w:sdtEndPr/>
        <w:sdtContent>
          <w:r>
            <w:rPr>
              <w:rFonts w:asciiTheme="minorHAnsi" w:hAnsiTheme="minorHAnsi" w:cstheme="minorHAnsi"/>
              <w:color w:val="000000"/>
              <w:sz w:val="22"/>
              <w:szCs w:val="22"/>
            </w:rPr>
            <w:t>.</w:t>
          </w:r>
        </w:sdtContent>
      </w:sdt>
    </w:p>
    <w:p w14:paraId="414A8454" w14:textId="77777777" w:rsidR="00EE4BEF" w:rsidRDefault="00EE4BEF" w:rsidP="00EE4BEF">
      <w:pPr>
        <w:jc w:val="both"/>
        <w:rPr>
          <w:rFonts w:asciiTheme="minorHAnsi" w:hAnsiTheme="minorHAnsi" w:cstheme="minorHAnsi"/>
          <w:color w:val="000000"/>
          <w:sz w:val="22"/>
          <w:szCs w:val="22"/>
        </w:rPr>
      </w:pPr>
    </w:p>
    <w:p w14:paraId="62C36879" w14:textId="77777777" w:rsidR="00EE4BEF" w:rsidRDefault="00EE4BEF" w:rsidP="00EE4BEF">
      <w:pPr>
        <w:jc w:val="both"/>
        <w:rPr>
          <w:rFonts w:asciiTheme="minorHAnsi" w:hAnsiTheme="minorHAnsi" w:cstheme="minorHAnsi"/>
          <w:sz w:val="22"/>
          <w:szCs w:val="22"/>
        </w:rPr>
      </w:pPr>
      <w:r>
        <w:rPr>
          <w:rFonts w:asciiTheme="minorHAnsi" w:hAnsiTheme="minorHAnsi" w:cstheme="minorHAnsi"/>
          <w:sz w:val="22"/>
          <w:szCs w:val="22"/>
        </w:rPr>
        <w:t xml:space="preserve">Due to COVID-19 pandemics, trainings, when not possible to be </w:t>
      </w:r>
      <w:proofErr w:type="spellStart"/>
      <w:r>
        <w:rPr>
          <w:rFonts w:asciiTheme="minorHAnsi" w:hAnsiTheme="minorHAnsi" w:cstheme="minorHAnsi"/>
          <w:sz w:val="22"/>
          <w:szCs w:val="22"/>
        </w:rPr>
        <w:t>organised</w:t>
      </w:r>
      <w:proofErr w:type="spellEnd"/>
      <w:r>
        <w:rPr>
          <w:rFonts w:asciiTheme="minorHAnsi" w:hAnsiTheme="minorHAnsi" w:cstheme="minorHAnsi"/>
          <w:sz w:val="22"/>
          <w:szCs w:val="22"/>
        </w:rPr>
        <w:t xml:space="preserve"> in person, will be organized virtually to ensure that any COVID-19 related limitations will be dealt with in a timely manner. This will be particularly important during the first year of the project’s implementation.</w:t>
      </w:r>
    </w:p>
    <w:p w14:paraId="4C710632" w14:textId="77777777" w:rsidR="00EE4BEF" w:rsidRPr="00EE4BEF" w:rsidRDefault="00EE4BEF" w:rsidP="00EE4BEF"/>
    <w:p w14:paraId="58A90D32" w14:textId="186640E5" w:rsidR="00EE4BEF" w:rsidRDefault="00EE4BEF" w:rsidP="00EE4BEF">
      <w:pPr>
        <w:pStyle w:val="Heading5"/>
        <w:rPr>
          <w:rFonts w:asciiTheme="minorHAnsi" w:hAnsiTheme="minorHAnsi" w:cstheme="minorHAnsi"/>
          <w:b/>
          <w:bCs/>
          <w:color w:val="000000" w:themeColor="text1"/>
          <w:sz w:val="22"/>
          <w:szCs w:val="22"/>
        </w:rPr>
      </w:pPr>
      <w:r w:rsidRPr="00EE4BEF">
        <w:rPr>
          <w:rFonts w:asciiTheme="minorHAnsi" w:hAnsiTheme="minorHAnsi" w:cstheme="minorHAnsi"/>
          <w:b/>
          <w:bCs/>
          <w:color w:val="000000" w:themeColor="text1"/>
          <w:sz w:val="22"/>
          <w:szCs w:val="22"/>
        </w:rPr>
        <w:t>Activity 3.3.1: Compilation and development of training materials that can be used for online and face-to-face training on timely subjects identified as high priority for GEF SIDS projects</w:t>
      </w:r>
    </w:p>
    <w:p w14:paraId="2A2FA999" w14:textId="77777777" w:rsidR="00EE4BEF" w:rsidRDefault="00EE4BEF" w:rsidP="00EE4BEF">
      <w:pPr>
        <w:jc w:val="both"/>
        <w:rPr>
          <w:rFonts w:asciiTheme="minorHAnsi" w:hAnsiTheme="minorHAnsi" w:cstheme="minorHAnsi"/>
          <w:color w:val="000000"/>
          <w:sz w:val="22"/>
          <w:szCs w:val="22"/>
        </w:rPr>
      </w:pPr>
      <w:bookmarkStart w:id="19" w:name="_Hlk115085483"/>
      <w:r>
        <w:rPr>
          <w:rFonts w:asciiTheme="minorHAnsi" w:hAnsiTheme="minorHAnsi" w:cstheme="minorHAnsi"/>
          <w:color w:val="000000"/>
          <w:sz w:val="22"/>
          <w:szCs w:val="22"/>
        </w:rPr>
        <w:t xml:space="preserve">The SIDS-specific training materials from this activity will be developed for both online and face-to-face training workshops, especially including the workshops under sub-component 3.4 that promote intra and inter-regional and cross-cutting issues for GEF SIDS projects. </w:t>
      </w:r>
    </w:p>
    <w:p w14:paraId="018A24A2" w14:textId="77777777" w:rsidR="00EE4BEF" w:rsidRDefault="00EE4BEF" w:rsidP="00EE4BEF">
      <w:pPr>
        <w:jc w:val="both"/>
        <w:rPr>
          <w:rFonts w:asciiTheme="minorHAnsi" w:hAnsiTheme="minorHAnsi" w:cstheme="minorHAnsi"/>
          <w:color w:val="000000"/>
          <w:sz w:val="22"/>
          <w:szCs w:val="22"/>
        </w:rPr>
      </w:pPr>
    </w:p>
    <w:p w14:paraId="2BAC0A5C" w14:textId="77777777" w:rsidR="00EE4BEF" w:rsidRDefault="00EE4BEF" w:rsidP="00EE4BEF">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specific topics of the training material will be identified during project implementation to ensure timely support that addresses the most important identified needs. The training topics will be guided in advance by discussions with the </w:t>
      </w:r>
      <w:r>
        <w:rPr>
          <w:rFonts w:asciiTheme="minorHAnsi" w:hAnsiTheme="minorHAnsi" w:cstheme="minorHAnsi"/>
          <w:sz w:val="22"/>
          <w:szCs w:val="22"/>
        </w:rPr>
        <w:t>SIDS community, GEF Agencies and IW community, IW portfolio surveys, corporate and strategic priorities of the GEF Secretariat, and leverage opportunities with existing training events, including with other sub-components of this project, and in triangulation with global SIDS support community aligned with the SAMOA Pathway goals. Where additionally relevant to identified themes, existing knowledge generated from past GEF projects, especially IW targeted research projects, will be incorporated into training material, such as outcomes from the GEF IW Blue Forest project. The following initial list of training themes will be used as a starting point to frame conversations using the above resources and stakeholders, including themes linked with c</w:t>
      </w:r>
      <w:r>
        <w:rPr>
          <w:rFonts w:asciiTheme="minorHAnsi" w:hAnsiTheme="minorHAnsi" w:cstheme="minorHAnsi"/>
          <w:color w:val="000000"/>
          <w:sz w:val="22"/>
          <w:szCs w:val="22"/>
        </w:rPr>
        <w:t xml:space="preserve">limate resilience, digital transformation, and the blue economy aligned with the UNDP SIDS Unit “Rising up </w:t>
      </w:r>
      <w:r>
        <w:rPr>
          <w:rFonts w:asciiTheme="minorHAnsi" w:hAnsiTheme="minorHAnsi" w:cstheme="minorHAnsi"/>
          <w:color w:val="000000"/>
          <w:sz w:val="22"/>
          <w:szCs w:val="22"/>
        </w:rPr>
        <w:lastRenderedPageBreak/>
        <w:t xml:space="preserve">for SIDS”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Illustrative examples of the specific subjects for the SIDS training modules might include:</w:t>
      </w:r>
    </w:p>
    <w:p w14:paraId="0216250C" w14:textId="77777777" w:rsidR="00EE4BEF" w:rsidRDefault="00EE4BEF" w:rsidP="00EE4BEF">
      <w:pPr>
        <w:jc w:val="both"/>
        <w:rPr>
          <w:rFonts w:asciiTheme="minorHAnsi" w:hAnsiTheme="minorHAnsi" w:cstheme="minorHAnsi"/>
          <w:color w:val="000000"/>
          <w:sz w:val="22"/>
          <w:szCs w:val="22"/>
        </w:rPr>
      </w:pPr>
    </w:p>
    <w:p w14:paraId="2697F020" w14:textId="77777777" w:rsidR="00EE4BEF" w:rsidRDefault="00EE4BEF" w:rsidP="00EE4BEF">
      <w:pPr>
        <w:numPr>
          <w:ilvl w:val="0"/>
          <w:numId w:val="47"/>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Accelerating climate action across SIDS through nature-based solutions </w:t>
      </w:r>
      <w:sdt>
        <w:sdtPr>
          <w:rPr>
            <w:rFonts w:asciiTheme="minorHAnsi" w:hAnsiTheme="minorHAnsi" w:cstheme="minorHAnsi"/>
          </w:rPr>
          <w:tag w:val="goog_rdk_754"/>
          <w:id w:val="-516076772"/>
          <w:showingPlcHdr/>
        </w:sdtPr>
        <w:sdtEndPr/>
        <w:sdtContent>
          <w:r>
            <w:rPr>
              <w:rFonts w:asciiTheme="minorHAnsi" w:hAnsiTheme="minorHAnsi" w:cstheme="minorHAnsi"/>
            </w:rPr>
            <w:t xml:space="preserve">     </w:t>
          </w:r>
        </w:sdtContent>
      </w:sdt>
    </w:p>
    <w:p w14:paraId="2DE3C4A5" w14:textId="77777777" w:rsidR="00EE4BEF" w:rsidRDefault="00EE4BEF" w:rsidP="00EE4BEF">
      <w:pPr>
        <w:numPr>
          <w:ilvl w:val="0"/>
          <w:numId w:val="47"/>
        </w:numPr>
        <w:jc w:val="both"/>
        <w:rPr>
          <w:rFonts w:asciiTheme="minorHAnsi" w:hAnsiTheme="minorHAnsi" w:cstheme="minorHAnsi"/>
          <w:color w:val="000000"/>
          <w:sz w:val="22"/>
          <w:szCs w:val="22"/>
        </w:rPr>
      </w:pPr>
      <w:r>
        <w:rPr>
          <w:rFonts w:asciiTheme="minorHAnsi" w:hAnsiTheme="minorHAnsi" w:cstheme="minorHAnsi"/>
          <w:color w:val="000000"/>
          <w:sz w:val="22"/>
          <w:szCs w:val="22"/>
        </w:rPr>
        <w:t>Inclusive Blue Economy (Hyper-targeted tourism; Repurposing excess localized waste or biotechnology for waste management; developing mariculture to mitigate stress on natural catches; marine renewable energy);</w:t>
      </w:r>
    </w:p>
    <w:p w14:paraId="15FBCBF1" w14:textId="77777777" w:rsidR="00EE4BEF" w:rsidRDefault="00EE4BEF" w:rsidP="00EE4BEF">
      <w:pPr>
        <w:numPr>
          <w:ilvl w:val="0"/>
          <w:numId w:val="4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Decreasing economic vulnerability through promotion of regional trade on marine commodities;</w:t>
      </w:r>
    </w:p>
    <w:p w14:paraId="77CB9E26" w14:textId="77777777" w:rsidR="00EE4BEF" w:rsidRDefault="00EE4BEF" w:rsidP="00EE4BEF">
      <w:pPr>
        <w:numPr>
          <w:ilvl w:val="0"/>
          <w:numId w:val="4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Building socio-economic resilience in SIDS through fostering productive capacities and structural economic transformation, i.e. by utilizing UNCTAD’s global Productive Capacities Index (PCI);</w:t>
      </w:r>
    </w:p>
    <w:p w14:paraId="597F05D6" w14:textId="77777777" w:rsidR="00EE4BEF" w:rsidRDefault="00EE4BEF" w:rsidP="00EE4BEF">
      <w:pPr>
        <w:numPr>
          <w:ilvl w:val="0"/>
          <w:numId w:val="47"/>
        </w:numPr>
        <w:jc w:val="both"/>
        <w:rPr>
          <w:rFonts w:asciiTheme="minorHAnsi" w:hAnsiTheme="minorHAnsi" w:cstheme="minorHAnsi"/>
          <w:color w:val="000000"/>
          <w:sz w:val="22"/>
          <w:szCs w:val="22"/>
        </w:rPr>
      </w:pPr>
      <w:r>
        <w:rPr>
          <w:rFonts w:asciiTheme="minorHAnsi" w:hAnsiTheme="minorHAnsi" w:cstheme="minorHAnsi"/>
          <w:color w:val="000000"/>
          <w:sz w:val="22"/>
          <w:szCs w:val="22"/>
        </w:rPr>
        <w:t>Addressing food security risks through strengthened domestic seafood value chains;</w:t>
      </w:r>
    </w:p>
    <w:p w14:paraId="790FC5DF" w14:textId="77777777" w:rsidR="00EE4BEF" w:rsidRDefault="00EE4BEF" w:rsidP="00EE4BEF">
      <w:pPr>
        <w:numPr>
          <w:ilvl w:val="0"/>
          <w:numId w:val="47"/>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Flood and Drought management on low-lying islands and atolls; </w:t>
      </w:r>
    </w:p>
    <w:p w14:paraId="6D26E1C3" w14:textId="77777777" w:rsidR="00EE4BEF" w:rsidRDefault="00EE4BEF" w:rsidP="00EE4BEF">
      <w:pPr>
        <w:numPr>
          <w:ilvl w:val="0"/>
          <w:numId w:val="47"/>
        </w:numPr>
        <w:jc w:val="both"/>
        <w:rPr>
          <w:rFonts w:asciiTheme="minorHAnsi" w:hAnsiTheme="minorHAnsi" w:cstheme="minorHAnsi"/>
          <w:color w:val="000000"/>
          <w:sz w:val="22"/>
          <w:szCs w:val="22"/>
        </w:rPr>
      </w:pPr>
      <w:r>
        <w:rPr>
          <w:rFonts w:asciiTheme="minorHAnsi" w:hAnsiTheme="minorHAnsi" w:cstheme="minorHAnsi"/>
          <w:color w:val="000000"/>
          <w:sz w:val="22"/>
          <w:szCs w:val="22"/>
        </w:rPr>
        <w:t>Promotion of ecosystem-based fisheries management through marine protected area networks and marine spatial planning;</w:t>
      </w:r>
    </w:p>
    <w:p w14:paraId="07AFE975" w14:textId="77777777" w:rsidR="00EE4BEF" w:rsidRDefault="00EE4BEF" w:rsidP="00EE4BEF">
      <w:pPr>
        <w:numPr>
          <w:ilvl w:val="0"/>
          <w:numId w:val="47"/>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Innovative solutions powered by traditional knowledge; </w:t>
      </w:r>
    </w:p>
    <w:p w14:paraId="029BEB79" w14:textId="77777777" w:rsidR="00EE4BEF" w:rsidRDefault="00EE4BEF" w:rsidP="00EE4BEF">
      <w:pPr>
        <w:numPr>
          <w:ilvl w:val="0"/>
          <w:numId w:val="4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Harnessing digital transformation tools for natural resource management; </w:t>
      </w:r>
      <w:sdt>
        <w:sdtPr>
          <w:rPr>
            <w:rFonts w:asciiTheme="minorHAnsi" w:hAnsiTheme="minorHAnsi" w:cstheme="minorHAnsi"/>
          </w:rPr>
          <w:tag w:val="goog_rdk_755"/>
          <w:id w:val="-1155057620"/>
          <w:showingPlcHdr/>
        </w:sdtPr>
        <w:sdtEndPr/>
        <w:sdtContent>
          <w:r>
            <w:rPr>
              <w:rFonts w:asciiTheme="minorHAnsi" w:hAnsiTheme="minorHAnsi" w:cstheme="minorHAnsi"/>
            </w:rPr>
            <w:t xml:space="preserve">     </w:t>
          </w:r>
        </w:sdtContent>
      </w:sdt>
    </w:p>
    <w:sdt>
      <w:sdtPr>
        <w:rPr>
          <w:rFonts w:asciiTheme="minorHAnsi" w:hAnsiTheme="minorHAnsi" w:cstheme="minorHAnsi"/>
        </w:rPr>
        <w:tag w:val="goog_rdk_758"/>
        <w:id w:val="-840618159"/>
      </w:sdtPr>
      <w:sdtEndPr/>
      <w:sdtContent>
        <w:p w14:paraId="32A53CC0" w14:textId="77777777" w:rsidR="00EE4BEF" w:rsidRDefault="00EE4BEF" w:rsidP="00EE4BEF">
          <w:pPr>
            <w:numPr>
              <w:ilvl w:val="0"/>
              <w:numId w:val="4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Support towards oceans science issues aligned with the United Nations Decade on Ocean Science for Sustainable Development</w:t>
          </w:r>
          <w:sdt>
            <w:sdtPr>
              <w:tag w:val="goog_rdk_756"/>
              <w:id w:val="2010407430"/>
            </w:sdtPr>
            <w:sdtEndPr/>
            <w:sdtContent>
              <w:r>
                <w:rPr>
                  <w:rFonts w:asciiTheme="minorHAnsi" w:hAnsiTheme="minorHAnsi" w:cstheme="minorHAnsi"/>
                  <w:color w:val="000000"/>
                  <w:sz w:val="22"/>
                  <w:szCs w:val="22"/>
                </w:rPr>
                <w:t xml:space="preserve">; and </w:t>
              </w:r>
              <w:sdt>
                <w:sdtPr>
                  <w:tag w:val="goog_rdk_757"/>
                  <w:id w:val="1273203820"/>
                  <w:showingPlcHdr/>
                </w:sdtPr>
                <w:sdtEndPr/>
                <w:sdtContent>
                  <w:r>
                    <w:t xml:space="preserve">     </w:t>
                  </w:r>
                </w:sdtContent>
              </w:sdt>
            </w:sdtContent>
          </w:sdt>
        </w:p>
      </w:sdtContent>
    </w:sdt>
    <w:p w14:paraId="081869A6" w14:textId="77777777" w:rsidR="00EE4BEF" w:rsidRDefault="00F57A55" w:rsidP="00EE4BEF">
      <w:pPr>
        <w:numPr>
          <w:ilvl w:val="0"/>
          <w:numId w:val="47"/>
        </w:numPr>
        <w:ind w:left="714" w:hanging="357"/>
        <w:jc w:val="both"/>
        <w:rPr>
          <w:rFonts w:asciiTheme="minorHAnsi" w:hAnsiTheme="minorHAnsi" w:cstheme="minorHAnsi"/>
          <w:color w:val="000000"/>
          <w:sz w:val="22"/>
          <w:szCs w:val="22"/>
        </w:rPr>
      </w:pPr>
      <w:sdt>
        <w:sdtPr>
          <w:rPr>
            <w:rFonts w:asciiTheme="minorHAnsi" w:hAnsiTheme="minorHAnsi" w:cstheme="minorHAnsi"/>
          </w:rPr>
          <w:tag w:val="goog_rdk_759"/>
          <w:id w:val="-1907057851"/>
        </w:sdtPr>
        <w:sdtEndPr/>
        <w:sdtContent>
          <w:sdt>
            <w:sdtPr>
              <w:rPr>
                <w:rFonts w:asciiTheme="minorHAnsi" w:hAnsiTheme="minorHAnsi" w:cstheme="minorHAnsi"/>
              </w:rPr>
              <w:tag w:val="goog_rdk_760"/>
              <w:id w:val="-1850947781"/>
            </w:sdtPr>
            <w:sdtEndPr/>
            <w:sdtContent>
              <w:r w:rsidR="00EE4BEF">
                <w:rPr>
                  <w:rFonts w:asciiTheme="minorHAnsi" w:eastAsia="Calibri" w:hAnsiTheme="minorHAnsi" w:cstheme="minorHAnsi"/>
                  <w:color w:val="000000"/>
                  <w:sz w:val="22"/>
                  <w:szCs w:val="22"/>
                </w:rPr>
                <w:t>Ecosystem based indicators, monitoring frameworks and reporting</w:t>
              </w:r>
            </w:sdtContent>
          </w:sdt>
          <w:r w:rsidR="00EE4BEF">
            <w:rPr>
              <w:rFonts w:asciiTheme="minorHAnsi" w:hAnsiTheme="minorHAnsi" w:cstheme="minorHAnsi"/>
              <w:color w:val="000000"/>
              <w:sz w:val="22"/>
              <w:szCs w:val="22"/>
            </w:rPr>
            <w:t>.</w:t>
          </w:r>
        </w:sdtContent>
      </w:sdt>
      <w:sdt>
        <w:sdtPr>
          <w:rPr>
            <w:rFonts w:asciiTheme="minorHAnsi" w:hAnsiTheme="minorHAnsi" w:cstheme="minorHAnsi"/>
          </w:rPr>
          <w:tag w:val="goog_rdk_761"/>
          <w:id w:val="361176340"/>
          <w:showingPlcHdr/>
        </w:sdtPr>
        <w:sdtEndPr/>
        <w:sdtContent>
          <w:r w:rsidR="00EE4BEF">
            <w:rPr>
              <w:rFonts w:asciiTheme="minorHAnsi" w:hAnsiTheme="minorHAnsi" w:cstheme="minorHAnsi"/>
            </w:rPr>
            <w:t xml:space="preserve">     </w:t>
          </w:r>
        </w:sdtContent>
      </w:sdt>
    </w:p>
    <w:p w14:paraId="2B99ABE5" w14:textId="77777777" w:rsidR="00EE4BEF" w:rsidRDefault="00EE4BEF" w:rsidP="00EE4BEF">
      <w:pPr>
        <w:jc w:val="both"/>
        <w:rPr>
          <w:rFonts w:asciiTheme="minorHAnsi" w:hAnsiTheme="minorHAnsi" w:cstheme="minorHAnsi"/>
          <w:sz w:val="22"/>
          <w:szCs w:val="22"/>
        </w:rPr>
      </w:pPr>
    </w:p>
    <w:p w14:paraId="25D44C63" w14:textId="03F60600" w:rsidR="00EE4BEF" w:rsidRPr="00F439E2" w:rsidRDefault="00EE4BEF" w:rsidP="00F439E2">
      <w:pPr>
        <w:jc w:val="both"/>
        <w:rPr>
          <w:rFonts w:asciiTheme="minorHAnsi" w:hAnsiTheme="minorHAnsi" w:cstheme="minorHAnsi"/>
          <w:sz w:val="22"/>
          <w:szCs w:val="22"/>
        </w:rPr>
      </w:pPr>
      <w:r>
        <w:rPr>
          <w:rFonts w:asciiTheme="minorHAnsi" w:hAnsiTheme="minorHAnsi" w:cstheme="minorHAnsi"/>
          <w:sz w:val="22"/>
          <w:szCs w:val="22"/>
        </w:rPr>
        <w:t>The outcome of this activity will support the development of blended learning for online and face-to-face learning pathways by building on existing practices.</w:t>
      </w:r>
      <w:r>
        <w:rPr>
          <w:rFonts w:asciiTheme="minorHAnsi" w:hAnsiTheme="minorHAnsi" w:cstheme="minorHAnsi"/>
          <w:color w:val="000000"/>
          <w:sz w:val="22"/>
          <w:szCs w:val="22"/>
        </w:rPr>
        <w:t xml:space="preserve"> The online trainings will be disseminated via the SIDS Hub (sub-component 3.2) and face-to-face learning will be achieved via SIDS specific intra and inter-regional and global workshops, including events at future IW Conferences (sub-component 3.4).  </w:t>
      </w:r>
      <w:bookmarkEnd w:id="19"/>
    </w:p>
    <w:p w14:paraId="49FA20F4" w14:textId="77777777" w:rsidR="00EE4BEF" w:rsidRPr="00EE4BEF" w:rsidRDefault="00EE4BEF" w:rsidP="00EE4BEF"/>
    <w:p w14:paraId="3C00C821" w14:textId="7A9A4C47" w:rsidR="009209C0" w:rsidRDefault="009209C0" w:rsidP="009209C0">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3.4</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Intra and inter-regional training delivered in and among SIDS regions through regional partners (UNEP)</w:t>
      </w:r>
    </w:p>
    <w:p w14:paraId="7EFC0A1B" w14:textId="77777777" w:rsidR="009209C0" w:rsidRDefault="009209C0" w:rsidP="009209C0">
      <w:pPr>
        <w:jc w:val="both"/>
        <w:rPr>
          <w:rFonts w:asciiTheme="minorHAnsi" w:hAnsiTheme="minorHAnsi" w:cstheme="minorHAnsi"/>
          <w:b/>
          <w:sz w:val="22"/>
          <w:szCs w:val="22"/>
        </w:rPr>
      </w:pPr>
    </w:p>
    <w:p w14:paraId="261CAD57" w14:textId="77777777" w:rsidR="009209C0" w:rsidRDefault="009209C0" w:rsidP="009209C0">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35329C14" w14:textId="77777777" w:rsidR="009209C0" w:rsidRDefault="009209C0" w:rsidP="009209C0">
      <w:pPr>
        <w:shd w:val="clear" w:color="auto" w:fill="E7E6E6"/>
        <w:jc w:val="both"/>
        <w:rPr>
          <w:rFonts w:asciiTheme="minorHAnsi" w:hAnsiTheme="minorHAnsi" w:cstheme="minorHAnsi"/>
          <w:sz w:val="22"/>
          <w:szCs w:val="22"/>
        </w:rPr>
      </w:pPr>
    </w:p>
    <w:p w14:paraId="719A6AF4"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3.4 is:</w:t>
      </w:r>
    </w:p>
    <w:p w14:paraId="4C05FB9D" w14:textId="77777777" w:rsidR="009209C0" w:rsidRDefault="009209C0" w:rsidP="009209C0">
      <w:pPr>
        <w:shd w:val="clear" w:color="auto" w:fill="E7E6E6"/>
        <w:jc w:val="both"/>
        <w:rPr>
          <w:rFonts w:asciiTheme="minorHAnsi" w:hAnsiTheme="minorHAnsi" w:cstheme="minorHAnsi"/>
          <w:sz w:val="22"/>
          <w:szCs w:val="22"/>
        </w:rPr>
      </w:pPr>
    </w:p>
    <w:p w14:paraId="1C92A24F"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t>Intra and inter-regional training delivered in and among SIDS regions through regional partners</w:t>
      </w:r>
    </w:p>
    <w:p w14:paraId="4069763C" w14:textId="77777777" w:rsidR="009209C0" w:rsidRDefault="009209C0" w:rsidP="009209C0">
      <w:pPr>
        <w:shd w:val="clear" w:color="auto" w:fill="E7E6E6"/>
        <w:jc w:val="both"/>
        <w:rPr>
          <w:rFonts w:asciiTheme="minorHAnsi" w:hAnsiTheme="minorHAnsi" w:cstheme="minorHAnsi"/>
          <w:sz w:val="22"/>
          <w:szCs w:val="22"/>
        </w:rPr>
      </w:pPr>
    </w:p>
    <w:p w14:paraId="28E9A4DB"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3.4 is:</w:t>
      </w:r>
    </w:p>
    <w:p w14:paraId="26661CDC" w14:textId="77777777" w:rsidR="009209C0" w:rsidRDefault="009209C0" w:rsidP="009209C0">
      <w:pPr>
        <w:shd w:val="clear" w:color="auto" w:fill="E7E6E6"/>
        <w:jc w:val="both"/>
        <w:rPr>
          <w:rFonts w:asciiTheme="minorHAnsi" w:hAnsiTheme="minorHAnsi" w:cstheme="minorHAnsi"/>
          <w:color w:val="000000"/>
          <w:sz w:val="22"/>
          <w:szCs w:val="22"/>
        </w:rPr>
      </w:pPr>
    </w:p>
    <w:p w14:paraId="366DD959" w14:textId="77777777" w:rsidR="009209C0" w:rsidRDefault="009209C0" w:rsidP="009209C0">
      <w:pPr>
        <w:shd w:val="clear" w:color="auto" w:fill="E7E6E6"/>
        <w:jc w:val="both"/>
        <w:rPr>
          <w:rFonts w:asciiTheme="minorHAnsi" w:hAnsiTheme="minorHAnsi" w:cstheme="minorHAnsi"/>
          <w:color w:val="000000"/>
          <w:sz w:val="22"/>
          <w:szCs w:val="22"/>
        </w:rPr>
      </w:pPr>
      <w:r>
        <w:rPr>
          <w:rFonts w:asciiTheme="minorHAnsi" w:hAnsiTheme="minorHAnsi" w:cstheme="minorHAnsi"/>
          <w:color w:val="000000"/>
          <w:sz w:val="22"/>
          <w:szCs w:val="22"/>
        </w:rPr>
        <w:t>Improved coordination of GEF projects &amp; participating country counterparts in Small Island Developing States across all GEF focal areas and increased achievement of relevant environmental performance targets by project participating countries</w:t>
      </w:r>
    </w:p>
    <w:p w14:paraId="2F37F25E" w14:textId="77777777" w:rsidR="009209C0" w:rsidRDefault="009209C0" w:rsidP="009209C0">
      <w:pPr>
        <w:shd w:val="clear" w:color="auto" w:fill="E7E6E6"/>
        <w:jc w:val="both"/>
        <w:rPr>
          <w:rFonts w:asciiTheme="minorHAnsi" w:hAnsiTheme="minorHAnsi" w:cstheme="minorHAnsi"/>
          <w:b/>
          <w:sz w:val="22"/>
          <w:szCs w:val="22"/>
        </w:rPr>
      </w:pPr>
    </w:p>
    <w:p w14:paraId="1059BB1F" w14:textId="77777777" w:rsidR="009209C0" w:rsidRDefault="009209C0" w:rsidP="009209C0">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3: GEF Grant USD350,004 (UNDP Components 3.2, 3.3) 850,000 (UNEP Components 3.1, 3.4)</w:t>
      </w:r>
    </w:p>
    <w:p w14:paraId="5D6C45DD" w14:textId="77777777" w:rsidR="009209C0" w:rsidRDefault="009209C0" w:rsidP="009209C0">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1DC11291" w14:textId="77777777" w:rsidR="009209C0" w:rsidRDefault="009209C0" w:rsidP="009209C0">
      <w:pPr>
        <w:shd w:val="clear" w:color="auto" w:fill="E7E6E6"/>
        <w:jc w:val="both"/>
        <w:rPr>
          <w:rFonts w:asciiTheme="minorHAnsi" w:hAnsiTheme="minorHAnsi" w:cstheme="minorHAnsi"/>
          <w:sz w:val="22"/>
          <w:szCs w:val="22"/>
        </w:rPr>
      </w:pPr>
    </w:p>
    <w:p w14:paraId="12F21201"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t>1.1: GEF Biennial International Waters Conferences 10 and 11 for GEF wide portfolio of IW projects and other relevant partners</w:t>
      </w:r>
    </w:p>
    <w:p w14:paraId="6BA97538" w14:textId="77777777" w:rsidR="009209C0" w:rsidRDefault="009209C0" w:rsidP="009209C0">
      <w:pPr>
        <w:shd w:val="clear" w:color="auto" w:fill="E7E6E6"/>
        <w:jc w:val="both"/>
        <w:rPr>
          <w:rFonts w:asciiTheme="minorHAnsi" w:hAnsiTheme="minorHAnsi" w:cstheme="minorHAnsi"/>
          <w:sz w:val="22"/>
          <w:szCs w:val="22"/>
        </w:rPr>
      </w:pPr>
    </w:p>
    <w:p w14:paraId="5F02E2C6"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lastRenderedPageBreak/>
        <w:t xml:space="preserve">1.2: Regional training workshops for GEF IW projects &amp; development partners on cross-cutting themes and key outputs from selected GEF portfolio methodology projects, delivered by partner learning network </w:t>
      </w:r>
    </w:p>
    <w:p w14:paraId="0CC2A278" w14:textId="77777777" w:rsidR="009209C0" w:rsidRDefault="009209C0" w:rsidP="009209C0">
      <w:pPr>
        <w:shd w:val="clear" w:color="auto" w:fill="E7E6E6"/>
        <w:jc w:val="both"/>
        <w:rPr>
          <w:rFonts w:asciiTheme="minorHAnsi" w:hAnsiTheme="minorHAnsi" w:cstheme="minorHAnsi"/>
          <w:sz w:val="22"/>
          <w:szCs w:val="22"/>
        </w:rPr>
      </w:pPr>
    </w:p>
    <w:p w14:paraId="21DF9596"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t>3.2: Strengthened web portal and resource catalogue to facilitate information-sharing and learning across the SIDS project portfolio in support of the SAMOA Pathway</w:t>
      </w:r>
    </w:p>
    <w:p w14:paraId="197A539E" w14:textId="77777777" w:rsidR="009209C0" w:rsidRDefault="009209C0" w:rsidP="009209C0">
      <w:pPr>
        <w:shd w:val="clear" w:color="auto" w:fill="E7E6E6"/>
        <w:jc w:val="both"/>
        <w:rPr>
          <w:rFonts w:asciiTheme="minorHAnsi" w:hAnsiTheme="minorHAnsi" w:cstheme="minorHAnsi"/>
          <w:sz w:val="22"/>
          <w:szCs w:val="22"/>
        </w:rPr>
      </w:pPr>
    </w:p>
    <w:p w14:paraId="04E689C0" w14:textId="77777777" w:rsidR="009209C0" w:rsidRDefault="009209C0" w:rsidP="009209C0">
      <w:pPr>
        <w:shd w:val="clear" w:color="auto" w:fill="E7E6E6"/>
        <w:jc w:val="both"/>
        <w:rPr>
          <w:rFonts w:asciiTheme="minorHAnsi" w:hAnsiTheme="minorHAnsi" w:cstheme="minorHAnsi"/>
          <w:sz w:val="22"/>
          <w:szCs w:val="22"/>
        </w:rPr>
      </w:pPr>
      <w:r>
        <w:rPr>
          <w:rFonts w:asciiTheme="minorHAnsi" w:hAnsiTheme="minorHAnsi" w:cstheme="minorHAnsi"/>
          <w:sz w:val="22"/>
          <w:szCs w:val="22"/>
        </w:rPr>
        <w:t>3.3: Training courses and other capacity-strengthening guidance developed on cross-cutting topics of relevance to SIDS</w:t>
      </w:r>
    </w:p>
    <w:p w14:paraId="1B3F4AD1" w14:textId="77777777" w:rsidR="009209C0" w:rsidRDefault="009209C0" w:rsidP="009209C0">
      <w:pPr>
        <w:shd w:val="clear" w:color="auto" w:fill="E7E6E6"/>
        <w:jc w:val="both"/>
        <w:rPr>
          <w:rFonts w:asciiTheme="minorHAnsi" w:hAnsiTheme="minorHAnsi" w:cstheme="minorHAnsi"/>
          <w:sz w:val="22"/>
          <w:szCs w:val="22"/>
        </w:rPr>
      </w:pPr>
    </w:p>
    <w:p w14:paraId="6625F303" w14:textId="77777777" w:rsidR="009209C0" w:rsidRDefault="009209C0" w:rsidP="009209C0">
      <w:pPr>
        <w:shd w:val="clear" w:color="auto" w:fill="E7E6E6"/>
        <w:jc w:val="both"/>
        <w:rPr>
          <w:rFonts w:asciiTheme="minorHAnsi" w:hAnsiTheme="minorHAnsi" w:cstheme="minorHAnsi"/>
          <w:b/>
          <w:color w:val="FF0000"/>
          <w:sz w:val="22"/>
          <w:szCs w:val="22"/>
        </w:rPr>
      </w:pPr>
      <w:r>
        <w:rPr>
          <w:rFonts w:asciiTheme="minorHAnsi" w:hAnsiTheme="minorHAnsi" w:cstheme="minorHAnsi"/>
          <w:sz w:val="22"/>
          <w:szCs w:val="22"/>
        </w:rPr>
        <w:t>4.3: Training and capacity building activities in support of marine spatial planning as a tool for strengthening blue economy opportunities</w:t>
      </w:r>
    </w:p>
    <w:p w14:paraId="58E8B80B" w14:textId="77777777" w:rsidR="009209C0" w:rsidRDefault="009209C0" w:rsidP="009209C0">
      <w:pPr>
        <w:jc w:val="both"/>
        <w:rPr>
          <w:rFonts w:asciiTheme="minorHAnsi" w:hAnsiTheme="minorHAnsi" w:cstheme="minorHAnsi"/>
          <w:color w:val="000000"/>
          <w:sz w:val="22"/>
          <w:szCs w:val="22"/>
        </w:rPr>
      </w:pPr>
    </w:p>
    <w:p w14:paraId="72E964CC" w14:textId="77777777" w:rsidR="009209C0" w:rsidRDefault="009209C0" w:rsidP="009209C0">
      <w:pPr>
        <w:jc w:val="both"/>
        <w:rPr>
          <w:rFonts w:asciiTheme="minorHAnsi" w:hAnsiTheme="minorHAnsi" w:cstheme="minorHAnsi"/>
          <w:sz w:val="22"/>
          <w:szCs w:val="22"/>
        </w:rPr>
      </w:pPr>
      <w:r>
        <w:rPr>
          <w:rFonts w:asciiTheme="minorHAnsi" w:hAnsiTheme="minorHAnsi" w:cstheme="minorHAnsi"/>
          <w:sz w:val="22"/>
          <w:szCs w:val="22"/>
        </w:rPr>
        <w:t>This sub-component is directed towards increasing the technical capacity via organization of appropriate training in three key SIDS regions: Caribbean Sea, Pacific Ocean, and Atlantic/Indian Ocean. The project will work in close cooperation with the project’s partners, GEF Agencies, and the GEF IW portfolio to deliver targeted cross-cutting workshops. Training topics will be primarily those developed as training modules in sub-component 3.3. In addition to intra and inter-regional regional workshops, training activities will also be carried out at two higher levels:</w:t>
      </w:r>
    </w:p>
    <w:p w14:paraId="7ECCC80A" w14:textId="77777777" w:rsidR="009209C0" w:rsidRDefault="009209C0" w:rsidP="009209C0">
      <w:pPr>
        <w:jc w:val="both"/>
        <w:rPr>
          <w:rFonts w:asciiTheme="minorHAnsi" w:hAnsiTheme="minorHAnsi" w:cstheme="minorHAnsi"/>
          <w:sz w:val="22"/>
          <w:szCs w:val="22"/>
        </w:rPr>
      </w:pPr>
    </w:p>
    <w:p w14:paraId="1123110F" w14:textId="77777777" w:rsidR="009209C0" w:rsidRDefault="009209C0" w:rsidP="009209C0">
      <w:pPr>
        <w:numPr>
          <w:ilvl w:val="0"/>
          <w:numId w:val="48"/>
        </w:numPr>
        <w:jc w:val="both"/>
        <w:rPr>
          <w:rFonts w:asciiTheme="minorHAnsi" w:hAnsiTheme="minorHAnsi" w:cstheme="minorHAnsi"/>
          <w:color w:val="000000"/>
          <w:sz w:val="22"/>
          <w:szCs w:val="22"/>
        </w:rPr>
      </w:pPr>
      <w:r>
        <w:rPr>
          <w:rFonts w:asciiTheme="minorHAnsi" w:hAnsiTheme="minorHAnsi" w:cstheme="minorHAnsi"/>
          <w:color w:val="000000"/>
          <w:sz w:val="22"/>
          <w:szCs w:val="22"/>
        </w:rPr>
        <w:t>One global SIDS workshop to follow up on the training carried out in three SIDS regions with the aim of sharing lessons learned and experience inter-regionally</w:t>
      </w:r>
      <w:sdt>
        <w:sdtPr>
          <w:rPr>
            <w:rFonts w:asciiTheme="minorHAnsi" w:hAnsiTheme="minorHAnsi" w:cstheme="minorHAnsi"/>
          </w:rPr>
          <w:tag w:val="goog_rdk_762"/>
          <w:id w:val="-960491097"/>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and</w:t>
      </w:r>
    </w:p>
    <w:p w14:paraId="095235CF" w14:textId="77777777" w:rsidR="009209C0" w:rsidRDefault="009209C0" w:rsidP="009209C0">
      <w:pPr>
        <w:numPr>
          <w:ilvl w:val="0"/>
          <w:numId w:val="4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One SIDS pre-conference workshop at IWC11.</w:t>
      </w:r>
    </w:p>
    <w:p w14:paraId="31E6F302" w14:textId="77777777" w:rsidR="009209C0" w:rsidRDefault="009209C0" w:rsidP="009209C0">
      <w:pPr>
        <w:jc w:val="both"/>
        <w:rPr>
          <w:rFonts w:asciiTheme="minorHAnsi" w:hAnsiTheme="minorHAnsi" w:cstheme="minorHAnsi"/>
          <w:sz w:val="22"/>
          <w:szCs w:val="22"/>
        </w:rPr>
      </w:pPr>
    </w:p>
    <w:p w14:paraId="04055F09" w14:textId="77777777" w:rsidR="009209C0" w:rsidRDefault="009209C0" w:rsidP="009209C0">
      <w:pPr>
        <w:jc w:val="both"/>
        <w:rPr>
          <w:rFonts w:asciiTheme="minorHAnsi" w:hAnsiTheme="minorHAnsi" w:cstheme="minorHAnsi"/>
          <w:sz w:val="22"/>
          <w:szCs w:val="22"/>
        </w:rPr>
      </w:pPr>
      <w:r>
        <w:rPr>
          <w:rFonts w:asciiTheme="minorHAnsi" w:hAnsiTheme="minorHAnsi" w:cstheme="minorHAnsi"/>
          <w:sz w:val="22"/>
          <w:szCs w:val="22"/>
        </w:rPr>
        <w:t>The sub-component will have the following principal objectives:</w:t>
      </w:r>
    </w:p>
    <w:p w14:paraId="5D1B7E6F" w14:textId="77777777" w:rsidR="009209C0" w:rsidRDefault="009209C0" w:rsidP="009209C0">
      <w:pPr>
        <w:jc w:val="both"/>
        <w:rPr>
          <w:rFonts w:asciiTheme="minorHAnsi" w:hAnsiTheme="minorHAnsi" w:cstheme="minorHAnsi"/>
          <w:sz w:val="22"/>
          <w:szCs w:val="22"/>
        </w:rPr>
      </w:pPr>
    </w:p>
    <w:p w14:paraId="02CE61F0" w14:textId="77777777" w:rsidR="009209C0" w:rsidRDefault="009209C0" w:rsidP="009209C0">
      <w:pPr>
        <w:numPr>
          <w:ilvl w:val="0"/>
          <w:numId w:val="4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Strengthen the capacity of GEF project coordination units and their partner institutions in priority thematic areas, regionally and globally;</w:t>
      </w:r>
      <w:sdt>
        <w:sdtPr>
          <w:rPr>
            <w:rFonts w:asciiTheme="minorHAnsi" w:hAnsiTheme="minorHAnsi" w:cstheme="minorHAnsi"/>
          </w:rPr>
          <w:tag w:val="goog_rdk_764"/>
          <w:id w:val="146103160"/>
        </w:sdtPr>
        <w:sdtEndPr/>
        <w:sdtContent>
          <w:r>
            <w:rPr>
              <w:rFonts w:asciiTheme="minorHAnsi" w:hAnsiTheme="minorHAnsi" w:cstheme="minorHAnsi"/>
              <w:color w:val="000000"/>
              <w:sz w:val="22"/>
              <w:szCs w:val="22"/>
            </w:rPr>
            <w:t xml:space="preserve"> and</w:t>
          </w:r>
        </w:sdtContent>
      </w:sdt>
    </w:p>
    <w:p w14:paraId="428FE018" w14:textId="77777777" w:rsidR="009209C0" w:rsidRDefault="009209C0" w:rsidP="009209C0">
      <w:pPr>
        <w:numPr>
          <w:ilvl w:val="0"/>
          <w:numId w:val="4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Enhance regional coordination among GEF IW projects through face to face networking.</w:t>
      </w:r>
    </w:p>
    <w:p w14:paraId="2494E37F" w14:textId="77777777" w:rsidR="009209C0" w:rsidRDefault="009209C0" w:rsidP="009209C0">
      <w:pPr>
        <w:ind w:left="720"/>
        <w:jc w:val="both"/>
        <w:rPr>
          <w:rFonts w:asciiTheme="minorHAnsi" w:hAnsiTheme="minorHAnsi" w:cstheme="minorHAnsi"/>
          <w:color w:val="000000"/>
          <w:sz w:val="22"/>
          <w:szCs w:val="22"/>
        </w:rPr>
      </w:pPr>
    </w:p>
    <w:p w14:paraId="7EE84365" w14:textId="77777777" w:rsidR="009209C0" w:rsidRDefault="009209C0" w:rsidP="009209C0">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GEF IW:LEARN funding will allow for additional SIDS-related and non-IW GEF projects to attend workshops where they would not normally attend through only an incremental cost. GEF project funds will be used to support travel costs to meetings and basic meeting costs. </w:t>
      </w:r>
    </w:p>
    <w:p w14:paraId="2F6E65BD" w14:textId="77777777" w:rsidR="009209C0" w:rsidRDefault="009209C0" w:rsidP="009209C0">
      <w:pPr>
        <w:jc w:val="both"/>
        <w:rPr>
          <w:rFonts w:asciiTheme="minorHAnsi" w:hAnsiTheme="minorHAnsi" w:cstheme="minorHAnsi"/>
          <w:color w:val="000000"/>
          <w:sz w:val="22"/>
          <w:szCs w:val="22"/>
        </w:rPr>
      </w:pPr>
    </w:p>
    <w:p w14:paraId="3941DACD" w14:textId="77777777" w:rsidR="009209C0" w:rsidRDefault="009209C0" w:rsidP="009209C0">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work with partners, contractors and GEF IW projects to implement developed training modules relevant to the context and needs of the GEF IW SIDS portfolio. The PCU will be responsible for helping to coordinate logistics, ensuring sustained follow-up, monitoring impacts, and sharing the learning with the wider IW portfolio. </w:t>
      </w:r>
    </w:p>
    <w:p w14:paraId="2E73CDD4" w14:textId="77777777" w:rsidR="009209C0" w:rsidRDefault="009209C0" w:rsidP="009209C0">
      <w:pPr>
        <w:jc w:val="both"/>
        <w:rPr>
          <w:rFonts w:asciiTheme="minorHAnsi" w:hAnsiTheme="minorHAnsi" w:cstheme="minorHAnsi"/>
          <w:sz w:val="22"/>
          <w:szCs w:val="22"/>
        </w:rPr>
      </w:pPr>
    </w:p>
    <w:p w14:paraId="2BAC1250" w14:textId="77777777" w:rsidR="009209C0" w:rsidRDefault="009209C0" w:rsidP="009209C0">
      <w:pPr>
        <w:jc w:val="both"/>
        <w:rPr>
          <w:rFonts w:asciiTheme="minorHAnsi" w:hAnsiTheme="minorHAnsi" w:cstheme="minorHAnsi"/>
          <w:sz w:val="22"/>
          <w:szCs w:val="22"/>
        </w:rPr>
      </w:pPr>
      <w:r>
        <w:rPr>
          <w:rFonts w:asciiTheme="minorHAnsi" w:hAnsiTheme="minorHAnsi" w:cstheme="minorHAnsi"/>
          <w:sz w:val="22"/>
          <w:szCs w:val="22"/>
        </w:rPr>
        <w:t>Sub-component 3.4 is comprised of three activities:</w:t>
      </w:r>
    </w:p>
    <w:p w14:paraId="034747CE" w14:textId="77777777" w:rsidR="009209C0" w:rsidRDefault="009209C0" w:rsidP="009209C0">
      <w:pPr>
        <w:jc w:val="both"/>
        <w:rPr>
          <w:rFonts w:asciiTheme="minorHAnsi" w:hAnsiTheme="minorHAnsi" w:cstheme="minorHAnsi"/>
          <w:sz w:val="22"/>
          <w:szCs w:val="22"/>
        </w:rPr>
      </w:pPr>
    </w:p>
    <w:p w14:paraId="609A5AEA" w14:textId="77777777" w:rsidR="009209C0" w:rsidRDefault="009209C0" w:rsidP="009209C0">
      <w:pPr>
        <w:numPr>
          <w:ilvl w:val="0"/>
          <w:numId w:val="50"/>
        </w:numPr>
        <w:spacing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3.4.1: Work with partners and regional bodies to organize a series of at least three intra-regional training workshops</w:t>
      </w:r>
      <w:sdt>
        <w:sdtPr>
          <w:rPr>
            <w:rFonts w:asciiTheme="minorHAnsi" w:hAnsiTheme="minorHAnsi" w:cstheme="minorHAnsi"/>
          </w:rPr>
          <w:tag w:val="goog_rdk_765"/>
          <w:id w:val="1347668354"/>
        </w:sdtPr>
        <w:sdtEndPr/>
        <w:sdtContent>
          <w:r>
            <w:rPr>
              <w:rFonts w:asciiTheme="minorHAnsi" w:hAnsiTheme="minorHAnsi" w:cstheme="minorHAnsi"/>
              <w:color w:val="000000"/>
              <w:sz w:val="22"/>
              <w:szCs w:val="22"/>
            </w:rPr>
            <w:t>;</w:t>
          </w:r>
        </w:sdtContent>
      </w:sdt>
    </w:p>
    <w:p w14:paraId="1C9E9BE1" w14:textId="77777777" w:rsidR="009209C0" w:rsidRDefault="009209C0" w:rsidP="009209C0">
      <w:pPr>
        <w:numPr>
          <w:ilvl w:val="0"/>
          <w:numId w:val="50"/>
        </w:numPr>
        <w:spacing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3.4.2: Organize an inter-regional SIDS training workshop to follow up on the training and to share lessons learned and experience inter-regionally</w:t>
      </w:r>
      <w:sdt>
        <w:sdtPr>
          <w:rPr>
            <w:rFonts w:asciiTheme="minorHAnsi" w:hAnsiTheme="minorHAnsi" w:cstheme="minorHAnsi"/>
          </w:rPr>
          <w:tag w:val="goog_rdk_766"/>
          <w:id w:val="-172804118"/>
        </w:sdtPr>
        <w:sdtEndPr/>
        <w:sdtContent>
          <w:r>
            <w:rPr>
              <w:rFonts w:asciiTheme="minorHAnsi" w:hAnsiTheme="minorHAnsi" w:cstheme="minorHAnsi"/>
              <w:color w:val="000000"/>
              <w:sz w:val="22"/>
              <w:szCs w:val="22"/>
            </w:rPr>
            <w:t>; and</w:t>
          </w:r>
        </w:sdtContent>
      </w:sdt>
    </w:p>
    <w:p w14:paraId="0BCEBB31" w14:textId="77777777" w:rsidR="009209C0" w:rsidRDefault="009209C0" w:rsidP="009209C0">
      <w:pPr>
        <w:numPr>
          <w:ilvl w:val="0"/>
          <w:numId w:val="50"/>
        </w:numPr>
        <w:spacing w:line="25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Activity 3.4.3: Organize a SIDS pre-conference training workshop at IWC11</w:t>
      </w:r>
      <w:sdt>
        <w:sdtPr>
          <w:rPr>
            <w:rFonts w:asciiTheme="minorHAnsi" w:hAnsiTheme="minorHAnsi" w:cstheme="minorHAnsi"/>
          </w:rPr>
          <w:tag w:val="goog_rdk_767"/>
          <w:id w:val="1652104537"/>
        </w:sdtPr>
        <w:sdtEndPr/>
        <w:sdtContent>
          <w:r>
            <w:rPr>
              <w:rFonts w:asciiTheme="minorHAnsi" w:hAnsiTheme="minorHAnsi" w:cstheme="minorHAnsi"/>
              <w:color w:val="000000"/>
              <w:sz w:val="22"/>
              <w:szCs w:val="22"/>
            </w:rPr>
            <w:t>.</w:t>
          </w:r>
        </w:sdtContent>
      </w:sdt>
    </w:p>
    <w:p w14:paraId="14EFFFF9" w14:textId="77777777" w:rsidR="009209C0" w:rsidRDefault="009209C0" w:rsidP="009209C0">
      <w:pPr>
        <w:jc w:val="both"/>
        <w:rPr>
          <w:rFonts w:asciiTheme="minorHAnsi" w:hAnsiTheme="minorHAnsi" w:cstheme="minorHAnsi"/>
          <w:sz w:val="22"/>
          <w:szCs w:val="22"/>
        </w:rPr>
      </w:pPr>
    </w:p>
    <w:p w14:paraId="2073856E" w14:textId="63ACC3E4" w:rsidR="009209C0" w:rsidRDefault="009209C0" w:rsidP="009209C0">
      <w:pPr>
        <w:jc w:val="both"/>
        <w:rPr>
          <w:rFonts w:asciiTheme="minorHAnsi" w:hAnsiTheme="minorHAnsi" w:cstheme="minorHAnsi"/>
          <w:sz w:val="22"/>
          <w:szCs w:val="22"/>
        </w:rPr>
      </w:pPr>
      <w:r>
        <w:rPr>
          <w:rFonts w:asciiTheme="minorHAnsi" w:hAnsiTheme="minorHAnsi" w:cstheme="minorHAnsi"/>
          <w:sz w:val="22"/>
          <w:szCs w:val="22"/>
        </w:rPr>
        <w:t xml:space="preserve">Due to COVID-19 pandemics, trainings when not possible to be </w:t>
      </w:r>
      <w:proofErr w:type="spellStart"/>
      <w:r>
        <w:rPr>
          <w:rFonts w:asciiTheme="minorHAnsi" w:hAnsiTheme="minorHAnsi" w:cstheme="minorHAnsi"/>
          <w:sz w:val="22"/>
          <w:szCs w:val="22"/>
        </w:rPr>
        <w:t>organised</w:t>
      </w:r>
      <w:proofErr w:type="spellEnd"/>
      <w:r>
        <w:rPr>
          <w:rFonts w:asciiTheme="minorHAnsi" w:hAnsiTheme="minorHAnsi" w:cstheme="minorHAnsi"/>
          <w:sz w:val="22"/>
          <w:szCs w:val="22"/>
        </w:rPr>
        <w:t xml:space="preserve"> in person, will be organized virtually to ensure that any COVID-19 related limitations will be dealt with in a timely manner. This will be particularly important during the first year of the project’s implementation.</w:t>
      </w:r>
    </w:p>
    <w:p w14:paraId="75E3DFA3" w14:textId="77777777" w:rsidR="009209C0" w:rsidRPr="009209C0" w:rsidRDefault="009209C0" w:rsidP="009209C0"/>
    <w:p w14:paraId="03C360E3" w14:textId="507403F4"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t>Activity 3.4.1: Work with partners and regional bodies to organize a series of at least three intra-regional training workshops</w:t>
      </w:r>
    </w:p>
    <w:p w14:paraId="54C2522C"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project will deliver at least three targeted cross-cutting training workshops to take place at the regional-level. The workshops will be a component of the learning cycle, both as preparation for and follow-up to the International Waters Conferences (sub-component 1.1). The workshops will follow the principle of “blended learning”, starting with online learning resources to introduce general principles of an identified SIDS specific training topic that are then followed by face-to-face section of the course focused on more specific and targeted material that builds on regional or country specific examples, where possible. </w:t>
      </w:r>
    </w:p>
    <w:p w14:paraId="3DD73ADA" w14:textId="77777777" w:rsidR="00F8663A" w:rsidRDefault="00F8663A" w:rsidP="00F8663A">
      <w:pPr>
        <w:jc w:val="both"/>
        <w:rPr>
          <w:rFonts w:asciiTheme="minorHAnsi" w:hAnsiTheme="minorHAnsi" w:cstheme="minorHAnsi"/>
          <w:sz w:val="22"/>
          <w:szCs w:val="22"/>
        </w:rPr>
      </w:pPr>
    </w:p>
    <w:p w14:paraId="0DC89677" w14:textId="55DEB794" w:rsidR="00F8663A" w:rsidRP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coordinate the work of partners and manage the execution of the training. The intra-regional workshops under this activity will be supported by the UNEP Regional Seas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with facilitation by the respective regional conventions and associated organizations to allow for consistent delivery across the three SIDS regions. This includes the Cartagena Convention for the Caribbean Sea, the Nairobi Convention for Africa/Indian Ocean, and SPREP for the Pacific Ocean.  Where possible, the workshops will build on existing regional events to reduce transaction costs, and the time and carbon footprints of workshop participants. The PCU will identify such opportunities through strategic partnerships within the global SIDS community.  All knowledge generated at the workshops will also be globally disseminated through the SIDS Hub (sub-component 3.2). </w:t>
      </w:r>
    </w:p>
    <w:p w14:paraId="3CC8C56F" w14:textId="77777777" w:rsidR="00F8663A" w:rsidRPr="00F8663A" w:rsidRDefault="00F8663A" w:rsidP="00F8663A"/>
    <w:p w14:paraId="7D4AF7BB" w14:textId="79112518"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t>Activity 3.4.2: Organize an inter-regional  SIDS training workshop to follow up on the training and to share lessons learned and experience inter-regionally</w:t>
      </w:r>
    </w:p>
    <w:p w14:paraId="2BB9306A"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The inter-regional</w:t>
      </w:r>
      <w:sdt>
        <w:sdtPr>
          <w:rPr>
            <w:rFonts w:asciiTheme="minorHAnsi" w:hAnsiTheme="minorHAnsi" w:cstheme="minorHAnsi"/>
          </w:rPr>
          <w:tag w:val="goog_rdk_769"/>
          <w:id w:val="-1337998685"/>
        </w:sdtPr>
        <w:sdtEndPr/>
        <w:sdtContent>
          <w:r>
            <w:rPr>
              <w:rFonts w:asciiTheme="minorHAnsi" w:hAnsiTheme="minorHAnsi" w:cstheme="minorHAnsi"/>
              <w:sz w:val="22"/>
              <w:szCs w:val="22"/>
            </w:rPr>
            <w:t xml:space="preserve"> </w:t>
          </w:r>
        </w:sdtContent>
      </w:sdt>
      <w:r>
        <w:rPr>
          <w:rFonts w:asciiTheme="minorHAnsi" w:hAnsiTheme="minorHAnsi" w:cstheme="minorHAnsi"/>
          <w:sz w:val="22"/>
          <w:szCs w:val="22"/>
        </w:rPr>
        <w:t xml:space="preserve">SIDS workshop will be </w:t>
      </w:r>
      <w:proofErr w:type="spellStart"/>
      <w:r>
        <w:rPr>
          <w:rFonts w:asciiTheme="minorHAnsi" w:hAnsiTheme="minorHAnsi" w:cstheme="minorHAnsi"/>
          <w:sz w:val="22"/>
          <w:szCs w:val="22"/>
        </w:rPr>
        <w:t>organised</w:t>
      </w:r>
      <w:proofErr w:type="spellEnd"/>
      <w:r>
        <w:rPr>
          <w:rFonts w:asciiTheme="minorHAnsi" w:hAnsiTheme="minorHAnsi" w:cstheme="minorHAnsi"/>
          <w:sz w:val="22"/>
          <w:szCs w:val="22"/>
        </w:rPr>
        <w:t xml:space="preserve"> that supports targeted training on an identified issue of shared importance among SIDS regions. The workshop will follow up on the intra-regional training workshops and promote inter-regional cooperation and be organized between the IWC 10 and IWC 11. The global SIDS workshop will build on similar IW:LEARN experiences, including LME global workshops and  Science global workshops. </w:t>
      </w:r>
    </w:p>
    <w:p w14:paraId="7A831052" w14:textId="77777777" w:rsidR="00F8663A" w:rsidRDefault="00F8663A" w:rsidP="00F8663A">
      <w:pPr>
        <w:jc w:val="both"/>
        <w:rPr>
          <w:rFonts w:asciiTheme="minorHAnsi" w:hAnsiTheme="minorHAnsi" w:cstheme="minorHAnsi"/>
          <w:sz w:val="22"/>
          <w:szCs w:val="22"/>
        </w:rPr>
      </w:pPr>
    </w:p>
    <w:p w14:paraId="11161460"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coordinate the work of partners and manage the execution of the training. The global inter-regional workshops under activity 3.4.2 will be supported by the UNEP Regional Seas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For consistent delivery of this activity with the activity 3.4.1, a UNEP Regional Seas Conventions and associated organization will host the global workshop within one of the SIDS regions. </w:t>
      </w:r>
    </w:p>
    <w:p w14:paraId="171860A6" w14:textId="77777777" w:rsidR="00F8663A" w:rsidRDefault="00F8663A" w:rsidP="00F8663A">
      <w:pPr>
        <w:jc w:val="both"/>
        <w:rPr>
          <w:rFonts w:asciiTheme="minorHAnsi" w:hAnsiTheme="minorHAnsi" w:cstheme="minorHAnsi"/>
          <w:sz w:val="22"/>
          <w:szCs w:val="22"/>
        </w:rPr>
      </w:pPr>
    </w:p>
    <w:p w14:paraId="1D407582"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specific location and respective organization will be identified during project execution by the PCU and UNEP Regional Seas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Where possible, the workshops will build on existing regional events to reduce transaction costs, and the time and carbon footprints of workshop participants. The PCU will identify such opportunities through strategic partnerships within the global SIDS community, potentially including an annual Global Multi-stakeholder SIDS Partnership Dialogue. All knowledge generated at the workshops will also be globally disseminated through the SIDS Hub (sub-component 3.2). </w:t>
      </w:r>
    </w:p>
    <w:p w14:paraId="25FBA678" w14:textId="77777777" w:rsidR="00F8663A" w:rsidRPr="00F8663A" w:rsidRDefault="00F8663A" w:rsidP="00F8663A"/>
    <w:p w14:paraId="422E0802" w14:textId="64B9485D"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t>Activity 3.4.3: Organize a SIDS pre-conference training workshop at IWC11</w:t>
      </w:r>
    </w:p>
    <w:p w14:paraId="298B9A05" w14:textId="77777777" w:rsidR="00F8663A" w:rsidRDefault="00F8663A" w:rsidP="00F8663A">
      <w:pPr>
        <w:jc w:val="both"/>
        <w:rPr>
          <w:rFonts w:asciiTheme="minorHAnsi" w:hAnsiTheme="minorHAnsi" w:cstheme="minorHAnsi"/>
          <w:b/>
          <w:sz w:val="22"/>
          <w:szCs w:val="22"/>
        </w:rPr>
      </w:pPr>
      <w:r>
        <w:rPr>
          <w:rFonts w:asciiTheme="minorHAnsi" w:hAnsiTheme="minorHAnsi" w:cstheme="minorHAnsi"/>
          <w:sz w:val="22"/>
          <w:szCs w:val="22"/>
        </w:rPr>
        <w:t xml:space="preserve">Building on similar thematic trainings in advance of IW Conferences (IWC), a SIDS pre-conference workshop will be held in advance of a future IWC (IWC 11 currently targeted). The SIDS pre-conference workshop will provide a strategic forum to feature the results of the multiple training activities in advance of the IWC to the broader IW community. The SIDS pre-conference workshop will also be an important opportunity for the GEF SIDS community to evaluate the current knowledge management approach and identify future phases of IW:LEARN support. </w:t>
      </w:r>
    </w:p>
    <w:p w14:paraId="6BA06BE2" w14:textId="77777777" w:rsidR="00F8663A" w:rsidRDefault="00F8663A" w:rsidP="00F8663A">
      <w:pPr>
        <w:jc w:val="both"/>
        <w:rPr>
          <w:rFonts w:asciiTheme="minorHAnsi" w:hAnsiTheme="minorHAnsi" w:cstheme="minorHAnsi"/>
          <w:b/>
          <w:sz w:val="22"/>
          <w:szCs w:val="22"/>
        </w:rPr>
      </w:pPr>
    </w:p>
    <w:p w14:paraId="3319FB5E" w14:textId="0C6D2686" w:rsidR="00F8663A" w:rsidRPr="00F439E2" w:rsidRDefault="00F8663A" w:rsidP="00F439E2">
      <w:pPr>
        <w:jc w:val="both"/>
        <w:rPr>
          <w:rFonts w:asciiTheme="minorHAnsi" w:hAnsiTheme="minorHAnsi" w:cstheme="minorHAnsi"/>
          <w:sz w:val="22"/>
          <w:szCs w:val="22"/>
        </w:rPr>
      </w:pPr>
      <w:r>
        <w:rPr>
          <w:rFonts w:asciiTheme="minorHAnsi" w:hAnsiTheme="minorHAnsi" w:cstheme="minorHAnsi"/>
          <w:sz w:val="22"/>
          <w:szCs w:val="22"/>
        </w:rPr>
        <w:t xml:space="preserve">The pre-conference workshop under activity 3.4.3 will be organized by the UNEP Regional Seas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with management by the GEF IW: LEARN PCU. The pre-conference workshop will be held at the same location as the IWC and in the day(s) preceding respective ICW (location and date TBD). All knowledge generated at the pre-conference workshop will also be globally disseminated through the SIDS Hub (sub-component 3.2). </w:t>
      </w:r>
    </w:p>
    <w:p w14:paraId="18F66F9D" w14:textId="77777777" w:rsidR="00F8663A" w:rsidRPr="00F8663A" w:rsidRDefault="00F8663A" w:rsidP="00F8663A"/>
    <w:p w14:paraId="412498E7" w14:textId="008DB98C" w:rsidR="00F8663A" w:rsidRDefault="00F8663A" w:rsidP="00F8663A">
      <w:pPr>
        <w:pStyle w:val="Heading3"/>
        <w:rPr>
          <w:rFonts w:asciiTheme="minorHAnsi" w:hAnsiTheme="minorHAnsi" w:cstheme="minorHAnsi"/>
          <w:b/>
          <w:bCs/>
          <w:color w:val="000000" w:themeColor="text1"/>
          <w:u w:val="single"/>
        </w:rPr>
      </w:pPr>
      <w:bookmarkStart w:id="20" w:name="_Toc115094378"/>
      <w:r w:rsidRPr="0032322D">
        <w:rPr>
          <w:rFonts w:asciiTheme="minorHAnsi" w:hAnsiTheme="minorHAnsi" w:cstheme="minorHAnsi"/>
          <w:b/>
          <w:bCs/>
          <w:color w:val="000000" w:themeColor="text1"/>
          <w:u w:val="single"/>
        </w:rPr>
        <w:t xml:space="preserve">Component </w:t>
      </w:r>
      <w:r>
        <w:rPr>
          <w:rFonts w:asciiTheme="minorHAnsi" w:hAnsiTheme="minorHAnsi" w:cstheme="minorHAnsi"/>
          <w:b/>
          <w:bCs/>
          <w:color w:val="000000" w:themeColor="text1"/>
          <w:u w:val="single"/>
        </w:rPr>
        <w:t>4</w:t>
      </w:r>
      <w:r w:rsidR="00F439E2">
        <w:rPr>
          <w:rFonts w:asciiTheme="minorHAnsi" w:hAnsiTheme="minorHAnsi" w:cstheme="minorHAnsi"/>
          <w:b/>
          <w:bCs/>
          <w:color w:val="000000" w:themeColor="text1"/>
          <w:u w:val="single"/>
        </w:rPr>
        <w:t xml:space="preserve">: </w:t>
      </w:r>
      <w:r w:rsidR="00F439E2" w:rsidRPr="00F439E2">
        <w:rPr>
          <w:rFonts w:asciiTheme="minorHAnsi" w:hAnsiTheme="minorHAnsi" w:cstheme="minorHAnsi"/>
          <w:b/>
          <w:bCs/>
          <w:color w:val="000000" w:themeColor="text1"/>
          <w:u w:val="single"/>
        </w:rPr>
        <w:t>Deliver Support to Surface Freshwater, Groundwater and Large Marine Ecosystem Subsets in Support of Portfolio Strategic Priorities</w:t>
      </w:r>
      <w:bookmarkEnd w:id="20"/>
    </w:p>
    <w:p w14:paraId="76266007" w14:textId="77777777" w:rsidR="00F8663A" w:rsidRDefault="00F8663A" w:rsidP="00F8663A">
      <w:pPr>
        <w:jc w:val="both"/>
        <w:rPr>
          <w:rFonts w:asciiTheme="minorHAnsi" w:hAnsiTheme="minorHAnsi" w:cstheme="minorHAnsi"/>
          <w:u w:val="single"/>
        </w:rPr>
      </w:pPr>
    </w:p>
    <w:p w14:paraId="393EF537"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The GEF7 Programmatic Directions highlight several strategic priorities for the 2018-2022 GEF IW specific portfolio ecosystem types in the international waters focal area. The overarching Objectives include Strengthening Blue Economy Opportunities, Improving Management in the Areas Beyond National Jurisdiction and Enhancing Water Security in Freshwater Ecosystems. Within these areas there are sub-priorities, some of which the project aims to address to enhance portfolio capacity. The component will contain activities to directly address some of these strategic priorities in support of investments in groundwater, surface freshwater and marine/coastal ecosystems. The Component will eventually also address similar objectives in the GEF8 Programmatic Directions.</w:t>
      </w:r>
    </w:p>
    <w:p w14:paraId="3F51FE72" w14:textId="77777777" w:rsidR="00F8663A" w:rsidRDefault="00F8663A" w:rsidP="00F8663A">
      <w:pPr>
        <w:jc w:val="both"/>
        <w:rPr>
          <w:rFonts w:asciiTheme="minorHAnsi" w:hAnsiTheme="minorHAnsi" w:cstheme="minorHAnsi"/>
          <w:sz w:val="22"/>
          <w:szCs w:val="22"/>
        </w:rPr>
      </w:pPr>
    </w:p>
    <w:p w14:paraId="479B2F7C"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First, the component will support Objective 3, Enhance Water Security in Freshwater Ecosystems, and in particular Strategic Action 3.3. Investments in Water, Food, Energy and Environmental Security. Activities will include knowledge exchanges, training on new tools in key regions and sub-regions on Water, Food, Energy and Environmental Security, to help guide transboundary regional projects in supporting their participating countries to address these trade-offs and incorporate them into the TDA-SAP Process. </w:t>
      </w:r>
    </w:p>
    <w:p w14:paraId="27797A3F" w14:textId="77777777" w:rsidR="00F8663A" w:rsidRDefault="00F8663A" w:rsidP="00F8663A">
      <w:pPr>
        <w:jc w:val="both"/>
        <w:rPr>
          <w:rFonts w:asciiTheme="minorHAnsi" w:hAnsiTheme="minorHAnsi" w:cstheme="minorHAnsi"/>
          <w:sz w:val="22"/>
          <w:szCs w:val="22"/>
        </w:rPr>
      </w:pPr>
    </w:p>
    <w:p w14:paraId="7A538053"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Second, the component will support Objective 3’s Strategic Action 3.2 on enhancing regional and national cooperation on shared freshwater surface and groundwater basins. Activities will feature exchanges and programmatic guidance on policy formulation regarding the conjunctive management of linked groundwater and surface freshwater ecosystems through better governance, as well as with coastal and ocean projects. </w:t>
      </w:r>
    </w:p>
    <w:p w14:paraId="706EEE41" w14:textId="77777777" w:rsidR="00F8663A" w:rsidRDefault="00F8663A" w:rsidP="00F8663A">
      <w:pPr>
        <w:jc w:val="both"/>
        <w:rPr>
          <w:rFonts w:asciiTheme="minorHAnsi" w:hAnsiTheme="minorHAnsi" w:cstheme="minorHAnsi"/>
          <w:sz w:val="22"/>
          <w:szCs w:val="22"/>
        </w:rPr>
      </w:pPr>
    </w:p>
    <w:p w14:paraId="6AB7286D"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Third, the Component will support Objective 1’s Strategic Action 1.1 on sustaining healthy coastal and marine ecosystems, in particular investments that focus on mainstreaming marine area-based management and spatial tools in regional entities. The activities will help advance large marine ecosystem projects in guiding participating countries towards transboundary Marine Spatial Planning (MSP). In addition, the Component will support Objective 1, Strategic Action 1.1, with a focus on supporting the portfolio with the development and implementation of environmentally sustainable blue economy strategies. Activities will include the development of a training package, synthesis materials and guidance to marine and coastal projects and strategic planning methodologies in addressing the development and implementation of blue economy opportunities. </w:t>
      </w:r>
    </w:p>
    <w:p w14:paraId="0F96BE55" w14:textId="77777777" w:rsidR="00F8663A" w:rsidRDefault="00F8663A" w:rsidP="00F8663A">
      <w:pPr>
        <w:jc w:val="both"/>
        <w:rPr>
          <w:rFonts w:asciiTheme="minorHAnsi" w:hAnsiTheme="minorHAnsi" w:cstheme="minorHAnsi"/>
          <w:sz w:val="22"/>
          <w:szCs w:val="22"/>
        </w:rPr>
      </w:pPr>
    </w:p>
    <w:p w14:paraId="25108977"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Finally, the component will support Strategic Action 1.1’s focus on fostering collaboration among LMEs, Regional Seas conventions and RFMOs to protect and restore these key habitats. Activities will feature annual meetings and dialogue to strengthen collaboration among LME projects, Regional Seas, Regional Fisheries Management bodies, Areas Beyond National Jurisdiction and River Basin Organizations (RBOs), particularly through the Annual Marine Consultation process.</w:t>
      </w:r>
    </w:p>
    <w:p w14:paraId="067651C2" w14:textId="77777777" w:rsidR="00F8663A" w:rsidRDefault="00F8663A" w:rsidP="00F8663A">
      <w:pPr>
        <w:jc w:val="both"/>
        <w:rPr>
          <w:rFonts w:asciiTheme="minorHAnsi" w:hAnsiTheme="minorHAnsi" w:cstheme="minorHAnsi"/>
          <w:sz w:val="22"/>
          <w:szCs w:val="22"/>
        </w:rPr>
      </w:pPr>
    </w:p>
    <w:p w14:paraId="042B2372"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Four sub-components are foreseen under Component 4:</w:t>
      </w:r>
    </w:p>
    <w:p w14:paraId="05FB8716" w14:textId="77777777" w:rsidR="00F8663A" w:rsidRDefault="00F8663A" w:rsidP="00F8663A">
      <w:pPr>
        <w:jc w:val="both"/>
        <w:rPr>
          <w:rFonts w:asciiTheme="minorHAnsi" w:hAnsiTheme="minorHAnsi" w:cstheme="minorHAnsi"/>
          <w:sz w:val="22"/>
          <w:szCs w:val="22"/>
        </w:rPr>
      </w:pPr>
    </w:p>
    <w:p w14:paraId="1D7A1316" w14:textId="77777777" w:rsidR="00F8663A" w:rsidRDefault="00F8663A" w:rsidP="00F8663A">
      <w:pPr>
        <w:numPr>
          <w:ilvl w:val="0"/>
          <w:numId w:val="51"/>
        </w:numPr>
        <w:ind w:left="714" w:hanging="357"/>
        <w:jc w:val="both"/>
        <w:rPr>
          <w:rFonts w:asciiTheme="minorHAnsi" w:hAnsiTheme="minorHAnsi" w:cstheme="minorHAnsi"/>
          <w:sz w:val="22"/>
          <w:szCs w:val="22"/>
        </w:rPr>
      </w:pPr>
      <w:r>
        <w:rPr>
          <w:rFonts w:asciiTheme="minorHAnsi" w:hAnsiTheme="minorHAnsi" w:cstheme="minorHAnsi"/>
          <w:b/>
          <w:sz w:val="22"/>
          <w:szCs w:val="22"/>
        </w:rPr>
        <w:lastRenderedPageBreak/>
        <w:t>Sub-component 4.1</w:t>
      </w:r>
      <w:r>
        <w:rPr>
          <w:rFonts w:asciiTheme="minorHAnsi" w:hAnsiTheme="minorHAnsi" w:cstheme="minorHAnsi"/>
          <w:sz w:val="22"/>
          <w:szCs w:val="22"/>
        </w:rPr>
        <w:t>: Knowledge exchanges on Water, Food, Energy and Environmental Security in transboundary basins</w:t>
      </w:r>
      <w:sdt>
        <w:sdtPr>
          <w:rPr>
            <w:rFonts w:asciiTheme="minorHAnsi" w:hAnsiTheme="minorHAnsi" w:cstheme="minorHAnsi"/>
          </w:rPr>
          <w:tag w:val="goog_rdk_771"/>
          <w:id w:val="1828860202"/>
        </w:sdtPr>
        <w:sdtEndPr/>
        <w:sdtContent>
          <w:r>
            <w:rPr>
              <w:rFonts w:asciiTheme="minorHAnsi" w:hAnsiTheme="minorHAnsi" w:cstheme="minorHAnsi"/>
              <w:sz w:val="22"/>
              <w:szCs w:val="22"/>
            </w:rPr>
            <w:t>;</w:t>
          </w:r>
        </w:sdtContent>
      </w:sdt>
    </w:p>
    <w:p w14:paraId="6F3B0064" w14:textId="77777777" w:rsidR="00F8663A" w:rsidRDefault="00F8663A" w:rsidP="00F8663A">
      <w:pPr>
        <w:numPr>
          <w:ilvl w:val="0"/>
          <w:numId w:val="51"/>
        </w:numPr>
        <w:ind w:left="714" w:hanging="357"/>
        <w:jc w:val="both"/>
        <w:rPr>
          <w:rFonts w:asciiTheme="minorHAnsi" w:hAnsiTheme="minorHAnsi" w:cstheme="minorHAnsi"/>
          <w:sz w:val="22"/>
          <w:szCs w:val="22"/>
        </w:rPr>
      </w:pPr>
      <w:r>
        <w:rPr>
          <w:rFonts w:asciiTheme="minorHAnsi" w:hAnsiTheme="minorHAnsi" w:cstheme="minorHAnsi"/>
          <w:b/>
          <w:sz w:val="22"/>
          <w:szCs w:val="22"/>
        </w:rPr>
        <w:t xml:space="preserve">Sub-component 4.2: </w:t>
      </w:r>
      <w:r>
        <w:rPr>
          <w:rFonts w:asciiTheme="minorHAnsi" w:hAnsiTheme="minorHAnsi" w:cstheme="minorHAnsi"/>
          <w:sz w:val="22"/>
          <w:szCs w:val="22"/>
        </w:rPr>
        <w:t>Exchanges to promote conjunctive management through governance of freshwater in GEF projects, both groundwater and surface water, as well as with coastal and ocean projects</w:t>
      </w:r>
      <w:sdt>
        <w:sdtPr>
          <w:rPr>
            <w:rFonts w:asciiTheme="minorHAnsi" w:hAnsiTheme="minorHAnsi" w:cstheme="minorHAnsi"/>
          </w:rPr>
          <w:tag w:val="goog_rdk_772"/>
          <w:id w:val="1498151943"/>
        </w:sdtPr>
        <w:sdtEndPr/>
        <w:sdtContent>
          <w:r>
            <w:rPr>
              <w:rFonts w:asciiTheme="minorHAnsi" w:hAnsiTheme="minorHAnsi" w:cstheme="minorHAnsi"/>
              <w:sz w:val="22"/>
              <w:szCs w:val="22"/>
            </w:rPr>
            <w:t>;</w:t>
          </w:r>
        </w:sdtContent>
      </w:sdt>
    </w:p>
    <w:p w14:paraId="458AEE85" w14:textId="77777777" w:rsidR="00F8663A" w:rsidRDefault="00F8663A" w:rsidP="00F8663A">
      <w:pPr>
        <w:numPr>
          <w:ilvl w:val="0"/>
          <w:numId w:val="51"/>
        </w:numPr>
        <w:ind w:left="714" w:hanging="357"/>
        <w:jc w:val="both"/>
        <w:rPr>
          <w:rFonts w:asciiTheme="minorHAnsi" w:hAnsiTheme="minorHAnsi" w:cstheme="minorHAnsi"/>
          <w:sz w:val="22"/>
          <w:szCs w:val="22"/>
        </w:rPr>
      </w:pPr>
      <w:r>
        <w:rPr>
          <w:rFonts w:asciiTheme="minorHAnsi" w:hAnsiTheme="minorHAnsi" w:cstheme="minorHAnsi"/>
          <w:b/>
          <w:sz w:val="22"/>
          <w:szCs w:val="22"/>
        </w:rPr>
        <w:t>Sub-component 4.3:</w:t>
      </w:r>
      <w:r>
        <w:rPr>
          <w:rFonts w:asciiTheme="minorHAnsi" w:hAnsiTheme="minorHAnsi" w:cstheme="minorHAnsi"/>
          <w:sz w:val="22"/>
          <w:szCs w:val="22"/>
        </w:rPr>
        <w:t xml:space="preserve"> </w:t>
      </w:r>
      <w:r>
        <w:rPr>
          <w:rFonts w:asciiTheme="minorHAnsi" w:hAnsiTheme="minorHAnsi" w:cstheme="minorHAnsi"/>
          <w:color w:val="000000"/>
          <w:sz w:val="22"/>
          <w:szCs w:val="22"/>
        </w:rPr>
        <w:t>Training and capacity building activities in support of marine spatial planning as a tool for strengthening blue economy opportunities</w:t>
      </w:r>
      <w:sdt>
        <w:sdtPr>
          <w:rPr>
            <w:rFonts w:asciiTheme="minorHAnsi" w:hAnsiTheme="minorHAnsi" w:cstheme="minorHAnsi"/>
          </w:rPr>
          <w:tag w:val="goog_rdk_773"/>
          <w:id w:val="-126852937"/>
        </w:sdtPr>
        <w:sdtEndPr/>
        <w:sdtContent>
          <w:r>
            <w:rPr>
              <w:rFonts w:asciiTheme="minorHAnsi" w:hAnsiTheme="minorHAnsi" w:cstheme="minorHAnsi"/>
              <w:color w:val="000000"/>
              <w:sz w:val="22"/>
              <w:szCs w:val="22"/>
            </w:rPr>
            <w:t>; and</w:t>
          </w:r>
        </w:sdtContent>
      </w:sdt>
    </w:p>
    <w:p w14:paraId="7DED3742" w14:textId="77777777" w:rsidR="00F8663A" w:rsidRDefault="00F8663A" w:rsidP="00F8663A">
      <w:pPr>
        <w:numPr>
          <w:ilvl w:val="0"/>
          <w:numId w:val="51"/>
        </w:numPr>
        <w:ind w:left="714" w:hanging="357"/>
        <w:jc w:val="both"/>
        <w:rPr>
          <w:rFonts w:asciiTheme="minorHAnsi" w:hAnsiTheme="minorHAnsi" w:cstheme="minorHAnsi"/>
          <w:sz w:val="22"/>
          <w:szCs w:val="22"/>
        </w:rPr>
      </w:pPr>
      <w:r>
        <w:rPr>
          <w:rFonts w:asciiTheme="minorHAnsi" w:hAnsiTheme="minorHAnsi" w:cstheme="minorHAnsi"/>
          <w:b/>
          <w:sz w:val="22"/>
          <w:szCs w:val="22"/>
        </w:rPr>
        <w:t>Sub-component 4.4:</w:t>
      </w:r>
      <w:r>
        <w:rPr>
          <w:rFonts w:asciiTheme="minorHAnsi" w:hAnsiTheme="minorHAnsi" w:cstheme="minorHAnsi"/>
          <w:sz w:val="22"/>
          <w:szCs w:val="22"/>
        </w:rPr>
        <w:t xml:space="preserve"> Global and regional dialogue activities to promote collaboration among LMEs, Regional Seas bodies and Regional Fisheries Management Organizations (RFMOs), Areas Beyond National Jurisdiction (ABNJ) and River Basin Organizations (RBOs), especially via the Annual LME Consultation</w:t>
      </w:r>
      <w:sdt>
        <w:sdtPr>
          <w:rPr>
            <w:rFonts w:asciiTheme="minorHAnsi" w:hAnsiTheme="minorHAnsi" w:cstheme="minorHAnsi"/>
          </w:rPr>
          <w:tag w:val="goog_rdk_774"/>
          <w:id w:val="-1315328011"/>
        </w:sdtPr>
        <w:sdtEndPr/>
        <w:sdtContent>
          <w:r>
            <w:rPr>
              <w:rFonts w:asciiTheme="minorHAnsi" w:hAnsiTheme="minorHAnsi" w:cstheme="minorHAnsi"/>
              <w:sz w:val="22"/>
              <w:szCs w:val="22"/>
            </w:rPr>
            <w:t>.</w:t>
          </w:r>
        </w:sdtContent>
      </w:sdt>
    </w:p>
    <w:p w14:paraId="106DE21B" w14:textId="77777777" w:rsidR="00F8663A" w:rsidRDefault="00F8663A" w:rsidP="00F8663A">
      <w:pPr>
        <w:jc w:val="both"/>
        <w:rPr>
          <w:rFonts w:asciiTheme="minorHAnsi" w:hAnsiTheme="minorHAnsi" w:cstheme="minorHAnsi"/>
          <w:b/>
          <w:sz w:val="22"/>
          <w:szCs w:val="22"/>
        </w:rPr>
      </w:pPr>
    </w:p>
    <w:p w14:paraId="3035318F" w14:textId="1807EA5C" w:rsidR="00F8663A" w:rsidRDefault="00F8663A" w:rsidP="00F8663A">
      <w:pPr>
        <w:rPr>
          <w:rFonts w:asciiTheme="minorHAnsi" w:hAnsiTheme="minorHAnsi" w:cstheme="minorHAnsi"/>
          <w:sz w:val="22"/>
          <w:szCs w:val="22"/>
        </w:rPr>
      </w:pPr>
      <w:r>
        <w:rPr>
          <w:rFonts w:asciiTheme="minorHAnsi" w:hAnsiTheme="minorHAnsi" w:cstheme="minorHAnsi"/>
          <w:sz w:val="22"/>
          <w:szCs w:val="22"/>
        </w:rPr>
        <w:t xml:space="preserve">Due to the COVID-19 pandemics, short-term constraints on travel and group gatherings, probably to take effect during the first year of the project’s implementation, are being considered and on-line or remote learning and other communication options will be </w:t>
      </w:r>
      <w:proofErr w:type="spellStart"/>
      <w:r>
        <w:rPr>
          <w:rFonts w:asciiTheme="minorHAnsi" w:hAnsiTheme="minorHAnsi" w:cstheme="minorHAnsi"/>
          <w:sz w:val="22"/>
          <w:szCs w:val="22"/>
        </w:rPr>
        <w:t>utilised</w:t>
      </w:r>
      <w:proofErr w:type="spellEnd"/>
      <w:r>
        <w:rPr>
          <w:rFonts w:asciiTheme="minorHAnsi" w:hAnsiTheme="minorHAnsi" w:cstheme="minorHAnsi"/>
          <w:sz w:val="22"/>
          <w:szCs w:val="22"/>
        </w:rPr>
        <w:t xml:space="preserve"> where necessary, adjusting some of the equipment related costs to ensure equal opportunity to all beneficiaries.</w:t>
      </w:r>
    </w:p>
    <w:p w14:paraId="02B695E8" w14:textId="77777777" w:rsidR="00F439E2" w:rsidRPr="00F8663A" w:rsidRDefault="00F439E2" w:rsidP="00F8663A"/>
    <w:p w14:paraId="71B40016" w14:textId="4DB446AB" w:rsidR="00F8663A" w:rsidRDefault="00F8663A" w:rsidP="00F8663A">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4.1</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Knowledge exchanges on Water, Food, Energy and Environmental Security in transboundary basins (UNDP)</w:t>
      </w:r>
    </w:p>
    <w:p w14:paraId="0D65BB7D" w14:textId="77777777" w:rsidR="00F8663A" w:rsidRDefault="00F8663A" w:rsidP="00F8663A">
      <w:pPr>
        <w:jc w:val="both"/>
        <w:rPr>
          <w:rFonts w:asciiTheme="minorHAnsi" w:hAnsiTheme="minorHAnsi" w:cstheme="minorHAnsi"/>
          <w:b/>
          <w:sz w:val="22"/>
          <w:szCs w:val="22"/>
        </w:rPr>
      </w:pPr>
    </w:p>
    <w:p w14:paraId="12D65CEA" w14:textId="77777777" w:rsidR="00F8663A" w:rsidRDefault="00F8663A" w:rsidP="00F8663A">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44B740D1" w14:textId="77777777" w:rsidR="00F8663A" w:rsidRDefault="00F8663A" w:rsidP="00F8663A">
      <w:pPr>
        <w:shd w:val="clear" w:color="auto" w:fill="E7E6E6"/>
        <w:jc w:val="both"/>
        <w:rPr>
          <w:rFonts w:asciiTheme="minorHAnsi" w:hAnsiTheme="minorHAnsi" w:cstheme="minorHAnsi"/>
          <w:sz w:val="22"/>
          <w:szCs w:val="22"/>
        </w:rPr>
      </w:pPr>
    </w:p>
    <w:p w14:paraId="453E7A87"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4.1 is:</w:t>
      </w:r>
    </w:p>
    <w:p w14:paraId="08EF5667" w14:textId="77777777" w:rsidR="00F8663A" w:rsidRDefault="00F8663A" w:rsidP="00F8663A">
      <w:pPr>
        <w:shd w:val="clear" w:color="auto" w:fill="E7E6E6"/>
        <w:jc w:val="both"/>
        <w:rPr>
          <w:rFonts w:asciiTheme="minorHAnsi" w:hAnsiTheme="minorHAnsi" w:cstheme="minorHAnsi"/>
          <w:sz w:val="22"/>
          <w:szCs w:val="22"/>
        </w:rPr>
      </w:pPr>
    </w:p>
    <w:p w14:paraId="60D25A39"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Knowledge exchanges on Water, Food, Energy and Environmental Security in transboundary basins</w:t>
      </w:r>
    </w:p>
    <w:p w14:paraId="00DC2E61" w14:textId="77777777" w:rsidR="00F8663A" w:rsidRDefault="00F8663A" w:rsidP="00F8663A">
      <w:pPr>
        <w:shd w:val="clear" w:color="auto" w:fill="E7E6E6"/>
        <w:jc w:val="both"/>
        <w:rPr>
          <w:rFonts w:asciiTheme="minorHAnsi" w:hAnsiTheme="minorHAnsi" w:cstheme="minorHAnsi"/>
          <w:sz w:val="22"/>
          <w:szCs w:val="22"/>
        </w:rPr>
      </w:pPr>
    </w:p>
    <w:p w14:paraId="19EBE169"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4.1 is:</w:t>
      </w:r>
    </w:p>
    <w:p w14:paraId="09332608" w14:textId="77777777" w:rsidR="00F8663A" w:rsidRDefault="00F8663A" w:rsidP="00F8663A">
      <w:pPr>
        <w:shd w:val="clear" w:color="auto" w:fill="E7E6E6"/>
        <w:jc w:val="both"/>
        <w:rPr>
          <w:rFonts w:asciiTheme="minorHAnsi" w:hAnsiTheme="minorHAnsi" w:cstheme="minorHAnsi"/>
          <w:sz w:val="22"/>
          <w:szCs w:val="22"/>
        </w:rPr>
      </w:pPr>
    </w:p>
    <w:p w14:paraId="0A46B852"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Improved management of transboundary freshwater and marine ecosystems</w:t>
      </w:r>
    </w:p>
    <w:p w14:paraId="5619CE7C" w14:textId="77777777" w:rsidR="00F8663A" w:rsidRDefault="00F8663A" w:rsidP="00F8663A">
      <w:pPr>
        <w:shd w:val="clear" w:color="auto" w:fill="E7E6E6"/>
        <w:jc w:val="both"/>
        <w:rPr>
          <w:rFonts w:asciiTheme="minorHAnsi" w:hAnsiTheme="minorHAnsi" w:cstheme="minorHAnsi"/>
          <w:sz w:val="22"/>
          <w:szCs w:val="22"/>
        </w:rPr>
      </w:pPr>
    </w:p>
    <w:p w14:paraId="37133F14" w14:textId="77777777" w:rsidR="00F8663A" w:rsidRDefault="00F8663A" w:rsidP="00F8663A">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4: GEF Grant USD1,278,996 (UNDP Components all except 4.3.3) 250,000 (UNEP Components 4.3.3)</w:t>
      </w:r>
    </w:p>
    <w:p w14:paraId="7867C41E" w14:textId="77777777" w:rsidR="00F8663A" w:rsidRDefault="00F8663A" w:rsidP="00F8663A">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This sub-component links to the following components/sub-components</w:t>
      </w:r>
      <w:r>
        <w:rPr>
          <w:rFonts w:asciiTheme="minorHAnsi" w:hAnsiTheme="minorHAnsi" w:cstheme="minorHAnsi"/>
          <w:sz w:val="22"/>
          <w:szCs w:val="22"/>
        </w:rPr>
        <w:t xml:space="preserve">: </w:t>
      </w:r>
    </w:p>
    <w:p w14:paraId="3FDBBBA5" w14:textId="77777777" w:rsidR="00F8663A" w:rsidRDefault="00F8663A" w:rsidP="00F8663A">
      <w:pPr>
        <w:shd w:val="clear" w:color="auto" w:fill="E7E6E6"/>
        <w:jc w:val="both"/>
        <w:rPr>
          <w:rFonts w:asciiTheme="minorHAnsi" w:hAnsiTheme="minorHAnsi" w:cstheme="minorHAnsi"/>
          <w:sz w:val="22"/>
          <w:szCs w:val="22"/>
        </w:rPr>
      </w:pPr>
    </w:p>
    <w:p w14:paraId="6BBA6F72"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Component 1:  Provide Targeted Knowledge Sharing and Results Showcasing Across Projects and</w:t>
      </w:r>
    </w:p>
    <w:p w14:paraId="6A5265B1"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Development Partners (Through Face-to-Face Dialogue and Training) to Advance Transboundary</w:t>
      </w:r>
    </w:p>
    <w:p w14:paraId="76142C1C"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Water Management in All IW Focal Area Ecosystems </w:t>
      </w:r>
    </w:p>
    <w:p w14:paraId="7EED3530" w14:textId="77777777" w:rsidR="00F8663A" w:rsidRDefault="00F8663A" w:rsidP="00F8663A">
      <w:pPr>
        <w:shd w:val="clear" w:color="auto" w:fill="E7E6E6"/>
        <w:jc w:val="both"/>
        <w:rPr>
          <w:rFonts w:asciiTheme="minorHAnsi" w:hAnsiTheme="minorHAnsi" w:cstheme="minorHAnsi"/>
          <w:sz w:val="22"/>
          <w:szCs w:val="22"/>
        </w:rPr>
      </w:pPr>
    </w:p>
    <w:p w14:paraId="6D1E7EED"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Component 5: Mobilize Public and Private Partnership to Enhance Long-term Sustainability of</w:t>
      </w:r>
    </w:p>
    <w:p w14:paraId="45F83A1E" w14:textId="77777777" w:rsidR="00F8663A" w:rsidRDefault="00F8663A" w:rsidP="00F8663A">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Project Interventions </w:t>
      </w:r>
    </w:p>
    <w:p w14:paraId="5EDA59A7" w14:textId="77777777" w:rsidR="00F8663A" w:rsidRDefault="00F8663A" w:rsidP="00F8663A">
      <w:pPr>
        <w:jc w:val="both"/>
        <w:rPr>
          <w:rFonts w:asciiTheme="minorHAnsi" w:hAnsiTheme="minorHAnsi" w:cstheme="minorHAnsi"/>
          <w:sz w:val="22"/>
          <w:szCs w:val="22"/>
        </w:rPr>
      </w:pPr>
    </w:p>
    <w:p w14:paraId="79AE43D1"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Securing supply for water, energy, food and ecosystem services and addressing associated trade-offs of this nexus is a challenge in most transboundary basins to one extent or another. Addressing sectoral needs can both be a driver for cooperation and as well as a challenge on national and regional levels for both water resource planning and operational management. Addressing the Nexus trade-offs is an explicit part of the GEF7 &amp; GEF8 international waters focal area strategy, and in particular something that all freshwater basin projects need support in addressing. </w:t>
      </w:r>
    </w:p>
    <w:p w14:paraId="2D6C9533" w14:textId="77777777" w:rsidR="00F8663A" w:rsidRDefault="00F8663A" w:rsidP="00F8663A">
      <w:pPr>
        <w:jc w:val="both"/>
        <w:rPr>
          <w:rFonts w:asciiTheme="minorHAnsi" w:hAnsiTheme="minorHAnsi" w:cstheme="minorHAnsi"/>
          <w:sz w:val="22"/>
          <w:szCs w:val="22"/>
        </w:rPr>
      </w:pPr>
    </w:p>
    <w:p w14:paraId="39A48B23"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previous phase of GEF IW:LEARN supported activities in support of addressing Nexus trade-offs both globally and in the South-eastern European region, led respectively by the UNECE and GWP. The </w:t>
      </w:r>
      <w:r>
        <w:rPr>
          <w:rFonts w:asciiTheme="minorHAnsi" w:hAnsiTheme="minorHAnsi" w:cstheme="minorHAnsi"/>
          <w:sz w:val="22"/>
          <w:szCs w:val="22"/>
        </w:rPr>
        <w:lastRenderedPageBreak/>
        <w:t xml:space="preserve">UNECE activity resulted in a synthesis document on nexus assessments, with a consolidated nexus assessment methodology and experience from its application. A number of global workshops were conducted with approximately 88 countries in attendance. Short training sessions on the topic were conducted at the GEF Biennial International Waters Conference. For its part, GWP led a series of Nexus dialogues for policymakers in the South-eastern Europe region. </w:t>
      </w:r>
    </w:p>
    <w:p w14:paraId="787A8DBC" w14:textId="77777777" w:rsidR="00F8663A" w:rsidRDefault="00F8663A" w:rsidP="00F8663A">
      <w:pPr>
        <w:jc w:val="both"/>
        <w:rPr>
          <w:rFonts w:asciiTheme="minorHAnsi" w:hAnsiTheme="minorHAnsi" w:cstheme="minorHAnsi"/>
          <w:sz w:val="22"/>
          <w:szCs w:val="22"/>
        </w:rPr>
      </w:pPr>
    </w:p>
    <w:p w14:paraId="109C6534"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In this phase, IW:LEARN will support new and different types of activities to support GEF IW projects to address Nexus trade-offs. First, the Sub-component 4.1 will feature a new hub at iwlearn.net containing information about tools. Second, the TDA-SAP Methodology will be expanded to address Nexus trade-offs throughout the TDA-SAP Process. Third, results of a key GEF nexus global project will be disseminated to the portfolio. Finally, the sub-component will support Nexus roundtables in at least five portfolio regions to build capacity and draw in different types of stakeholders at the heart of Nexus trade-offs.</w:t>
      </w:r>
    </w:p>
    <w:p w14:paraId="5AE331C3" w14:textId="77777777" w:rsidR="00F8663A" w:rsidRDefault="00F8663A" w:rsidP="00F8663A">
      <w:pPr>
        <w:jc w:val="both"/>
        <w:rPr>
          <w:rFonts w:asciiTheme="minorHAnsi" w:hAnsiTheme="minorHAnsi" w:cstheme="minorHAnsi"/>
          <w:sz w:val="22"/>
          <w:szCs w:val="22"/>
        </w:rPr>
      </w:pPr>
    </w:p>
    <w:p w14:paraId="58F8F6AE"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sub-component will aim at realizing the following objectives: </w:t>
      </w:r>
    </w:p>
    <w:p w14:paraId="621C602E" w14:textId="77777777" w:rsidR="00F8663A" w:rsidRDefault="00F8663A" w:rsidP="00F8663A">
      <w:pPr>
        <w:jc w:val="both"/>
        <w:rPr>
          <w:rFonts w:asciiTheme="minorHAnsi" w:hAnsiTheme="minorHAnsi" w:cstheme="minorHAnsi"/>
          <w:sz w:val="22"/>
          <w:szCs w:val="22"/>
        </w:rPr>
      </w:pPr>
    </w:p>
    <w:p w14:paraId="75A29EEC" w14:textId="77777777" w:rsidR="00F8663A" w:rsidRDefault="00F8663A" w:rsidP="00F8663A">
      <w:pPr>
        <w:numPr>
          <w:ilvl w:val="0"/>
          <w:numId w:val="52"/>
        </w:numPr>
        <w:jc w:val="both"/>
        <w:rPr>
          <w:rFonts w:asciiTheme="minorHAnsi" w:hAnsiTheme="minorHAnsi" w:cstheme="minorHAnsi"/>
          <w:sz w:val="22"/>
          <w:szCs w:val="22"/>
        </w:rPr>
      </w:pPr>
      <w:r>
        <w:rPr>
          <w:rFonts w:asciiTheme="minorHAnsi" w:hAnsiTheme="minorHAnsi" w:cstheme="minorHAnsi"/>
          <w:sz w:val="22"/>
          <w:szCs w:val="22"/>
        </w:rPr>
        <w:t>Raise awareness and capacity of GEF IW project coordinators and partners to address Nexus inter-sectoral trade-offs</w:t>
      </w:r>
      <w:sdt>
        <w:sdtPr>
          <w:rPr>
            <w:rFonts w:asciiTheme="minorHAnsi" w:hAnsiTheme="minorHAnsi" w:cstheme="minorHAnsi"/>
          </w:rPr>
          <w:tag w:val="goog_rdk_775"/>
          <w:id w:val="-1309549430"/>
        </w:sdtPr>
        <w:sdtEndPr/>
        <w:sdtContent>
          <w:r>
            <w:rPr>
              <w:rFonts w:asciiTheme="minorHAnsi" w:hAnsiTheme="minorHAnsi" w:cstheme="minorHAnsi"/>
              <w:sz w:val="22"/>
              <w:szCs w:val="22"/>
            </w:rPr>
            <w:t>;</w:t>
          </w:r>
        </w:sdtContent>
      </w:sdt>
      <w:r>
        <w:rPr>
          <w:rFonts w:asciiTheme="minorHAnsi" w:hAnsiTheme="minorHAnsi" w:cstheme="minorHAnsi"/>
          <w:sz w:val="22"/>
          <w:szCs w:val="22"/>
        </w:rPr>
        <w:t xml:space="preserve"> and</w:t>
      </w:r>
    </w:p>
    <w:p w14:paraId="7AB7B83F" w14:textId="77777777" w:rsidR="00F8663A" w:rsidRDefault="00F8663A" w:rsidP="00F8663A">
      <w:pPr>
        <w:numPr>
          <w:ilvl w:val="0"/>
          <w:numId w:val="52"/>
        </w:numPr>
        <w:jc w:val="both"/>
        <w:rPr>
          <w:rFonts w:asciiTheme="minorHAnsi" w:hAnsiTheme="minorHAnsi" w:cstheme="minorHAnsi"/>
          <w:sz w:val="22"/>
          <w:szCs w:val="22"/>
        </w:rPr>
      </w:pPr>
      <w:r>
        <w:rPr>
          <w:rFonts w:asciiTheme="minorHAnsi" w:hAnsiTheme="minorHAnsi" w:cstheme="minorHAnsi"/>
          <w:sz w:val="22"/>
          <w:szCs w:val="22"/>
        </w:rPr>
        <w:t>Improve the TDA-SAP Methodology by incorporating Nexus issues more explicitly.</w:t>
      </w:r>
    </w:p>
    <w:p w14:paraId="7524341B" w14:textId="77777777" w:rsidR="00F8663A" w:rsidRDefault="00F8663A" w:rsidP="00F8663A">
      <w:pPr>
        <w:ind w:left="360"/>
        <w:jc w:val="both"/>
        <w:rPr>
          <w:rFonts w:asciiTheme="minorHAnsi" w:hAnsiTheme="minorHAnsi" w:cstheme="minorHAnsi"/>
          <w:sz w:val="22"/>
          <w:szCs w:val="22"/>
        </w:rPr>
      </w:pPr>
    </w:p>
    <w:p w14:paraId="08EFED51"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Sub-Component 4.1 will contribute to the overall goal of the Component 4 by building the capacity of the project portfolio to implement the objectives of the GEF7 &amp; GEF8 strategy, particularly in the context of addressing Nexus inter-sectoral trade-offs. </w:t>
      </w:r>
    </w:p>
    <w:p w14:paraId="776FF97D" w14:textId="77777777" w:rsidR="00F8663A" w:rsidRDefault="00F8663A" w:rsidP="00F8663A">
      <w:pPr>
        <w:jc w:val="both"/>
        <w:rPr>
          <w:rFonts w:asciiTheme="minorHAnsi" w:hAnsiTheme="minorHAnsi" w:cstheme="minorHAnsi"/>
          <w:sz w:val="22"/>
          <w:szCs w:val="22"/>
        </w:rPr>
      </w:pPr>
    </w:p>
    <w:p w14:paraId="1DC3320A"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The PCU will work with partners and GEF IW projects to establish an effective knowledge exchanges mechanism on Water, Food, Energy and Environmental Security in transboundary basins</w:t>
      </w:r>
      <w:r>
        <w:rPr>
          <w:rFonts w:asciiTheme="minorHAnsi" w:hAnsiTheme="minorHAnsi" w:cstheme="minorHAnsi"/>
          <w:b/>
          <w:sz w:val="22"/>
          <w:szCs w:val="22"/>
        </w:rPr>
        <w:t xml:space="preserve"> </w:t>
      </w:r>
      <w:r>
        <w:rPr>
          <w:rFonts w:asciiTheme="minorHAnsi" w:hAnsiTheme="minorHAnsi" w:cstheme="minorHAnsi"/>
          <w:sz w:val="22"/>
          <w:szCs w:val="22"/>
        </w:rPr>
        <w:t xml:space="preserve">in specific regions. It is expected that the sub-component will leverage further partner contributions. The project will work with: </w:t>
      </w:r>
    </w:p>
    <w:p w14:paraId="64636666" w14:textId="77777777" w:rsidR="00F8663A" w:rsidRDefault="00F8663A" w:rsidP="00F8663A">
      <w:pPr>
        <w:rPr>
          <w:rFonts w:asciiTheme="minorHAnsi" w:hAnsiTheme="minorHAnsi" w:cstheme="minorHAnsi"/>
          <w:sz w:val="22"/>
          <w:szCs w:val="22"/>
        </w:rPr>
      </w:pPr>
    </w:p>
    <w:p w14:paraId="545C3CCE"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color w:val="000000"/>
          <w:sz w:val="22"/>
          <w:szCs w:val="22"/>
        </w:rPr>
        <w:t>Center for System Solutions</w:t>
      </w:r>
      <w:sdt>
        <w:sdtPr>
          <w:rPr>
            <w:rFonts w:asciiTheme="minorHAnsi" w:hAnsiTheme="minorHAnsi" w:cstheme="minorHAnsi"/>
          </w:rPr>
          <w:tag w:val="goog_rdk_812"/>
          <w:id w:val="-1316093152"/>
        </w:sdtPr>
        <w:sdtEndPr/>
        <w:sdtContent>
          <w:r>
            <w:rPr>
              <w:rFonts w:asciiTheme="minorHAnsi" w:hAnsiTheme="minorHAnsi" w:cstheme="minorHAnsi"/>
              <w:color w:val="000000"/>
              <w:sz w:val="22"/>
              <w:szCs w:val="22"/>
            </w:rPr>
            <w:t xml:space="preserve">: </w:t>
          </w:r>
        </w:sdtContent>
      </w:sdt>
      <w:sdt>
        <w:sdtPr>
          <w:rPr>
            <w:rFonts w:asciiTheme="minorHAnsi" w:hAnsiTheme="minorHAnsi" w:cstheme="minorHAnsi"/>
          </w:rPr>
          <w:tag w:val="goog_rdk_813"/>
          <w:id w:val="1002859672"/>
        </w:sdtPr>
        <w:sdtEndPr/>
        <w:sdtContent>
          <w:r>
            <w:rPr>
              <w:rFonts w:asciiTheme="minorHAnsi" w:hAnsiTheme="minorHAnsi" w:cstheme="minorHAnsi"/>
            </w:rPr>
            <w:t xml:space="preserve"> </w:t>
          </w:r>
        </w:sdtContent>
      </w:sdt>
      <w:r>
        <w:rPr>
          <w:rFonts w:asciiTheme="minorHAnsi" w:hAnsiTheme="minorHAnsi" w:cstheme="minorHAnsi"/>
          <w:color w:val="000000"/>
          <w:sz w:val="22"/>
          <w:szCs w:val="22"/>
        </w:rPr>
        <w:t xml:space="preserve">Co-design and facilitation of workshops with other GEF partners and development of social or policy simulation or use of an existing simulation i.e. Nexus Game), which directly addresses Nexus and transboundary topics and engages on-the-ground partners into knowledge development; </w:t>
      </w:r>
    </w:p>
    <w:p w14:paraId="71959E4C"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color w:val="000000"/>
          <w:sz w:val="22"/>
          <w:szCs w:val="22"/>
        </w:rPr>
        <w:t>GWP</w:t>
      </w:r>
      <w:sdt>
        <w:sdtPr>
          <w:rPr>
            <w:rFonts w:asciiTheme="minorHAnsi" w:hAnsiTheme="minorHAnsi" w:cstheme="minorHAnsi"/>
          </w:rPr>
          <w:tag w:val="goog_rdk_815"/>
          <w:id w:val="-1406986024"/>
        </w:sdtPr>
        <w:sdtEndPr/>
        <w:sdtContent>
          <w:r>
            <w:rPr>
              <w:rFonts w:asciiTheme="minorHAnsi" w:hAnsiTheme="minorHAnsi" w:cstheme="minorHAnsi"/>
              <w:color w:val="000000"/>
              <w:sz w:val="22"/>
              <w:szCs w:val="22"/>
            </w:rPr>
            <w:t>: facilitation of the</w:t>
          </w:r>
        </w:sdtContent>
      </w:sdt>
      <w:sdt>
        <w:sdtPr>
          <w:rPr>
            <w:rFonts w:asciiTheme="minorHAnsi" w:hAnsiTheme="minorHAnsi" w:cstheme="minorHAnsi"/>
          </w:rPr>
          <w:tag w:val="goog_rdk_816"/>
          <w:id w:val="1717078237"/>
        </w:sdtPr>
        <w:sdtEndPr/>
        <w:sdtContent>
          <w:r>
            <w:rPr>
              <w:rFonts w:asciiTheme="minorHAnsi" w:hAnsiTheme="minorHAnsi" w:cstheme="minorHAnsi"/>
            </w:rPr>
            <w:t xml:space="preserve"> A</w:t>
          </w:r>
        </w:sdtContent>
      </w:sdt>
      <w:r>
        <w:rPr>
          <w:rFonts w:asciiTheme="minorHAnsi" w:hAnsiTheme="minorHAnsi" w:cstheme="minorHAnsi"/>
          <w:color w:val="000000"/>
          <w:sz w:val="22"/>
          <w:szCs w:val="22"/>
        </w:rPr>
        <w:t>frica</w:t>
      </w:r>
      <w:sdt>
        <w:sdtPr>
          <w:rPr>
            <w:rFonts w:asciiTheme="minorHAnsi" w:hAnsiTheme="minorHAnsi" w:cstheme="minorHAnsi"/>
          </w:rPr>
          <w:tag w:val="goog_rdk_818"/>
          <w:id w:val="-379408327"/>
        </w:sdtPr>
        <w:sdtEndPr/>
        <w:sdtContent>
          <w:r>
            <w:rPr>
              <w:rFonts w:asciiTheme="minorHAnsi" w:hAnsiTheme="minorHAnsi" w:cstheme="minorHAnsi"/>
              <w:color w:val="000000"/>
              <w:sz w:val="22"/>
              <w:szCs w:val="22"/>
            </w:rPr>
            <w:t xml:space="preserve"> and</w:t>
          </w:r>
        </w:sdtContent>
      </w:sdt>
      <w:sdt>
        <w:sdtPr>
          <w:rPr>
            <w:rFonts w:asciiTheme="minorHAnsi" w:hAnsiTheme="minorHAnsi" w:cstheme="minorHAnsi"/>
          </w:rPr>
          <w:tag w:val="goog_rdk_819"/>
          <w:id w:val="-493569696"/>
        </w:sdtPr>
        <w:sdtEndPr/>
        <w:sdtContent>
          <w:r>
            <w:rPr>
              <w:rFonts w:asciiTheme="minorHAnsi" w:hAnsiTheme="minorHAnsi" w:cstheme="minorHAnsi"/>
            </w:rPr>
            <w:t xml:space="preserve"> </w:t>
          </w:r>
        </w:sdtContent>
      </w:sdt>
      <w:r>
        <w:rPr>
          <w:rFonts w:asciiTheme="minorHAnsi" w:hAnsiTheme="minorHAnsi" w:cstheme="minorHAnsi"/>
          <w:color w:val="000000"/>
          <w:sz w:val="22"/>
          <w:szCs w:val="22"/>
        </w:rPr>
        <w:t xml:space="preserve">Mediterranean roundtables and the Nexus tools; </w:t>
      </w:r>
    </w:p>
    <w:p w14:paraId="13E6C64B"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sz w:val="22"/>
          <w:szCs w:val="22"/>
        </w:rPr>
        <w:t>SIWI:</w:t>
      </w:r>
      <w:r>
        <w:rPr>
          <w:rFonts w:asciiTheme="minorHAnsi" w:hAnsiTheme="minorHAnsi" w:cstheme="minorHAnsi"/>
          <w:color w:val="000000"/>
          <w:sz w:val="22"/>
          <w:szCs w:val="22"/>
        </w:rPr>
        <w:t xml:space="preserve"> the Nexus tools</w:t>
      </w:r>
      <w:r>
        <w:rPr>
          <w:rFonts w:asciiTheme="minorHAnsi" w:hAnsiTheme="minorHAnsi" w:cstheme="minorHAnsi"/>
          <w:sz w:val="22"/>
          <w:szCs w:val="22"/>
        </w:rPr>
        <w:t>;</w:t>
      </w:r>
    </w:p>
    <w:p w14:paraId="1751E851"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sz w:val="22"/>
          <w:szCs w:val="22"/>
        </w:rPr>
        <w:t>IIASA will introduce content and disseminate the results of the ISWEL project into roundtable sessions;</w:t>
      </w:r>
    </w:p>
    <w:p w14:paraId="3C4A2053"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color w:val="000000"/>
          <w:sz w:val="22"/>
          <w:szCs w:val="22"/>
        </w:rPr>
        <w:t>Inter-American Development Bank;</w:t>
      </w:r>
    </w:p>
    <w:p w14:paraId="02C6F323"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sz w:val="22"/>
          <w:szCs w:val="22"/>
        </w:rPr>
        <w:t>The University of New South Wales Global Water Institute</w:t>
      </w:r>
      <w:r>
        <w:rPr>
          <w:rFonts w:asciiTheme="minorHAnsi" w:hAnsiTheme="minorHAnsi" w:cstheme="minorHAnsi"/>
          <w:color w:val="000000"/>
          <w:sz w:val="22"/>
          <w:szCs w:val="22"/>
        </w:rPr>
        <w:t xml:space="preserve"> will contribute content including its publication ‘Water, Energy and Food Security Nexus in the Pacific’;</w:t>
      </w:r>
    </w:p>
    <w:p w14:paraId="256A372B"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color w:val="000000"/>
          <w:sz w:val="22"/>
          <w:szCs w:val="22"/>
        </w:rPr>
        <w:t>OAS</w:t>
      </w:r>
      <w:sdt>
        <w:sdtPr>
          <w:rPr>
            <w:rFonts w:asciiTheme="minorHAnsi" w:hAnsiTheme="minorHAnsi" w:cstheme="minorHAnsi"/>
          </w:rPr>
          <w:tag w:val="goog_rdk_821"/>
          <w:id w:val="-1180655663"/>
        </w:sdtPr>
        <w:sdtEndPr/>
        <w:sdtContent>
          <w:r>
            <w:rPr>
              <w:rFonts w:asciiTheme="minorHAnsi" w:hAnsiTheme="minorHAnsi" w:cstheme="minorHAnsi"/>
              <w:color w:val="000000"/>
              <w:sz w:val="22"/>
              <w:szCs w:val="22"/>
            </w:rPr>
            <w:t xml:space="preserve">: facilitation of </w:t>
          </w:r>
        </w:sdtContent>
      </w:sdt>
      <w:r>
        <w:rPr>
          <w:rFonts w:asciiTheme="minorHAnsi" w:hAnsiTheme="minorHAnsi" w:cstheme="minorHAnsi"/>
        </w:rPr>
        <w:t>L</w:t>
      </w:r>
      <w:r>
        <w:rPr>
          <w:rFonts w:asciiTheme="minorHAnsi" w:hAnsiTheme="minorHAnsi" w:cstheme="minorHAnsi"/>
          <w:color w:val="000000"/>
          <w:sz w:val="22"/>
          <w:szCs w:val="22"/>
        </w:rPr>
        <w:t xml:space="preserve">atin America and Caribbean roundtable;  </w:t>
      </w:r>
    </w:p>
    <w:p w14:paraId="76D341F7" w14:textId="77777777" w:rsidR="00F8663A" w:rsidRDefault="00F8663A" w:rsidP="00F8663A">
      <w:pPr>
        <w:numPr>
          <w:ilvl w:val="0"/>
          <w:numId w:val="53"/>
        </w:numPr>
        <w:jc w:val="both"/>
        <w:rPr>
          <w:rFonts w:asciiTheme="minorHAnsi" w:hAnsiTheme="minorHAnsi" w:cstheme="minorHAnsi"/>
          <w:color w:val="000000"/>
          <w:sz w:val="22"/>
          <w:szCs w:val="22"/>
        </w:rPr>
      </w:pPr>
      <w:r>
        <w:rPr>
          <w:rFonts w:asciiTheme="minorHAnsi" w:hAnsiTheme="minorHAnsi" w:cstheme="minorHAnsi"/>
          <w:color w:val="000000"/>
          <w:sz w:val="22"/>
          <w:szCs w:val="22"/>
        </w:rPr>
        <w:t>UNECE</w:t>
      </w:r>
      <w:sdt>
        <w:sdtPr>
          <w:rPr>
            <w:rFonts w:asciiTheme="minorHAnsi" w:hAnsiTheme="minorHAnsi" w:cstheme="minorHAnsi"/>
          </w:rPr>
          <w:tag w:val="goog_rdk_824"/>
          <w:id w:val="-303856165"/>
        </w:sdtPr>
        <w:sdtEndPr/>
        <w:sdtContent>
          <w:r>
            <w:rPr>
              <w:rFonts w:asciiTheme="minorHAnsi" w:hAnsiTheme="minorHAnsi" w:cstheme="minorHAnsi"/>
              <w:color w:val="000000"/>
              <w:sz w:val="22"/>
              <w:szCs w:val="22"/>
            </w:rPr>
            <w:t xml:space="preserve"> will assist in </w:t>
          </w:r>
        </w:sdtContent>
      </w:sdt>
      <w:r>
        <w:rPr>
          <w:rFonts w:asciiTheme="minorHAnsi" w:hAnsiTheme="minorHAnsi" w:cstheme="minorHAnsi"/>
          <w:color w:val="000000"/>
          <w:sz w:val="22"/>
          <w:szCs w:val="22"/>
        </w:rPr>
        <w:t>facilitation</w:t>
      </w:r>
      <w:sdt>
        <w:sdtPr>
          <w:rPr>
            <w:rFonts w:asciiTheme="minorHAnsi" w:hAnsiTheme="minorHAnsi" w:cstheme="minorHAnsi"/>
          </w:rPr>
          <w:tag w:val="goog_rdk_826"/>
          <w:id w:val="1841343091"/>
        </w:sdtPr>
        <w:sdtEndPr/>
        <w:sdtContent>
          <w:r>
            <w:rPr>
              <w:rFonts w:asciiTheme="minorHAnsi" w:hAnsiTheme="minorHAnsi" w:cstheme="minorHAnsi"/>
              <w:color w:val="000000"/>
              <w:sz w:val="22"/>
              <w:szCs w:val="22"/>
            </w:rPr>
            <w:t xml:space="preserve"> of</w:t>
          </w:r>
        </w:sdtContent>
      </w:sdt>
      <w:r>
        <w:rPr>
          <w:rFonts w:asciiTheme="minorHAnsi" w:hAnsiTheme="minorHAnsi" w:cstheme="minorHAnsi"/>
          <w:color w:val="000000"/>
          <w:sz w:val="22"/>
          <w:szCs w:val="22"/>
        </w:rPr>
        <w:t xml:space="preserve"> the Roundtables and </w:t>
      </w:r>
      <w:sdt>
        <w:sdtPr>
          <w:rPr>
            <w:rFonts w:asciiTheme="minorHAnsi" w:hAnsiTheme="minorHAnsi" w:cstheme="minorHAnsi"/>
          </w:rPr>
          <w:tag w:val="goog_rdk_791"/>
          <w:id w:val="-1521311111"/>
        </w:sdtPr>
        <w:sdtEndPr/>
        <w:sdtContent>
          <w:r>
            <w:rPr>
              <w:rFonts w:asciiTheme="minorHAnsi" w:hAnsiTheme="minorHAnsi" w:cstheme="minorHAnsi"/>
              <w:color w:val="000000"/>
              <w:sz w:val="22"/>
              <w:szCs w:val="22"/>
            </w:rPr>
            <w:t xml:space="preserve">can contribute on nexus tools to inform TDA-SAP development and experience exchange as well as towards the development of a framework within the TDA-SAP Methodology to identify water-energy-food-ecosystems Nexus investments, also including to reinforce SAPs. </w:t>
          </w:r>
        </w:sdtContent>
      </w:sdt>
      <w:sdt>
        <w:sdtPr>
          <w:rPr>
            <w:rFonts w:asciiTheme="minorHAnsi" w:hAnsiTheme="minorHAnsi" w:cstheme="minorHAnsi"/>
          </w:rPr>
          <w:tag w:val="goog_rdk_792"/>
          <w:id w:val="1336963743"/>
        </w:sdtPr>
        <w:sdtEndPr/>
        <w:sdtContent>
          <w:r>
            <w:rPr>
              <w:rFonts w:asciiTheme="minorHAnsi" w:hAnsiTheme="minorHAnsi" w:cstheme="minorHAnsi"/>
              <w:color w:val="000000"/>
              <w:sz w:val="22"/>
              <w:szCs w:val="22"/>
            </w:rPr>
            <w:t xml:space="preserve">As a complementary support, UNECE </w:t>
          </w:r>
        </w:sdtContent>
      </w:sdt>
      <w:sdt>
        <w:sdtPr>
          <w:rPr>
            <w:rFonts w:asciiTheme="minorHAnsi" w:hAnsiTheme="minorHAnsi" w:cstheme="minorHAnsi"/>
          </w:rPr>
          <w:tag w:val="goog_rdk_794"/>
          <w:id w:val="-1591462979"/>
        </w:sdtPr>
        <w:sdtEndPr/>
        <w:sdtContent>
          <w:r>
            <w:rPr>
              <w:rFonts w:asciiTheme="minorHAnsi" w:hAnsiTheme="minorHAnsi" w:cstheme="minorHAnsi"/>
              <w:color w:val="000000"/>
              <w:sz w:val="22"/>
              <w:szCs w:val="22"/>
            </w:rPr>
            <w:t xml:space="preserve">can </w:t>
          </w:r>
        </w:sdtContent>
      </w:sdt>
      <w:sdt>
        <w:sdtPr>
          <w:rPr>
            <w:rFonts w:asciiTheme="minorHAnsi" w:hAnsiTheme="minorHAnsi" w:cstheme="minorHAnsi"/>
          </w:rPr>
          <w:tag w:val="goog_rdk_795"/>
          <w:id w:val="891315497"/>
        </w:sdtPr>
        <w:sdtEndPr/>
        <w:sdtContent>
          <w:r>
            <w:rPr>
              <w:rFonts w:asciiTheme="minorHAnsi" w:hAnsiTheme="minorHAnsi" w:cstheme="minorHAnsi"/>
              <w:color w:val="000000"/>
              <w:sz w:val="22"/>
              <w:szCs w:val="22"/>
            </w:rPr>
            <w:t>provide a platform for knowledge exchange (Task Force on the Water-Food-Energy-Ecosystems Nexus) to GEF IW project</w:t>
          </w:r>
        </w:sdtContent>
      </w:sdt>
      <w:sdt>
        <w:sdtPr>
          <w:rPr>
            <w:rFonts w:asciiTheme="minorHAnsi" w:hAnsiTheme="minorHAnsi" w:cstheme="minorHAnsi"/>
          </w:rPr>
          <w:tag w:val="goog_rdk_796"/>
          <w:id w:val="864950702"/>
        </w:sdtPr>
        <w:sdtEndPr/>
        <w:sdtContent>
          <w:r>
            <w:rPr>
              <w:rFonts w:asciiTheme="minorHAnsi" w:hAnsiTheme="minorHAnsi" w:cstheme="minorHAnsi"/>
              <w:color w:val="000000"/>
              <w:sz w:val="22"/>
              <w:szCs w:val="22"/>
            </w:rPr>
            <w:t>s</w:t>
          </w:r>
        </w:sdtContent>
      </w:sdt>
      <w:r>
        <w:rPr>
          <w:rFonts w:asciiTheme="minorHAnsi" w:hAnsiTheme="minorHAnsi" w:cstheme="minorHAnsi"/>
          <w:color w:val="000000"/>
          <w:sz w:val="22"/>
          <w:szCs w:val="22"/>
        </w:rPr>
        <w:t>; and</w:t>
      </w:r>
    </w:p>
    <w:p w14:paraId="21968D4E" w14:textId="77777777" w:rsidR="00F8663A" w:rsidRDefault="00F8663A" w:rsidP="00F8663A">
      <w:pPr>
        <w:pStyle w:val="ListParagraph"/>
        <w:numPr>
          <w:ilvl w:val="0"/>
          <w:numId w:val="53"/>
        </w:numPr>
        <w:contextualSpacing w:val="0"/>
        <w:jc w:val="both"/>
        <w:rPr>
          <w:rFonts w:asciiTheme="minorHAnsi" w:hAnsiTheme="minorHAnsi" w:cstheme="minorHAnsi"/>
          <w:sz w:val="22"/>
          <w:szCs w:val="22"/>
        </w:rPr>
      </w:pPr>
      <w:r>
        <w:rPr>
          <w:rFonts w:asciiTheme="minorHAnsi" w:hAnsiTheme="minorHAnsi" w:cstheme="minorHAnsi"/>
          <w:color w:val="000000"/>
          <w:sz w:val="22"/>
          <w:szCs w:val="22"/>
        </w:rPr>
        <w:t xml:space="preserve">The </w:t>
      </w:r>
      <w:proofErr w:type="spellStart"/>
      <w:r>
        <w:rPr>
          <w:rFonts w:asciiTheme="minorHAnsi" w:hAnsiTheme="minorHAnsi" w:cstheme="minorHAnsi"/>
          <w:color w:val="000000"/>
          <w:sz w:val="22"/>
          <w:szCs w:val="22"/>
        </w:rPr>
        <w:t>MedProgramme</w:t>
      </w:r>
      <w:proofErr w:type="spellEnd"/>
      <w:r>
        <w:rPr>
          <w:rFonts w:asciiTheme="minorHAnsi" w:hAnsiTheme="minorHAnsi" w:cstheme="minorHAnsi"/>
          <w:color w:val="000000"/>
          <w:sz w:val="22"/>
          <w:szCs w:val="22"/>
        </w:rPr>
        <w:t xml:space="preserve"> child project on the Nexus, will assist through working with the Partnership for Research and Innovation in the Mediterranean Area (PRIMA).</w:t>
      </w:r>
    </w:p>
    <w:p w14:paraId="27B7A475" w14:textId="77777777" w:rsidR="00F8663A" w:rsidRDefault="00F8663A" w:rsidP="00F8663A">
      <w:pPr>
        <w:jc w:val="both"/>
        <w:rPr>
          <w:rFonts w:asciiTheme="minorHAnsi" w:hAnsiTheme="minorHAnsi" w:cstheme="minorHAnsi"/>
          <w:sz w:val="22"/>
          <w:szCs w:val="22"/>
        </w:rPr>
      </w:pPr>
    </w:p>
    <w:p w14:paraId="4B2CDC0B"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lastRenderedPageBreak/>
        <w:t>Sub-component 4.1 is comprised of the following activities:</w:t>
      </w:r>
    </w:p>
    <w:p w14:paraId="13026D09" w14:textId="77777777" w:rsidR="00F8663A" w:rsidRDefault="00F8663A" w:rsidP="00F8663A">
      <w:pPr>
        <w:jc w:val="both"/>
        <w:rPr>
          <w:rFonts w:asciiTheme="minorHAnsi" w:hAnsiTheme="minorHAnsi" w:cstheme="minorHAnsi"/>
          <w:sz w:val="22"/>
          <w:szCs w:val="22"/>
        </w:rPr>
      </w:pPr>
    </w:p>
    <w:p w14:paraId="5F1DC058" w14:textId="77777777" w:rsidR="00F8663A" w:rsidRDefault="00F8663A" w:rsidP="00F8663A">
      <w:pPr>
        <w:numPr>
          <w:ilvl w:val="0"/>
          <w:numId w:val="9"/>
        </w:numPr>
        <w:jc w:val="both"/>
        <w:rPr>
          <w:rFonts w:asciiTheme="minorHAnsi" w:hAnsiTheme="minorHAnsi" w:cstheme="minorHAnsi"/>
          <w:color w:val="000000"/>
          <w:sz w:val="22"/>
          <w:szCs w:val="22"/>
        </w:rPr>
      </w:pPr>
      <w:r>
        <w:rPr>
          <w:rFonts w:asciiTheme="minorHAnsi" w:hAnsiTheme="minorHAnsi" w:cstheme="minorHAnsi"/>
          <w:sz w:val="22"/>
          <w:szCs w:val="22"/>
        </w:rPr>
        <w:t xml:space="preserve">Activity 4.1.1: </w:t>
      </w:r>
      <w:r>
        <w:rPr>
          <w:rFonts w:asciiTheme="minorHAnsi" w:hAnsiTheme="minorHAnsi" w:cstheme="minorHAnsi"/>
          <w:color w:val="000000"/>
          <w:sz w:val="22"/>
          <w:szCs w:val="22"/>
        </w:rPr>
        <w:t>Development of a toolbox platform identifying water-energy-food-ecosystem models, tools and case studies, including a synthesis of Nexus investments</w:t>
      </w:r>
      <w:sdt>
        <w:sdtPr>
          <w:rPr>
            <w:rFonts w:asciiTheme="minorHAnsi" w:hAnsiTheme="minorHAnsi" w:cstheme="minorHAnsi"/>
          </w:rPr>
          <w:tag w:val="goog_rdk_777"/>
          <w:id w:val="-1961494667"/>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p>
    <w:p w14:paraId="1368D427" w14:textId="77777777" w:rsidR="00F8663A" w:rsidRDefault="00F8663A" w:rsidP="00F8663A">
      <w:pPr>
        <w:numPr>
          <w:ilvl w:val="0"/>
          <w:numId w:val="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4.1.2: Development of guidance on how to use Nexus investments to reinforce Strategic Action Programs, including supplemental guidance in the TDA-SAP Methodology</w:t>
      </w:r>
      <w:sdt>
        <w:sdtPr>
          <w:rPr>
            <w:rFonts w:asciiTheme="minorHAnsi" w:hAnsiTheme="minorHAnsi" w:cstheme="minorHAnsi"/>
          </w:rPr>
          <w:tag w:val="goog_rdk_778"/>
          <w:id w:val="-1515847998"/>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p>
    <w:p w14:paraId="379F8A06" w14:textId="77777777" w:rsidR="00F8663A" w:rsidRDefault="00F8663A" w:rsidP="00F8663A">
      <w:pPr>
        <w:numPr>
          <w:ilvl w:val="0"/>
          <w:numId w:val="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4.1.3: Dissemination of results of the ISWEL project approaches and other approaches through targeted workshops in all GEF regions and IWCs</w:t>
      </w:r>
      <w:sdt>
        <w:sdtPr>
          <w:rPr>
            <w:rFonts w:asciiTheme="minorHAnsi" w:hAnsiTheme="minorHAnsi" w:cstheme="minorHAnsi"/>
          </w:rPr>
          <w:tag w:val="goog_rdk_779"/>
          <w:id w:val="-765452895"/>
        </w:sdtPr>
        <w:sdtEndPr/>
        <w:sdtContent>
          <w:r>
            <w:rPr>
              <w:rFonts w:asciiTheme="minorHAnsi" w:hAnsiTheme="minorHAnsi" w:cstheme="minorHAnsi"/>
              <w:color w:val="000000"/>
              <w:sz w:val="22"/>
              <w:szCs w:val="22"/>
            </w:rPr>
            <w:t>; and</w:t>
          </w:r>
        </w:sdtContent>
      </w:sdt>
      <w:sdt>
        <w:sdtPr>
          <w:rPr>
            <w:rFonts w:asciiTheme="minorHAnsi" w:hAnsiTheme="minorHAnsi" w:cstheme="minorHAnsi"/>
          </w:rPr>
          <w:tag w:val="goog_rdk_780"/>
          <w:id w:val="-245577179"/>
          <w:showingPlcHdr/>
        </w:sdtPr>
        <w:sdtEndPr/>
        <w:sdtContent>
          <w:r>
            <w:rPr>
              <w:rFonts w:asciiTheme="minorHAnsi" w:hAnsiTheme="minorHAnsi" w:cstheme="minorHAnsi"/>
            </w:rPr>
            <w:t xml:space="preserve">     </w:t>
          </w:r>
        </w:sdtContent>
      </w:sdt>
    </w:p>
    <w:p w14:paraId="7E7EE84F" w14:textId="77777777" w:rsidR="00F8663A" w:rsidRDefault="00F8663A" w:rsidP="00F8663A">
      <w:pPr>
        <w:numPr>
          <w:ilvl w:val="0"/>
          <w:numId w:val="9"/>
        </w:numPr>
        <w:jc w:val="both"/>
        <w:rPr>
          <w:rFonts w:asciiTheme="minorHAnsi" w:hAnsiTheme="minorHAnsi" w:cstheme="minorHAnsi"/>
          <w:color w:val="000000"/>
          <w:sz w:val="22"/>
          <w:szCs w:val="22"/>
        </w:rPr>
      </w:pPr>
      <w:r>
        <w:rPr>
          <w:rFonts w:asciiTheme="minorHAnsi" w:hAnsiTheme="minorHAnsi" w:cstheme="minorHAnsi"/>
          <w:color w:val="000000"/>
          <w:sz w:val="22"/>
          <w:szCs w:val="22"/>
        </w:rPr>
        <w:t>Activity 4.1.4: Support Nexus Roundtables in 5 project contexts, involving the participation of representatives of major economic sectors and policymakers and featuring a new policy consideration</w:t>
      </w:r>
      <w:sdt>
        <w:sdtPr>
          <w:rPr>
            <w:rFonts w:asciiTheme="minorHAnsi" w:hAnsiTheme="minorHAnsi" w:cstheme="minorHAnsi"/>
          </w:rPr>
          <w:tag w:val="goog_rdk_782"/>
          <w:id w:val="-738165277"/>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sdt>
        <w:sdtPr>
          <w:rPr>
            <w:rFonts w:asciiTheme="minorHAnsi" w:hAnsiTheme="minorHAnsi" w:cstheme="minorHAnsi"/>
          </w:rPr>
          <w:tag w:val="goog_rdk_784"/>
          <w:id w:val="-2087526789"/>
        </w:sdtPr>
        <w:sdtEndPr/>
        <w:sdtContent>
          <w:r>
            <w:rPr>
              <w:rFonts w:asciiTheme="minorHAnsi" w:hAnsiTheme="minorHAnsi" w:cstheme="minorHAnsi"/>
              <w:color w:val="000000"/>
              <w:sz w:val="22"/>
              <w:szCs w:val="22"/>
            </w:rPr>
            <w:t>simulation.</w:t>
          </w:r>
        </w:sdtContent>
      </w:sdt>
    </w:p>
    <w:p w14:paraId="65A3209F" w14:textId="77777777" w:rsidR="00F8663A" w:rsidRDefault="00F8663A" w:rsidP="00F8663A">
      <w:pPr>
        <w:jc w:val="both"/>
        <w:rPr>
          <w:rFonts w:asciiTheme="minorHAnsi" w:hAnsiTheme="minorHAnsi" w:cstheme="minorHAnsi"/>
          <w:b/>
          <w:color w:val="000000"/>
          <w:sz w:val="22"/>
          <w:szCs w:val="22"/>
        </w:rPr>
      </w:pPr>
    </w:p>
    <w:p w14:paraId="3E2772C4" w14:textId="77777777" w:rsidR="00F8663A" w:rsidRDefault="00F8663A" w:rsidP="00F8663A">
      <w:pPr>
        <w:jc w:val="both"/>
        <w:rPr>
          <w:rFonts w:asciiTheme="minorHAnsi" w:hAnsiTheme="minorHAnsi" w:cstheme="minorHAnsi"/>
          <w:b/>
          <w:color w:val="000000"/>
          <w:sz w:val="22"/>
          <w:szCs w:val="22"/>
        </w:rPr>
      </w:pPr>
      <w:r>
        <w:rPr>
          <w:rFonts w:asciiTheme="minorHAnsi" w:hAnsiTheme="minorHAnsi" w:cstheme="minorHAnsi"/>
          <w:sz w:val="22"/>
          <w:szCs w:val="22"/>
        </w:rPr>
        <w:t>Due to the COVID-19 pandemics, constraints on travel and group gatherings will affect the implementation of the activities in this sub-component during the first year of the project’s implementation. Other options are being considered, in particular for the in-person workshops and roundtables, such as on-line or remote communication options. They will be used where necessary, adjusting some of the equipment related costs to ensure equal opportunity to all beneficiaries.</w:t>
      </w:r>
    </w:p>
    <w:p w14:paraId="6D50297A" w14:textId="77777777" w:rsidR="00F8663A" w:rsidRPr="00F8663A" w:rsidRDefault="00F8663A" w:rsidP="00F8663A"/>
    <w:p w14:paraId="68AF0D5F" w14:textId="32AC5A57"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t>Activity 4.1.1</w:t>
      </w:r>
      <w:r>
        <w:rPr>
          <w:rFonts w:asciiTheme="minorHAnsi" w:hAnsiTheme="minorHAnsi" w:cstheme="minorHAnsi"/>
          <w:b/>
          <w:bCs/>
          <w:color w:val="000000" w:themeColor="text1"/>
          <w:sz w:val="22"/>
          <w:szCs w:val="22"/>
        </w:rPr>
        <w:t xml:space="preserve">: </w:t>
      </w:r>
      <w:r w:rsidRPr="00F8663A">
        <w:rPr>
          <w:rFonts w:asciiTheme="minorHAnsi" w:hAnsiTheme="minorHAnsi" w:cstheme="minorHAnsi"/>
          <w:b/>
          <w:bCs/>
          <w:color w:val="000000" w:themeColor="text1"/>
          <w:sz w:val="22"/>
          <w:szCs w:val="22"/>
        </w:rPr>
        <w:t>Development of a toolbox platform identifying water-energy-food-ecosystem models, tools and case studies, including a synthesis of Nexus investments</w:t>
      </w:r>
    </w:p>
    <w:p w14:paraId="3AA8E2D8"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The project will support the establishment of a hub at the iwlearn.net website containing an array of nexus models, tools and case studies as well as a synthesis of example Nexus investments drawn from within and beyond the GEF IW portfolio. Several Nexus assessments have been undertaken already in basins with GEF IW investments, such as the Kura, Drin and Drina in Eastern Europe, but further assessments have also been done in a variety of other regions including basins such as the Indus and Zambezi. The activity will contribute to strengthening management of transboundary freshwater ecosystems by increasing awareness on the various Nexus related materials.</w:t>
      </w:r>
    </w:p>
    <w:p w14:paraId="7C135CF2" w14:textId="77777777" w:rsidR="00F8663A" w:rsidRDefault="00F8663A" w:rsidP="00F8663A">
      <w:pPr>
        <w:jc w:val="both"/>
        <w:rPr>
          <w:rFonts w:asciiTheme="minorHAnsi" w:hAnsiTheme="minorHAnsi" w:cstheme="minorHAnsi"/>
          <w:sz w:val="22"/>
          <w:szCs w:val="22"/>
        </w:rPr>
      </w:pPr>
    </w:p>
    <w:p w14:paraId="19127E12" w14:textId="08445197" w:rsidR="00F8663A" w:rsidRPr="00F8663A" w:rsidRDefault="00F8663A" w:rsidP="00F8663A">
      <w:pPr>
        <w:jc w:val="both"/>
        <w:rPr>
          <w:rFonts w:asciiTheme="minorHAnsi" w:hAnsiTheme="minorHAnsi" w:cstheme="minorHAnsi"/>
          <w:color w:val="000000"/>
          <w:sz w:val="22"/>
          <w:szCs w:val="22"/>
        </w:rPr>
      </w:pPr>
      <w:r>
        <w:rPr>
          <w:rFonts w:asciiTheme="minorHAnsi" w:hAnsiTheme="minorHAnsi" w:cstheme="minorHAnsi"/>
          <w:sz w:val="22"/>
          <w:szCs w:val="22"/>
        </w:rPr>
        <w:t xml:space="preserve">The role of the PCU will be to lead the development of the proposed hub together with the GWP, SIWI and UNECE. </w:t>
      </w:r>
    </w:p>
    <w:p w14:paraId="151C48DC" w14:textId="77777777" w:rsidR="00F8663A" w:rsidRPr="00F8663A" w:rsidRDefault="00F8663A" w:rsidP="00F8663A"/>
    <w:p w14:paraId="7923D7E4" w14:textId="4E4092D5"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t>Activity 4.1.2</w:t>
      </w:r>
      <w:r>
        <w:rPr>
          <w:rFonts w:asciiTheme="minorHAnsi" w:hAnsiTheme="minorHAnsi" w:cstheme="minorHAnsi"/>
          <w:b/>
          <w:bCs/>
          <w:color w:val="000000" w:themeColor="text1"/>
          <w:sz w:val="22"/>
          <w:szCs w:val="22"/>
        </w:rPr>
        <w:t>:</w:t>
      </w:r>
      <w:r w:rsidRPr="00F8663A">
        <w:rPr>
          <w:rFonts w:asciiTheme="minorHAnsi" w:hAnsiTheme="minorHAnsi" w:cstheme="minorHAnsi"/>
          <w:b/>
          <w:bCs/>
          <w:color w:val="000000" w:themeColor="text1"/>
          <w:sz w:val="22"/>
          <w:szCs w:val="22"/>
        </w:rPr>
        <w:t xml:space="preserve"> Development of guidance on how to use Nexus investments to reinforce Strategic Action Programs, including supplemental guidance in the TDA-SAP Methodology</w:t>
      </w:r>
    </w:p>
    <w:p w14:paraId="47754A46"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Development of a Transboundary Diagnostic Analysis (TDA) and Strategic Action Program (SAP), taken together as the TDA-SAP Process, is fundamental to every regional GEF IW project. The main role of the TDA is to identify, quantify, and set priorities for environmental problems that are transboundary in nature. Ultimately, a TDA provides the factual basis for the formulation of an SAP, which lays out actions at the regional level to address the problems identified in the TDA. The Process supports a facilitative process of engagement and consultation with all the key stakeholders. Consideration of Nexus issues is inherent to any TDA formulation and the actions in the SAP may support implementing Nexus investments. While inherent to the Process, the TDA-SAP Methodology has never been enhanced with specific guidance on the identification of Nexus trade-offs in the TDA and the suggestions of investments for inclusion into an SAP. The project will incorporate these modifications into the Methodology. The activity will contribute to the outcome of strengthening management of transboundary freshwater ecosystems by improving the fundamental Process guiding transboundary freshwater projects.</w:t>
      </w:r>
    </w:p>
    <w:p w14:paraId="79AF4C26" w14:textId="77777777" w:rsidR="00F8663A" w:rsidRDefault="00F8663A" w:rsidP="00F8663A">
      <w:pPr>
        <w:jc w:val="both"/>
        <w:rPr>
          <w:rFonts w:asciiTheme="minorHAnsi" w:hAnsiTheme="minorHAnsi" w:cstheme="minorHAnsi"/>
          <w:sz w:val="22"/>
          <w:szCs w:val="22"/>
        </w:rPr>
      </w:pPr>
    </w:p>
    <w:p w14:paraId="55093D26"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lead the revisions of the Methodology. The project will work with UNECE, GWP and </w:t>
      </w:r>
      <w:r>
        <w:rPr>
          <w:rFonts w:asciiTheme="minorHAnsi" w:hAnsiTheme="minorHAnsi" w:cstheme="minorHAnsi"/>
          <w:color w:val="000000"/>
          <w:sz w:val="22"/>
          <w:szCs w:val="22"/>
        </w:rPr>
        <w:t>The University of New South Wales Global Water Institute</w:t>
      </w:r>
      <w:r>
        <w:rPr>
          <w:rFonts w:asciiTheme="minorHAnsi" w:hAnsiTheme="minorHAnsi" w:cstheme="minorHAnsi"/>
          <w:sz w:val="22"/>
          <w:szCs w:val="22"/>
        </w:rPr>
        <w:t>.</w:t>
      </w:r>
    </w:p>
    <w:p w14:paraId="6FCB22B6" w14:textId="77777777" w:rsidR="00F8663A" w:rsidRPr="00F8663A" w:rsidRDefault="00F8663A" w:rsidP="00F8663A"/>
    <w:p w14:paraId="5EFF85A5" w14:textId="3F9A2FB7"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lastRenderedPageBreak/>
        <w:t>Activity 4.1.3</w:t>
      </w:r>
      <w:r>
        <w:rPr>
          <w:rFonts w:asciiTheme="minorHAnsi" w:hAnsiTheme="minorHAnsi" w:cstheme="minorHAnsi"/>
          <w:b/>
          <w:bCs/>
          <w:color w:val="000000" w:themeColor="text1"/>
          <w:sz w:val="22"/>
          <w:szCs w:val="22"/>
        </w:rPr>
        <w:t>:</w:t>
      </w:r>
      <w:r w:rsidRPr="00F8663A">
        <w:rPr>
          <w:rFonts w:asciiTheme="minorHAnsi" w:hAnsiTheme="minorHAnsi" w:cstheme="minorHAnsi"/>
          <w:b/>
          <w:bCs/>
          <w:color w:val="000000" w:themeColor="text1"/>
          <w:sz w:val="22"/>
          <w:szCs w:val="22"/>
        </w:rPr>
        <w:t xml:space="preserve"> Dissemination of results of the ISWEL project approaches and other approaches through targeted workshops in all GEF regions and IWCs</w:t>
      </w:r>
    </w:p>
    <w:p w14:paraId="6E4B9032"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GEF invested in global work on the Nexus through the GEF financed, United Nations Industrial Development Organization (UNIDO) implemented and International Institute for Applied Systems Analysis (IIASA) executed Integrated Solutions for Water, Energy, and Land (ISWEL) project. The ISWEL project explored cost-effective solutions to jointly meet water, land and energy demands under different development and climate pathways. It developed an integrated nexus assessment framework, focused on the assessment of nexus solutions across scales and support the development of nexus capacities within the basins (Indus and Zambezi). </w:t>
      </w:r>
    </w:p>
    <w:p w14:paraId="63E7B231" w14:textId="77777777" w:rsidR="00F8663A" w:rsidRDefault="00F8663A" w:rsidP="00F8663A">
      <w:pPr>
        <w:jc w:val="both"/>
        <w:rPr>
          <w:rFonts w:asciiTheme="minorHAnsi" w:hAnsiTheme="minorHAnsi" w:cstheme="minorHAnsi"/>
          <w:sz w:val="22"/>
          <w:szCs w:val="22"/>
        </w:rPr>
      </w:pPr>
    </w:p>
    <w:p w14:paraId="4AABEE85"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The project will promote dissemination of the results of the ISWEL project approaches, both the integrated framework as well as lessons from the building of capacity in those basins. The implementation of this activity will be linked to activities in Component 1. This will be undertaken through sessions at both International Waters Conferences (Sub-component 1.1), and two regional workshops (Sub-component 1.2) with online dissemination sessions preceding those events. This activity will support the Component outcome of improved management of transboundary freshwater ecosystems by raising awareness about tested Nexus approaches.</w:t>
      </w:r>
    </w:p>
    <w:p w14:paraId="40EA53A9" w14:textId="77777777" w:rsidR="00F8663A" w:rsidRDefault="00F8663A" w:rsidP="00F8663A">
      <w:pPr>
        <w:jc w:val="both"/>
        <w:rPr>
          <w:rFonts w:asciiTheme="minorHAnsi" w:hAnsiTheme="minorHAnsi" w:cstheme="minorHAnsi"/>
          <w:sz w:val="22"/>
          <w:szCs w:val="22"/>
        </w:rPr>
      </w:pPr>
    </w:p>
    <w:p w14:paraId="78985115"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facilitate the participation of experts into these virtual and face-to-face sessions. The project will coordinate with IIASA on introducing content and disseminating the results of the ISWEL project into sessions. </w:t>
      </w:r>
    </w:p>
    <w:p w14:paraId="0DB1E230" w14:textId="77777777" w:rsidR="00F8663A" w:rsidRPr="00F8663A" w:rsidRDefault="00F8663A" w:rsidP="00F8663A"/>
    <w:p w14:paraId="7C3F067A" w14:textId="2BB36514" w:rsidR="00F8663A" w:rsidRDefault="00F8663A" w:rsidP="00F8663A">
      <w:pPr>
        <w:pStyle w:val="Heading5"/>
        <w:rPr>
          <w:rFonts w:asciiTheme="minorHAnsi" w:hAnsiTheme="minorHAnsi" w:cstheme="minorHAnsi"/>
          <w:b/>
          <w:bCs/>
          <w:color w:val="000000" w:themeColor="text1"/>
          <w:sz w:val="22"/>
          <w:szCs w:val="22"/>
        </w:rPr>
      </w:pPr>
      <w:r w:rsidRPr="00F8663A">
        <w:rPr>
          <w:rFonts w:asciiTheme="minorHAnsi" w:hAnsiTheme="minorHAnsi" w:cstheme="minorHAnsi"/>
          <w:b/>
          <w:bCs/>
          <w:color w:val="000000" w:themeColor="text1"/>
          <w:sz w:val="22"/>
          <w:szCs w:val="22"/>
        </w:rPr>
        <w:t>Activity 4.1.4</w:t>
      </w:r>
      <w:r>
        <w:rPr>
          <w:rFonts w:asciiTheme="minorHAnsi" w:hAnsiTheme="minorHAnsi" w:cstheme="minorHAnsi"/>
          <w:b/>
          <w:bCs/>
          <w:color w:val="000000" w:themeColor="text1"/>
          <w:sz w:val="22"/>
          <w:szCs w:val="22"/>
        </w:rPr>
        <w:t>:</w:t>
      </w:r>
      <w:r w:rsidRPr="00F8663A">
        <w:rPr>
          <w:rFonts w:asciiTheme="minorHAnsi" w:hAnsiTheme="minorHAnsi" w:cstheme="minorHAnsi"/>
          <w:b/>
          <w:bCs/>
          <w:color w:val="000000" w:themeColor="text1"/>
          <w:sz w:val="22"/>
          <w:szCs w:val="22"/>
        </w:rPr>
        <w:t xml:space="preserve"> Support Nexus Roundtables in 3 project contexts, involving the participation of representatives of major economic sectors and policymakers and featuring a new policy considerations simulation</w:t>
      </w:r>
    </w:p>
    <w:p w14:paraId="3562CBFC" w14:textId="77777777" w:rsidR="00F8663A" w:rsidRDefault="00F8663A" w:rsidP="00F8663A">
      <w:pPr>
        <w:jc w:val="both"/>
        <w:rPr>
          <w:rFonts w:asciiTheme="minorHAnsi" w:hAnsiTheme="minorHAnsi" w:cstheme="minorHAnsi"/>
          <w:sz w:val="22"/>
          <w:szCs w:val="22"/>
        </w:rPr>
      </w:pPr>
      <w:r>
        <w:rPr>
          <w:rFonts w:asciiTheme="minorHAnsi" w:hAnsiTheme="minorHAnsi" w:cstheme="minorHAnsi"/>
          <w:sz w:val="22"/>
          <w:szCs w:val="22"/>
        </w:rPr>
        <w:t>The project will support two Nexus Roundtables in all GEF regions, anchored by strategic partnerships with a given GEF project in the region. The Roundtables will be focused on a single project as a case study but open to participation by other projects. Each Roundtable will be supported by matching funds from the host project as well as other partners’ co-finance. These Roundtables will focus on advancing consideration of Nexus trade-offs and investments in the project and regional context. Each Roundtable will feature two specific elements. The first, at the request of GEF IW projects, will be the participation of representatives of various private and public sector entities managing key sectors in the region’s specific Nexus issues (for example, agriculture, hydropower etc.), in addition to government representatives, basin organizations and project staff. The second would be deployment of simulation exercises, utilizing for example, the Nexus Simulation Game developed by IIASA and the Center for System Solutions. These Roundtables will contribute to the Component outcome of improved management of freshwater ecosystems directly by supporting improved management in five specific basins.</w:t>
      </w:r>
    </w:p>
    <w:p w14:paraId="2A384CE1" w14:textId="77777777" w:rsidR="00F8663A" w:rsidRDefault="00F8663A" w:rsidP="00F8663A">
      <w:pPr>
        <w:jc w:val="both"/>
        <w:rPr>
          <w:rFonts w:asciiTheme="minorHAnsi" w:hAnsiTheme="minorHAnsi" w:cstheme="minorHAnsi"/>
          <w:sz w:val="22"/>
          <w:szCs w:val="22"/>
        </w:rPr>
      </w:pPr>
    </w:p>
    <w:p w14:paraId="1C3983F7" w14:textId="31A18786" w:rsidR="00F8663A" w:rsidRPr="00F439E2" w:rsidRDefault="00F8663A" w:rsidP="00F439E2">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facilitate the Roundtables together with hosting GEF IW projects. The project will </w:t>
      </w:r>
      <w:sdt>
        <w:sdtPr>
          <w:rPr>
            <w:rFonts w:asciiTheme="minorHAnsi" w:hAnsiTheme="minorHAnsi" w:cstheme="minorHAnsi"/>
          </w:rPr>
          <w:tag w:val="goog_rdk_810"/>
          <w:id w:val="1164908605"/>
        </w:sdtPr>
        <w:sdtEndPr/>
        <w:sdtContent>
          <w:r>
            <w:rPr>
              <w:rFonts w:asciiTheme="minorHAnsi" w:hAnsiTheme="minorHAnsi" w:cstheme="minorHAnsi"/>
              <w:sz w:val="22"/>
              <w:szCs w:val="22"/>
            </w:rPr>
            <w:t xml:space="preserve">work </w:t>
          </w:r>
        </w:sdtContent>
      </w:sdt>
      <w:r>
        <w:rPr>
          <w:rFonts w:asciiTheme="minorHAnsi" w:hAnsiTheme="minorHAnsi" w:cstheme="minorHAnsi"/>
          <w:sz w:val="22"/>
          <w:szCs w:val="22"/>
        </w:rPr>
        <w:t xml:space="preserve">with Centre for Systems Solutions, GWP, OAS, UNECE, IDB and the </w:t>
      </w:r>
      <w:proofErr w:type="spellStart"/>
      <w:r>
        <w:rPr>
          <w:rFonts w:asciiTheme="minorHAnsi" w:hAnsiTheme="minorHAnsi" w:cstheme="minorHAnsi"/>
          <w:sz w:val="22"/>
          <w:szCs w:val="22"/>
        </w:rPr>
        <w:t>MedProgramme</w:t>
      </w:r>
      <w:proofErr w:type="spellEnd"/>
      <w:r>
        <w:rPr>
          <w:rFonts w:asciiTheme="minorHAnsi" w:hAnsiTheme="minorHAnsi" w:cstheme="minorHAnsi"/>
          <w:sz w:val="22"/>
          <w:szCs w:val="22"/>
        </w:rPr>
        <w:t>.</w:t>
      </w:r>
    </w:p>
    <w:p w14:paraId="2961B94C" w14:textId="77777777" w:rsidR="00031496" w:rsidRPr="00F8663A" w:rsidRDefault="00031496" w:rsidP="00F8663A"/>
    <w:p w14:paraId="250E70A7" w14:textId="324B831C" w:rsidR="00031496" w:rsidRDefault="00031496" w:rsidP="00031496">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4.2</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Exchanges to promote conjunctive management through governance of freshwater in GEF projects, both groundwater and surface water, as well as with coastal and ocean projects (UNDP)</w:t>
      </w:r>
    </w:p>
    <w:p w14:paraId="4C7F4587" w14:textId="77777777" w:rsidR="00031496" w:rsidRDefault="00031496" w:rsidP="00031496">
      <w:pPr>
        <w:jc w:val="both"/>
        <w:rPr>
          <w:rFonts w:asciiTheme="minorHAnsi" w:hAnsiTheme="minorHAnsi" w:cstheme="minorHAnsi"/>
          <w:b/>
          <w:sz w:val="22"/>
          <w:szCs w:val="22"/>
        </w:rPr>
      </w:pPr>
    </w:p>
    <w:p w14:paraId="499B1985"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Summary of outputs, outcomes and budget</w:t>
      </w:r>
    </w:p>
    <w:p w14:paraId="5E2ED61C" w14:textId="77777777" w:rsidR="00031496" w:rsidRDefault="00031496" w:rsidP="00031496">
      <w:pPr>
        <w:shd w:val="clear" w:color="auto" w:fill="E7E6E6"/>
        <w:jc w:val="both"/>
        <w:rPr>
          <w:rFonts w:asciiTheme="minorHAnsi" w:hAnsiTheme="minorHAnsi" w:cstheme="minorHAnsi"/>
          <w:sz w:val="22"/>
          <w:szCs w:val="22"/>
        </w:rPr>
      </w:pPr>
    </w:p>
    <w:p w14:paraId="45D8E55C"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4.2 is:</w:t>
      </w:r>
    </w:p>
    <w:p w14:paraId="2CE3D78F" w14:textId="77777777" w:rsidR="00031496" w:rsidRDefault="00031496" w:rsidP="00031496">
      <w:pPr>
        <w:shd w:val="clear" w:color="auto" w:fill="E7E6E6"/>
        <w:jc w:val="both"/>
        <w:rPr>
          <w:rFonts w:asciiTheme="minorHAnsi" w:hAnsiTheme="minorHAnsi" w:cstheme="minorHAnsi"/>
          <w:sz w:val="22"/>
          <w:szCs w:val="22"/>
        </w:rPr>
      </w:pPr>
    </w:p>
    <w:p w14:paraId="3BD15A52"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lastRenderedPageBreak/>
        <w:t>Exchanges to promote conjunctive management through governance of freshwater in GEF projects, both groundwater and surface water, as well as with coastal and ocean projects</w:t>
      </w:r>
    </w:p>
    <w:p w14:paraId="6982DFAB" w14:textId="77777777" w:rsidR="00031496" w:rsidRDefault="00031496" w:rsidP="00031496">
      <w:pPr>
        <w:shd w:val="clear" w:color="auto" w:fill="E7E6E6"/>
        <w:jc w:val="both"/>
        <w:rPr>
          <w:rFonts w:asciiTheme="minorHAnsi" w:hAnsiTheme="minorHAnsi" w:cstheme="minorHAnsi"/>
          <w:sz w:val="22"/>
          <w:szCs w:val="22"/>
        </w:rPr>
      </w:pPr>
    </w:p>
    <w:p w14:paraId="5CCB81D4"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4.2 is:</w:t>
      </w:r>
    </w:p>
    <w:p w14:paraId="064092A3" w14:textId="77777777" w:rsidR="00031496" w:rsidRDefault="00031496" w:rsidP="00031496">
      <w:pPr>
        <w:shd w:val="clear" w:color="auto" w:fill="E7E6E6"/>
        <w:jc w:val="both"/>
        <w:rPr>
          <w:rFonts w:asciiTheme="minorHAnsi" w:hAnsiTheme="minorHAnsi" w:cstheme="minorHAnsi"/>
          <w:sz w:val="22"/>
          <w:szCs w:val="22"/>
        </w:rPr>
      </w:pPr>
    </w:p>
    <w:p w14:paraId="76462AEA"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Improved management of transboundary freshwater and marine ecosystems</w:t>
      </w:r>
    </w:p>
    <w:p w14:paraId="7CE93995" w14:textId="77777777" w:rsidR="00031496" w:rsidRDefault="00031496" w:rsidP="00031496">
      <w:pPr>
        <w:shd w:val="clear" w:color="auto" w:fill="E7E6E6"/>
        <w:jc w:val="both"/>
        <w:rPr>
          <w:rFonts w:asciiTheme="minorHAnsi" w:hAnsiTheme="minorHAnsi" w:cstheme="minorHAnsi"/>
          <w:b/>
          <w:sz w:val="22"/>
          <w:szCs w:val="22"/>
        </w:rPr>
      </w:pPr>
    </w:p>
    <w:p w14:paraId="1A52FC99" w14:textId="77777777" w:rsidR="00031496" w:rsidRDefault="00031496" w:rsidP="00031496">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4: GEF Grant USD1,278,996 (UNDP Components all except 4.3.3) 250,000 (UNEP Components 4.3.3)</w:t>
      </w:r>
    </w:p>
    <w:p w14:paraId="7CB1299C" w14:textId="77777777" w:rsidR="00031496" w:rsidRDefault="00031496" w:rsidP="00031496">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33963012" w14:textId="77777777" w:rsidR="00031496" w:rsidRDefault="00031496" w:rsidP="00031496">
      <w:pPr>
        <w:shd w:val="clear" w:color="auto" w:fill="E7E6E6"/>
        <w:jc w:val="both"/>
        <w:rPr>
          <w:rFonts w:asciiTheme="minorHAnsi" w:hAnsiTheme="minorHAnsi" w:cstheme="minorHAnsi"/>
          <w:sz w:val="22"/>
          <w:szCs w:val="22"/>
        </w:rPr>
      </w:pPr>
    </w:p>
    <w:p w14:paraId="23BEF9AF"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1.4: Participation in key global and regional dialogue processes to showcase GEF IW results, build partnerships and facilitate cooperation</w:t>
      </w:r>
    </w:p>
    <w:p w14:paraId="707D6B90" w14:textId="77777777" w:rsidR="00031496" w:rsidRDefault="00031496" w:rsidP="00031496">
      <w:pPr>
        <w:jc w:val="both"/>
        <w:rPr>
          <w:rFonts w:asciiTheme="minorHAnsi" w:hAnsiTheme="minorHAnsi" w:cstheme="minorHAnsi"/>
          <w:sz w:val="22"/>
          <w:szCs w:val="22"/>
        </w:rPr>
      </w:pPr>
    </w:p>
    <w:p w14:paraId="16946DF9"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Many countries and lake/river basins have invested significantly in better understanding their surface water availability and use. Groundwater management is a major challenge in international river basins. Much work remains to be done at the national and sub-national levels to enable countries and basins to deal with groundwater challenges. Data, monitoring and utilization of information remain hurdles in planning and management. Institutions for aquifers and conjunctive management are still a “work in progress”. Basin institutions need substantial support in advancing the groundwater agenda within an Integrated Water Resources Management (IWRM) framework.</w:t>
      </w:r>
    </w:p>
    <w:p w14:paraId="574BAA45" w14:textId="77777777" w:rsidR="00031496" w:rsidRDefault="00031496" w:rsidP="00031496">
      <w:pPr>
        <w:jc w:val="both"/>
        <w:rPr>
          <w:rFonts w:asciiTheme="minorHAnsi" w:hAnsiTheme="minorHAnsi" w:cstheme="minorHAnsi"/>
          <w:sz w:val="22"/>
          <w:szCs w:val="22"/>
        </w:rPr>
      </w:pPr>
    </w:p>
    <w:p w14:paraId="0CCFF77B"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Since 2011, GEF IW:LEARN has been engaged in the topic of groundwater and in support to the focal area’s groundwater portfolio especially through the work of UNESCO’s International Hydrological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(IHP). In previous phases, engagement spread across integration dialogues to promote conjunctive management of surface and groundwater, an elaborated community of practice featuring tools, technical assistance and engagement through blogs, webinars and videos. </w:t>
      </w:r>
    </w:p>
    <w:p w14:paraId="2155D811" w14:textId="77777777" w:rsidR="00031496" w:rsidRDefault="00031496" w:rsidP="00031496">
      <w:pPr>
        <w:jc w:val="both"/>
        <w:rPr>
          <w:rFonts w:asciiTheme="minorHAnsi" w:hAnsiTheme="minorHAnsi" w:cstheme="minorHAnsi"/>
          <w:sz w:val="22"/>
          <w:szCs w:val="22"/>
        </w:rPr>
      </w:pPr>
    </w:p>
    <w:p w14:paraId="754EC85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GEF IW:LEARN will continue facilitating the exchange to promote conjunctive management of groundwater and surface waters as well as with coastal and marine projects, with a view to raising the capacity of projects to undertake appropriate management actions. The learning process will be put in practice via blended training exercises and through supporting major international water events where results of the project will be presented.</w:t>
      </w:r>
    </w:p>
    <w:p w14:paraId="6A69567F" w14:textId="77777777" w:rsidR="00031496" w:rsidRDefault="00031496" w:rsidP="00031496">
      <w:pPr>
        <w:jc w:val="both"/>
        <w:rPr>
          <w:rFonts w:asciiTheme="minorHAnsi" w:hAnsiTheme="minorHAnsi" w:cstheme="minorHAnsi"/>
          <w:sz w:val="22"/>
          <w:szCs w:val="22"/>
        </w:rPr>
      </w:pPr>
    </w:p>
    <w:p w14:paraId="662847B0"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Sub-component will have two principal objectives: </w:t>
      </w:r>
    </w:p>
    <w:p w14:paraId="325306F3" w14:textId="77777777" w:rsidR="00031496" w:rsidRDefault="00031496" w:rsidP="00031496">
      <w:pPr>
        <w:jc w:val="both"/>
        <w:rPr>
          <w:rFonts w:asciiTheme="minorHAnsi" w:hAnsiTheme="minorHAnsi" w:cstheme="minorHAnsi"/>
          <w:sz w:val="22"/>
          <w:szCs w:val="22"/>
        </w:rPr>
      </w:pPr>
    </w:p>
    <w:p w14:paraId="363E7437" w14:textId="77777777" w:rsidR="00031496" w:rsidRDefault="00031496" w:rsidP="00031496">
      <w:pPr>
        <w:numPr>
          <w:ilvl w:val="0"/>
          <w:numId w:val="54"/>
        </w:numPr>
        <w:jc w:val="both"/>
        <w:rPr>
          <w:rFonts w:asciiTheme="minorHAnsi" w:hAnsiTheme="minorHAnsi" w:cstheme="minorHAnsi"/>
          <w:sz w:val="22"/>
          <w:szCs w:val="22"/>
        </w:rPr>
      </w:pPr>
      <w:r>
        <w:rPr>
          <w:rFonts w:asciiTheme="minorHAnsi" w:hAnsiTheme="minorHAnsi" w:cstheme="minorHAnsi"/>
          <w:sz w:val="22"/>
          <w:szCs w:val="22"/>
        </w:rPr>
        <w:t>Strengthen the capacity of the GEF IW freshwater portfolio, particularly its groundwater portfolio sub-set; and</w:t>
      </w:r>
    </w:p>
    <w:p w14:paraId="14FD36F4" w14:textId="77777777" w:rsidR="00031496" w:rsidRDefault="00031496" w:rsidP="00031496">
      <w:pPr>
        <w:numPr>
          <w:ilvl w:val="0"/>
          <w:numId w:val="54"/>
        </w:numPr>
        <w:jc w:val="both"/>
        <w:rPr>
          <w:rFonts w:asciiTheme="minorHAnsi" w:hAnsiTheme="minorHAnsi" w:cstheme="minorHAnsi"/>
          <w:sz w:val="22"/>
          <w:szCs w:val="22"/>
        </w:rPr>
      </w:pPr>
      <w:r>
        <w:rPr>
          <w:rFonts w:asciiTheme="minorHAnsi" w:hAnsiTheme="minorHAnsi" w:cstheme="minorHAnsi"/>
          <w:sz w:val="22"/>
          <w:szCs w:val="22"/>
        </w:rPr>
        <w:t>Support implementation of conjunctive surface and groundwater management in transboundary contexts.</w:t>
      </w:r>
    </w:p>
    <w:p w14:paraId="5131E15E" w14:textId="77777777" w:rsidR="00031496" w:rsidRDefault="00031496" w:rsidP="00031496">
      <w:pPr>
        <w:jc w:val="both"/>
        <w:rPr>
          <w:rFonts w:asciiTheme="minorHAnsi" w:hAnsiTheme="minorHAnsi" w:cstheme="minorHAnsi"/>
          <w:sz w:val="22"/>
          <w:szCs w:val="22"/>
        </w:rPr>
      </w:pPr>
    </w:p>
    <w:p w14:paraId="019FABDE"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Sub-Component will contribute to the overall goal of the Component by building the capacity of the project portfolio to implement the objectives of the GEF7 &amp; GEF8 strategy, particularly in the context of conjunctive management and groundwater governance. Partnerships will be mobilized, to work together for improved learning and knowledge management to impact results, advance conjunctive management. The activity will also seek to enhance the capacity of the GEF IW portfolio in groundwater governance issues.</w:t>
      </w:r>
    </w:p>
    <w:p w14:paraId="65911985" w14:textId="77777777" w:rsidR="00031496" w:rsidRDefault="00031496" w:rsidP="00031496">
      <w:pPr>
        <w:jc w:val="both"/>
        <w:rPr>
          <w:rFonts w:asciiTheme="minorHAnsi" w:hAnsiTheme="minorHAnsi" w:cstheme="minorHAnsi"/>
          <w:sz w:val="22"/>
          <w:szCs w:val="22"/>
        </w:rPr>
      </w:pPr>
    </w:p>
    <w:p w14:paraId="0A8CF42A" w14:textId="77777777" w:rsidR="00031496" w:rsidRDefault="00031496" w:rsidP="00031496">
      <w:pPr>
        <w:jc w:val="both"/>
        <w:rPr>
          <w:rFonts w:asciiTheme="minorHAnsi" w:hAnsiTheme="minorHAnsi" w:cstheme="minorHAnsi"/>
        </w:rPr>
      </w:pPr>
      <w:r>
        <w:rPr>
          <w:rFonts w:asciiTheme="minorHAnsi" w:hAnsiTheme="minorHAnsi" w:cstheme="minorHAnsi"/>
          <w:sz w:val="22"/>
          <w:szCs w:val="22"/>
        </w:rPr>
        <w:t xml:space="preserve">The PCU will work with partners and GEF IW projects to establish an effective knowledge exchange on conjunctive management. The project will coordinate with the SIWI, the OAS, International Groundwater Resource Assessment Centre (IGRAC) and the International Atomic Energy Agency </w:t>
      </w:r>
      <w:r>
        <w:rPr>
          <w:rFonts w:asciiTheme="minorHAnsi" w:hAnsiTheme="minorHAnsi" w:cstheme="minorHAnsi"/>
          <w:sz w:val="22"/>
          <w:szCs w:val="22"/>
        </w:rPr>
        <w:lastRenderedPageBreak/>
        <w:t xml:space="preserve">(IAEA) to create content and facilitate the exchange events. </w:t>
      </w:r>
      <w:r>
        <w:rPr>
          <w:rFonts w:asciiTheme="minorHAnsi" w:hAnsiTheme="minorHAnsi" w:cstheme="minorHAnsi"/>
          <w:color w:val="000000"/>
          <w:sz w:val="22"/>
          <w:szCs w:val="22"/>
        </w:rPr>
        <w:t xml:space="preserve">The project will also seek partnerships with national-level centers of excellence, such as the German Federal Institute of Geosciences and Natural Resources (BGR), United States Geological Service (USGS) and the Geological Survey of Brazil (CPRM). The project will also leverage partnerships with </w:t>
      </w:r>
      <w:r>
        <w:rPr>
          <w:rFonts w:asciiTheme="minorHAnsi" w:hAnsiTheme="minorHAnsi" w:cstheme="minorHAnsi"/>
          <w:sz w:val="22"/>
          <w:szCs w:val="22"/>
        </w:rPr>
        <w:t>IHP of UNESCO and IOC of UNESCO.</w:t>
      </w:r>
    </w:p>
    <w:p w14:paraId="5C7F9CF6" w14:textId="77777777" w:rsidR="00031496" w:rsidRDefault="00031496" w:rsidP="00031496">
      <w:pPr>
        <w:ind w:left="360" w:hanging="360"/>
        <w:jc w:val="both"/>
        <w:rPr>
          <w:rFonts w:asciiTheme="minorHAnsi" w:hAnsiTheme="minorHAnsi" w:cstheme="minorHAnsi"/>
          <w:color w:val="000000"/>
          <w:sz w:val="22"/>
          <w:szCs w:val="22"/>
        </w:rPr>
      </w:pPr>
    </w:p>
    <w:p w14:paraId="26B581EE"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Sub-component 4.2 is comprised of two activities:</w:t>
      </w:r>
    </w:p>
    <w:p w14:paraId="1C4644E8" w14:textId="77777777" w:rsidR="00031496" w:rsidRDefault="00031496" w:rsidP="00031496">
      <w:pPr>
        <w:jc w:val="both"/>
        <w:rPr>
          <w:rFonts w:asciiTheme="minorHAnsi" w:hAnsiTheme="minorHAnsi" w:cstheme="minorHAnsi"/>
          <w:sz w:val="22"/>
          <w:szCs w:val="22"/>
        </w:rPr>
      </w:pPr>
    </w:p>
    <w:p w14:paraId="4ECE29A9" w14:textId="77777777" w:rsidR="00031496" w:rsidRDefault="00031496" w:rsidP="00031496">
      <w:pPr>
        <w:numPr>
          <w:ilvl w:val="0"/>
          <w:numId w:val="9"/>
        </w:numPr>
        <w:jc w:val="both"/>
        <w:rPr>
          <w:rFonts w:asciiTheme="minorHAnsi" w:hAnsiTheme="minorHAnsi" w:cstheme="minorHAnsi"/>
          <w:sz w:val="22"/>
          <w:szCs w:val="22"/>
        </w:rPr>
      </w:pPr>
      <w:r>
        <w:rPr>
          <w:rFonts w:asciiTheme="minorHAnsi" w:hAnsiTheme="minorHAnsi" w:cstheme="minorHAnsi"/>
          <w:sz w:val="22"/>
          <w:szCs w:val="22"/>
        </w:rPr>
        <w:t xml:space="preserve">Activity 4.2.1: Dialogues to promote conjunctive management of surface water and groundwater GEF </w:t>
      </w:r>
      <w:sdt>
        <w:sdtPr>
          <w:rPr>
            <w:rFonts w:asciiTheme="minorHAnsi" w:hAnsiTheme="minorHAnsi" w:cstheme="minorHAnsi"/>
          </w:rPr>
          <w:tag w:val="goog_rdk_831"/>
          <w:id w:val="1240991180"/>
        </w:sdtPr>
        <w:sdtEndPr/>
        <w:sdtContent>
          <w:r>
            <w:rPr>
              <w:rFonts w:asciiTheme="minorHAnsi" w:hAnsiTheme="minorHAnsi" w:cstheme="minorHAnsi"/>
              <w:sz w:val="22"/>
              <w:szCs w:val="22"/>
            </w:rPr>
            <w:t>projects; and</w:t>
          </w:r>
        </w:sdtContent>
      </w:sdt>
    </w:p>
    <w:p w14:paraId="562106C5" w14:textId="77777777" w:rsidR="00031496" w:rsidRDefault="00031496" w:rsidP="00031496">
      <w:pPr>
        <w:numPr>
          <w:ilvl w:val="0"/>
          <w:numId w:val="9"/>
        </w:numPr>
        <w:jc w:val="both"/>
        <w:rPr>
          <w:rFonts w:asciiTheme="minorHAnsi" w:hAnsiTheme="minorHAnsi" w:cstheme="minorHAnsi"/>
          <w:sz w:val="22"/>
          <w:szCs w:val="22"/>
        </w:rPr>
      </w:pPr>
      <w:r>
        <w:rPr>
          <w:rFonts w:asciiTheme="minorHAnsi" w:hAnsiTheme="minorHAnsi" w:cstheme="minorHAnsi"/>
          <w:sz w:val="22"/>
          <w:szCs w:val="22"/>
        </w:rPr>
        <w:t xml:space="preserve">Activity 4.2.2: </w:t>
      </w:r>
      <w:r>
        <w:rPr>
          <w:rFonts w:asciiTheme="minorHAnsi" w:hAnsiTheme="minorHAnsi" w:cstheme="minorHAnsi"/>
          <w:color w:val="000000"/>
          <w:sz w:val="22"/>
          <w:szCs w:val="22"/>
        </w:rPr>
        <w:t>Enhance the capacity of the GEF projects in groundwater governance issues</w:t>
      </w:r>
      <w:sdt>
        <w:sdtPr>
          <w:rPr>
            <w:rFonts w:asciiTheme="minorHAnsi" w:hAnsiTheme="minorHAnsi" w:cstheme="minorHAnsi"/>
          </w:rPr>
          <w:tag w:val="goog_rdk_832"/>
          <w:id w:val="-1567645567"/>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833"/>
          <w:id w:val="-867525166"/>
          <w:showingPlcHdr/>
        </w:sdtPr>
        <w:sdtEndPr/>
        <w:sdtContent>
          <w:r>
            <w:rPr>
              <w:rFonts w:asciiTheme="minorHAnsi" w:hAnsiTheme="minorHAnsi" w:cstheme="minorHAnsi"/>
            </w:rPr>
            <w:t xml:space="preserve">     </w:t>
          </w:r>
        </w:sdtContent>
      </w:sdt>
    </w:p>
    <w:p w14:paraId="4C0D8D41" w14:textId="77777777" w:rsidR="00031496" w:rsidRDefault="00031496" w:rsidP="00031496">
      <w:pPr>
        <w:jc w:val="both"/>
        <w:rPr>
          <w:rFonts w:asciiTheme="minorHAnsi" w:hAnsiTheme="minorHAnsi" w:cstheme="minorHAnsi"/>
          <w:b/>
          <w:sz w:val="22"/>
          <w:szCs w:val="22"/>
        </w:rPr>
      </w:pPr>
    </w:p>
    <w:p w14:paraId="3EF0E0B6" w14:textId="77777777" w:rsidR="00031496" w:rsidRDefault="00031496" w:rsidP="00031496">
      <w:pPr>
        <w:jc w:val="both"/>
        <w:rPr>
          <w:rFonts w:asciiTheme="minorHAnsi" w:hAnsiTheme="minorHAnsi" w:cstheme="minorHAnsi"/>
          <w:b/>
          <w:sz w:val="22"/>
          <w:szCs w:val="22"/>
        </w:rPr>
      </w:pPr>
      <w:r>
        <w:rPr>
          <w:rFonts w:asciiTheme="minorHAnsi" w:hAnsiTheme="minorHAnsi" w:cstheme="minorHAnsi"/>
          <w:sz w:val="22"/>
          <w:szCs w:val="22"/>
        </w:rPr>
        <w:t>Due to the COVID-19 pandemics, constraints on travel and group gatherings will affect the implementation of the activities in this sub-component during the first year of the project’s implementation. Other options are being considered, in particular for the in-person dialogues, such as on-line or remote communication options. They will be used where necessary, adjusting some of the equipment related costs to ensure equal opportunity to all beneficiaries.</w:t>
      </w:r>
    </w:p>
    <w:p w14:paraId="04D78768" w14:textId="77777777" w:rsidR="00031496" w:rsidRPr="00031496" w:rsidRDefault="00031496" w:rsidP="00031496"/>
    <w:p w14:paraId="7F8AB081" w14:textId="3488E660" w:rsidR="00031496" w:rsidRDefault="00031496" w:rsidP="00031496">
      <w:pPr>
        <w:pStyle w:val="Heading5"/>
        <w:rPr>
          <w:rFonts w:asciiTheme="minorHAnsi" w:hAnsiTheme="minorHAnsi" w:cstheme="minorHAnsi"/>
          <w:b/>
          <w:bCs/>
          <w:color w:val="000000" w:themeColor="text1"/>
          <w:sz w:val="22"/>
          <w:szCs w:val="22"/>
        </w:rPr>
      </w:pPr>
      <w:r w:rsidRPr="00031496">
        <w:rPr>
          <w:rFonts w:asciiTheme="minorHAnsi" w:hAnsiTheme="minorHAnsi" w:cstheme="minorHAnsi"/>
          <w:b/>
          <w:bCs/>
          <w:color w:val="000000" w:themeColor="text1"/>
          <w:sz w:val="22"/>
          <w:szCs w:val="22"/>
        </w:rPr>
        <w:t>Activity 4.2.1: Dialogues to promote conjunctive management of surface water and groundwater GEF projects</w:t>
      </w:r>
    </w:p>
    <w:p w14:paraId="4DE6A20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project will facilitate with partners three global events to promote conjunctive management of surface water and groundwater GEF projects. These three conjunctive management dialogues will link aquifers with river basins, and feature projects which already address conjunctive management within their project design, as well as standalone groundwater projects with their river basin partners. </w:t>
      </w:r>
    </w:p>
    <w:p w14:paraId="23E38DB0" w14:textId="77777777" w:rsidR="00031496" w:rsidRDefault="00031496" w:rsidP="00031496">
      <w:pPr>
        <w:jc w:val="both"/>
        <w:rPr>
          <w:rFonts w:asciiTheme="minorHAnsi" w:hAnsiTheme="minorHAnsi" w:cstheme="minorHAnsi"/>
          <w:sz w:val="22"/>
          <w:szCs w:val="22"/>
        </w:rPr>
      </w:pPr>
    </w:p>
    <w:p w14:paraId="6BBF5EEB"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This activity will be aimed at setting the basis for cooperative approaches and conjunctive management of surface and groundwater within a transboundary setting. The dialogues will also support training to enhance the capacity of the GEF System in groundwater issues. The training components will include issues such as, data management, monitoring and isotope hydrology techniques, and will be drawing on partner contributions.  The dialogues will be preceded by virtual information sharing to promote a blended learning approach and ensure participant preparation. They will promote both South-South and North-South exchange on aquifer management good practice. Crucially, the IW:LEARN project will ask participating organizations to commit to certain actions as a result of the dialogues, and the project will track the progress on them. </w:t>
      </w:r>
    </w:p>
    <w:p w14:paraId="27A9503D" w14:textId="77777777" w:rsidR="00031496" w:rsidRDefault="00031496" w:rsidP="00031496">
      <w:pPr>
        <w:jc w:val="both"/>
        <w:rPr>
          <w:rFonts w:asciiTheme="minorHAnsi" w:hAnsiTheme="minorHAnsi" w:cstheme="minorHAnsi"/>
          <w:sz w:val="22"/>
          <w:szCs w:val="22"/>
        </w:rPr>
      </w:pPr>
    </w:p>
    <w:p w14:paraId="2577F92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dialogues will contribute to the Component 4’s outcome of improved freshwater management by raising awareness, also among other focal area projects, on the threats and opportunities linked to groundwater and subsurface space, and on the need to integrate this fundamental resource and component of the natural environment into their strategies and project design.</w:t>
      </w:r>
    </w:p>
    <w:p w14:paraId="069ECBA1" w14:textId="77777777" w:rsidR="00031496" w:rsidRDefault="00031496" w:rsidP="00031496">
      <w:pPr>
        <w:jc w:val="both"/>
        <w:rPr>
          <w:rFonts w:asciiTheme="minorHAnsi" w:hAnsiTheme="minorHAnsi" w:cstheme="minorHAnsi"/>
          <w:sz w:val="22"/>
          <w:szCs w:val="22"/>
        </w:rPr>
      </w:pPr>
    </w:p>
    <w:p w14:paraId="14F68D46"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role of the PCU will be to organize the dialogues in conjunction with project partners, who will be providing facilitation and content for the dialogue events. The project will collaborate in partnership with:</w:t>
      </w:r>
    </w:p>
    <w:p w14:paraId="5196693B" w14:textId="77777777" w:rsidR="00031496" w:rsidRDefault="00031496" w:rsidP="00031496">
      <w:pPr>
        <w:jc w:val="both"/>
        <w:rPr>
          <w:rFonts w:asciiTheme="minorHAnsi" w:hAnsiTheme="minorHAnsi" w:cstheme="minorHAnsi"/>
          <w:sz w:val="22"/>
          <w:szCs w:val="22"/>
        </w:rPr>
      </w:pPr>
    </w:p>
    <w:p w14:paraId="124FDC1F" w14:textId="77777777" w:rsidR="00031496" w:rsidRDefault="00031496" w:rsidP="00031496">
      <w:pPr>
        <w:numPr>
          <w:ilvl w:val="0"/>
          <w:numId w:val="55"/>
        </w:numPr>
        <w:jc w:val="both"/>
        <w:rPr>
          <w:rFonts w:asciiTheme="minorHAnsi" w:hAnsiTheme="minorHAnsi" w:cstheme="minorHAnsi"/>
          <w:color w:val="000000"/>
          <w:sz w:val="22"/>
          <w:szCs w:val="22"/>
        </w:rPr>
      </w:pPr>
      <w:r>
        <w:rPr>
          <w:rFonts w:asciiTheme="minorHAnsi" w:hAnsiTheme="minorHAnsi" w:cstheme="minorHAnsi"/>
          <w:color w:val="000000"/>
          <w:sz w:val="22"/>
          <w:szCs w:val="22"/>
        </w:rPr>
        <w:t>SIWI;</w:t>
      </w:r>
    </w:p>
    <w:p w14:paraId="1CBC4304" w14:textId="77777777" w:rsidR="00031496" w:rsidRDefault="00031496" w:rsidP="00031496">
      <w:pPr>
        <w:numPr>
          <w:ilvl w:val="0"/>
          <w:numId w:val="55"/>
        </w:numPr>
        <w:jc w:val="both"/>
        <w:rPr>
          <w:rFonts w:asciiTheme="minorHAnsi" w:hAnsiTheme="minorHAnsi" w:cstheme="minorHAnsi"/>
          <w:color w:val="000000"/>
          <w:sz w:val="22"/>
          <w:szCs w:val="22"/>
          <w:lang w:val="pt-PT"/>
        </w:rPr>
      </w:pPr>
      <w:r>
        <w:rPr>
          <w:rFonts w:asciiTheme="minorHAnsi" w:hAnsiTheme="minorHAnsi" w:cstheme="minorHAnsi"/>
          <w:color w:val="000000"/>
          <w:sz w:val="22"/>
          <w:szCs w:val="22"/>
          <w:lang w:val="pt-PT"/>
        </w:rPr>
        <w:t xml:space="preserve">OAS (for a LAC Dialogue);  </w:t>
      </w:r>
    </w:p>
    <w:p w14:paraId="7D63BB4E" w14:textId="77777777" w:rsidR="00031496" w:rsidRDefault="00031496" w:rsidP="00031496">
      <w:pPr>
        <w:numPr>
          <w:ilvl w:val="0"/>
          <w:numId w:val="5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IHP of UNESCO; </w:t>
      </w:r>
    </w:p>
    <w:p w14:paraId="76158AC8" w14:textId="77777777" w:rsidR="00031496" w:rsidRDefault="00031496" w:rsidP="00031496">
      <w:pPr>
        <w:numPr>
          <w:ilvl w:val="0"/>
          <w:numId w:val="5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IGRAC; </w:t>
      </w:r>
    </w:p>
    <w:p w14:paraId="337A06C7" w14:textId="77777777" w:rsidR="00031496" w:rsidRDefault="00031496" w:rsidP="00031496">
      <w:pPr>
        <w:numPr>
          <w:ilvl w:val="0"/>
          <w:numId w:val="55"/>
        </w:numPr>
        <w:jc w:val="both"/>
        <w:rPr>
          <w:rFonts w:asciiTheme="minorHAnsi" w:hAnsiTheme="minorHAnsi" w:cstheme="minorHAnsi"/>
          <w:color w:val="000000"/>
          <w:sz w:val="22"/>
          <w:szCs w:val="22"/>
        </w:rPr>
      </w:pPr>
      <w:r>
        <w:rPr>
          <w:rFonts w:asciiTheme="minorHAnsi" w:hAnsiTheme="minorHAnsi" w:cstheme="minorHAnsi"/>
          <w:color w:val="000000"/>
          <w:sz w:val="22"/>
          <w:szCs w:val="22"/>
        </w:rPr>
        <w:t>IOC of UNESCO;</w:t>
      </w:r>
    </w:p>
    <w:p w14:paraId="6B62DE53" w14:textId="77777777" w:rsidR="00031496" w:rsidRDefault="00031496" w:rsidP="00031496">
      <w:pPr>
        <w:numPr>
          <w:ilvl w:val="0"/>
          <w:numId w:val="55"/>
        </w:numPr>
        <w:jc w:val="both"/>
        <w:rPr>
          <w:rFonts w:asciiTheme="minorHAnsi" w:hAnsiTheme="minorHAnsi" w:cstheme="minorHAnsi"/>
          <w:color w:val="000000"/>
          <w:sz w:val="22"/>
          <w:szCs w:val="22"/>
        </w:rPr>
      </w:pPr>
      <w:r>
        <w:rPr>
          <w:rFonts w:asciiTheme="minorHAnsi" w:hAnsiTheme="minorHAnsi" w:cstheme="minorHAnsi"/>
          <w:color w:val="000000"/>
          <w:sz w:val="22"/>
          <w:szCs w:val="22"/>
        </w:rPr>
        <w:t>IAEA; and</w:t>
      </w:r>
    </w:p>
    <w:p w14:paraId="4AF814C8" w14:textId="77777777" w:rsidR="00031496" w:rsidRDefault="00F57A55" w:rsidP="00031496">
      <w:pPr>
        <w:numPr>
          <w:ilvl w:val="0"/>
          <w:numId w:val="55"/>
        </w:numPr>
        <w:jc w:val="both"/>
        <w:rPr>
          <w:rFonts w:asciiTheme="minorHAnsi" w:hAnsiTheme="minorHAnsi" w:cstheme="minorHAnsi"/>
          <w:color w:val="000000"/>
          <w:sz w:val="22"/>
          <w:szCs w:val="22"/>
        </w:rPr>
      </w:pPr>
      <w:sdt>
        <w:sdtPr>
          <w:rPr>
            <w:rFonts w:asciiTheme="minorHAnsi" w:hAnsiTheme="minorHAnsi" w:cstheme="minorHAnsi"/>
          </w:rPr>
          <w:tag w:val="goog_rdk_835"/>
          <w:id w:val="44345172"/>
        </w:sdtPr>
        <w:sdtEndPr/>
        <w:sdtContent>
          <w:r w:rsidR="00031496">
            <w:rPr>
              <w:rFonts w:asciiTheme="minorHAnsi" w:eastAsia="Calibri" w:hAnsiTheme="minorHAnsi" w:cstheme="minorHAnsi"/>
              <w:color w:val="000000"/>
              <w:sz w:val="22"/>
              <w:szCs w:val="22"/>
            </w:rPr>
            <w:t>Regional and national partners of the groundwater portfolio, such as the Groundwater Management Institute of the Southern African Development Community (SADC-GMI), the Sahel and Sahara Observatory (OSS), German Federal Institute of Geosciences and Natural Resources (BGR), United States Geological Service (USGS) and the Geological Survey of Brazil (CPRM) and more.</w:t>
          </w:r>
        </w:sdtContent>
      </w:sdt>
    </w:p>
    <w:p w14:paraId="02FAB178" w14:textId="77777777" w:rsidR="00031496" w:rsidRPr="00031496" w:rsidRDefault="00031496" w:rsidP="00031496"/>
    <w:p w14:paraId="45668F61" w14:textId="1C9757C0" w:rsidR="00031496" w:rsidRDefault="00031496" w:rsidP="00031496">
      <w:pPr>
        <w:pStyle w:val="Heading5"/>
        <w:rPr>
          <w:rFonts w:asciiTheme="minorHAnsi" w:hAnsiTheme="minorHAnsi" w:cstheme="minorHAnsi"/>
          <w:b/>
          <w:bCs/>
          <w:color w:val="000000" w:themeColor="text1"/>
          <w:sz w:val="22"/>
          <w:szCs w:val="22"/>
        </w:rPr>
      </w:pPr>
      <w:bookmarkStart w:id="21" w:name="_Hlk115086176"/>
      <w:r w:rsidRPr="00031496">
        <w:rPr>
          <w:rFonts w:asciiTheme="minorHAnsi" w:hAnsiTheme="minorHAnsi" w:cstheme="minorHAnsi"/>
          <w:b/>
          <w:bCs/>
          <w:color w:val="000000" w:themeColor="text1"/>
          <w:sz w:val="22"/>
          <w:szCs w:val="22"/>
        </w:rPr>
        <w:t xml:space="preserve">Activity 4.2.2: </w:t>
      </w:r>
      <w:bookmarkEnd w:id="21"/>
      <w:r w:rsidRPr="00031496">
        <w:rPr>
          <w:rFonts w:asciiTheme="minorHAnsi" w:hAnsiTheme="minorHAnsi" w:cstheme="minorHAnsi"/>
          <w:b/>
          <w:bCs/>
          <w:color w:val="000000" w:themeColor="text1"/>
          <w:sz w:val="22"/>
          <w:szCs w:val="22"/>
        </w:rPr>
        <w:t>Enhance the capacity of the GEF projects in groundwater governance issues</w:t>
      </w:r>
    </w:p>
    <w:p w14:paraId="5179413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members of UN-Water designated 2022 to be the year of groundwater “Making the Invisible Visible”. That year’s World Water Day and World Water Development Report will be built around that theme. This project activity will focus on preparing the portfolio to support this event and engage accordingly with the various processes, in particular, leading up to the proposed </w:t>
      </w:r>
      <w:sdt>
        <w:sdtPr>
          <w:rPr>
            <w:rFonts w:asciiTheme="minorHAnsi" w:hAnsiTheme="minorHAnsi" w:cstheme="minorHAnsi"/>
          </w:rPr>
          <w:tag w:val="goog_rdk_836"/>
          <w:id w:val="-1707412128"/>
          <w:showingPlcHdr/>
        </w:sdtPr>
        <w:sdtEndPr/>
        <w:sdtContent>
          <w:r>
            <w:rPr>
              <w:rFonts w:asciiTheme="minorHAnsi" w:hAnsiTheme="minorHAnsi" w:cstheme="minorHAnsi"/>
            </w:rPr>
            <w:t xml:space="preserve">     </w:t>
          </w:r>
        </w:sdtContent>
      </w:sdt>
      <w:r>
        <w:rPr>
          <w:rFonts w:asciiTheme="minorHAnsi" w:hAnsiTheme="minorHAnsi" w:cstheme="minorHAnsi"/>
          <w:sz w:val="22"/>
          <w:szCs w:val="22"/>
        </w:rPr>
        <w:t>Groundwater Summit</w:t>
      </w:r>
      <w:sdt>
        <w:sdtPr>
          <w:rPr>
            <w:rFonts w:asciiTheme="minorHAnsi" w:hAnsiTheme="minorHAnsi" w:cstheme="minorHAnsi"/>
          </w:rPr>
          <w:tag w:val="goog_rdk_838"/>
          <w:id w:val="1467774553"/>
        </w:sdtPr>
        <w:sdtEndPr/>
        <w:sdtContent>
          <w:r>
            <w:rPr>
              <w:rFonts w:asciiTheme="minorHAnsi" w:hAnsiTheme="minorHAnsi" w:cstheme="minorHAnsi"/>
              <w:sz w:val="22"/>
              <w:szCs w:val="22"/>
            </w:rPr>
            <w:t xml:space="preserve"> 2022, initiated by IGRAC</w:t>
          </w:r>
        </w:sdtContent>
      </w:sdt>
      <w:r>
        <w:rPr>
          <w:rFonts w:asciiTheme="minorHAnsi" w:hAnsiTheme="minorHAnsi" w:cstheme="minorHAnsi"/>
          <w:sz w:val="22"/>
          <w:szCs w:val="22"/>
        </w:rPr>
        <w:t xml:space="preserve">. The activity will support a global portfolio meeting on groundwater ahead of 2022, where efforts will be concentrated to international waters being present and visible. </w:t>
      </w:r>
      <w:sdt>
        <w:sdtPr>
          <w:rPr>
            <w:rFonts w:asciiTheme="minorHAnsi" w:hAnsiTheme="minorHAnsi" w:cstheme="minorHAnsi"/>
          </w:rPr>
          <w:tag w:val="goog_rdk_839"/>
          <w:id w:val="-1834283328"/>
        </w:sdtPr>
        <w:sdtEndPr/>
        <w:sdtContent>
          <w:r>
            <w:rPr>
              <w:rFonts w:asciiTheme="minorHAnsi" w:hAnsiTheme="minorHAnsi" w:cstheme="minorHAnsi"/>
              <w:sz w:val="22"/>
              <w:szCs w:val="22"/>
            </w:rPr>
            <w:t xml:space="preserve">This portfolio meeting will also coordinate the GEF IW portfolio’s contribution of transboundary elements to the “Catalogue on groundwater management and governance tools, measures and instruments”. </w:t>
          </w:r>
        </w:sdtContent>
      </w:sdt>
      <w:r>
        <w:rPr>
          <w:rFonts w:asciiTheme="minorHAnsi" w:hAnsiTheme="minorHAnsi" w:cstheme="minorHAnsi"/>
          <w:sz w:val="22"/>
          <w:szCs w:val="22"/>
        </w:rPr>
        <w:t xml:space="preserve">The activity will support online interaction and coordination with the portfolio and partners, as well as a substantial presence at </w:t>
      </w:r>
      <w:sdt>
        <w:sdtPr>
          <w:rPr>
            <w:rFonts w:asciiTheme="minorHAnsi" w:hAnsiTheme="minorHAnsi" w:cstheme="minorHAnsi"/>
          </w:rPr>
          <w:tag w:val="goog_rdk_840"/>
          <w:id w:val="383609878"/>
        </w:sdtPr>
        <w:sdtEndPr/>
        <w:sdtContent>
          <w:r>
            <w:rPr>
              <w:rFonts w:asciiTheme="minorHAnsi" w:hAnsiTheme="minorHAnsi" w:cstheme="minorHAnsi"/>
              <w:sz w:val="22"/>
              <w:szCs w:val="22"/>
            </w:rPr>
            <w:t>the Groundwater Summit itself</w:t>
          </w:r>
        </w:sdtContent>
      </w:sdt>
      <w:r>
        <w:rPr>
          <w:rFonts w:asciiTheme="minorHAnsi" w:hAnsiTheme="minorHAnsi" w:cstheme="minorHAnsi"/>
          <w:sz w:val="22"/>
          <w:szCs w:val="22"/>
        </w:rPr>
        <w:t>. All of this will support the Component 4’s outcome by improving management of freshwater ecosystems.</w:t>
      </w:r>
    </w:p>
    <w:p w14:paraId="33C88233" w14:textId="77777777" w:rsidR="00031496" w:rsidRDefault="00031496" w:rsidP="00031496">
      <w:pPr>
        <w:jc w:val="both"/>
        <w:rPr>
          <w:rFonts w:asciiTheme="minorHAnsi" w:hAnsiTheme="minorHAnsi" w:cstheme="minorHAnsi"/>
          <w:sz w:val="22"/>
          <w:szCs w:val="22"/>
        </w:rPr>
      </w:pPr>
    </w:p>
    <w:p w14:paraId="750E14E6" w14:textId="15F18BDD" w:rsidR="00031496" w:rsidRPr="00F439E2" w:rsidRDefault="00031496" w:rsidP="00F439E2">
      <w:pPr>
        <w:jc w:val="both"/>
        <w:rPr>
          <w:rFonts w:asciiTheme="minorHAnsi" w:hAnsiTheme="minorHAnsi" w:cstheme="minorHAnsi"/>
          <w:color w:val="000000"/>
          <w:sz w:val="22"/>
          <w:szCs w:val="22"/>
        </w:rPr>
      </w:pPr>
      <w:r>
        <w:rPr>
          <w:rFonts w:asciiTheme="minorHAnsi" w:hAnsiTheme="minorHAnsi" w:cstheme="minorHAnsi"/>
          <w:sz w:val="22"/>
          <w:szCs w:val="22"/>
        </w:rPr>
        <w:t xml:space="preserve">The role of the PCU will be to organize the dialogues in conjunction with project partners, who will be advising and preparing the event and guiding the portfolio on groundwater governance issues. </w:t>
      </w:r>
    </w:p>
    <w:p w14:paraId="5DAEF1F9" w14:textId="77777777" w:rsidR="00031496" w:rsidRPr="00031496" w:rsidRDefault="00031496" w:rsidP="00031496"/>
    <w:p w14:paraId="1B85B833" w14:textId="1132F7A3" w:rsidR="00031496" w:rsidRDefault="00031496" w:rsidP="00031496">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4.3</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Training and capacity building activities in support of marine spatial planning as a tool for strengthening blue economy opportunities (UNDP and UNEP)</w:t>
      </w:r>
    </w:p>
    <w:p w14:paraId="7CBB4B00" w14:textId="77777777" w:rsidR="00031496" w:rsidRDefault="00031496" w:rsidP="00031496">
      <w:pPr>
        <w:jc w:val="both"/>
        <w:rPr>
          <w:rFonts w:asciiTheme="minorHAnsi" w:hAnsiTheme="minorHAnsi" w:cstheme="minorHAnsi"/>
          <w:b/>
          <w:sz w:val="22"/>
          <w:szCs w:val="22"/>
        </w:rPr>
      </w:pPr>
    </w:p>
    <w:p w14:paraId="383938C2" w14:textId="77777777" w:rsidR="00031496" w:rsidRDefault="00031496" w:rsidP="00031496">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Summary of outputs, outcomes and budget</w:t>
      </w:r>
    </w:p>
    <w:p w14:paraId="06434AC3" w14:textId="77777777" w:rsidR="00031496" w:rsidRDefault="00031496" w:rsidP="00031496">
      <w:pPr>
        <w:shd w:val="clear" w:color="auto" w:fill="E7E6E6"/>
        <w:jc w:val="both"/>
        <w:rPr>
          <w:rFonts w:asciiTheme="minorHAnsi" w:hAnsiTheme="minorHAnsi" w:cstheme="minorHAnsi"/>
          <w:sz w:val="22"/>
          <w:szCs w:val="22"/>
        </w:rPr>
      </w:pPr>
    </w:p>
    <w:p w14:paraId="5E97DDF9"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4.3 is:</w:t>
      </w:r>
    </w:p>
    <w:p w14:paraId="032B9013" w14:textId="77777777" w:rsidR="00031496" w:rsidRDefault="00031496" w:rsidP="00031496">
      <w:pPr>
        <w:shd w:val="clear" w:color="auto" w:fill="E7E6E6"/>
        <w:jc w:val="both"/>
        <w:rPr>
          <w:rFonts w:asciiTheme="minorHAnsi" w:hAnsiTheme="minorHAnsi" w:cstheme="minorHAnsi"/>
          <w:color w:val="000000"/>
          <w:sz w:val="22"/>
          <w:szCs w:val="22"/>
        </w:rPr>
      </w:pPr>
    </w:p>
    <w:p w14:paraId="3942CA9F" w14:textId="77777777" w:rsidR="00031496" w:rsidRDefault="00031496" w:rsidP="00031496">
      <w:pPr>
        <w:shd w:val="clear" w:color="auto" w:fill="E7E6E6"/>
        <w:jc w:val="both"/>
        <w:rPr>
          <w:rFonts w:asciiTheme="minorHAnsi" w:hAnsiTheme="minorHAnsi" w:cstheme="minorHAnsi"/>
          <w:color w:val="000000"/>
          <w:sz w:val="22"/>
          <w:szCs w:val="22"/>
        </w:rPr>
      </w:pPr>
      <w:r>
        <w:rPr>
          <w:rFonts w:asciiTheme="minorHAnsi" w:hAnsiTheme="minorHAnsi" w:cstheme="minorHAnsi"/>
          <w:color w:val="000000"/>
          <w:sz w:val="22"/>
          <w:szCs w:val="22"/>
        </w:rPr>
        <w:t>Training and capacity building activities in support of marine spatial planning</w:t>
      </w:r>
      <w:sdt>
        <w:sdtPr>
          <w:rPr>
            <w:rFonts w:asciiTheme="minorHAnsi" w:hAnsiTheme="minorHAnsi" w:cstheme="minorHAnsi"/>
          </w:rPr>
          <w:tag w:val="goog_rdk_842"/>
          <w:id w:val="-272090991"/>
        </w:sdtPr>
        <w:sdtEndPr/>
        <w:sdtContent>
          <w:r>
            <w:rPr>
              <w:rFonts w:asciiTheme="minorHAnsi" w:hAnsiTheme="minorHAnsi" w:cstheme="minorHAnsi"/>
              <w:sz w:val="22"/>
              <w:szCs w:val="22"/>
            </w:rPr>
            <w:t xml:space="preserve"> within broader strategic planning for ocean-based sustainable development</w:t>
          </w:r>
        </w:sdtContent>
      </w:sdt>
      <w:r>
        <w:rPr>
          <w:rFonts w:asciiTheme="minorHAnsi" w:hAnsiTheme="minorHAnsi" w:cstheme="minorHAnsi"/>
          <w:color w:val="000000"/>
          <w:sz w:val="22"/>
          <w:szCs w:val="22"/>
        </w:rPr>
        <w:t xml:space="preserve"> as a tool for strengthening </w:t>
      </w:r>
      <w:sdt>
        <w:sdtPr>
          <w:rPr>
            <w:rFonts w:asciiTheme="minorHAnsi" w:hAnsiTheme="minorHAnsi" w:cstheme="minorHAnsi"/>
          </w:rPr>
          <w:tag w:val="goog_rdk_843"/>
          <w:id w:val="1608303637"/>
        </w:sdtPr>
        <w:sdtEndPr/>
        <w:sdtContent>
          <w:r>
            <w:rPr>
              <w:rFonts w:asciiTheme="minorHAnsi" w:hAnsiTheme="minorHAnsi" w:cstheme="minorHAnsi"/>
              <w:sz w:val="22"/>
              <w:szCs w:val="22"/>
            </w:rPr>
            <w:t xml:space="preserve">and distributing </w:t>
          </w:r>
        </w:sdtContent>
      </w:sdt>
      <w:r>
        <w:rPr>
          <w:rFonts w:asciiTheme="minorHAnsi" w:hAnsiTheme="minorHAnsi" w:cstheme="minorHAnsi"/>
          <w:color w:val="000000"/>
          <w:sz w:val="22"/>
          <w:szCs w:val="22"/>
        </w:rPr>
        <w:t xml:space="preserve">blue economy opportunities </w:t>
      </w:r>
    </w:p>
    <w:p w14:paraId="52640590" w14:textId="77777777" w:rsidR="00031496" w:rsidRDefault="00031496" w:rsidP="00031496">
      <w:pPr>
        <w:shd w:val="clear" w:color="auto" w:fill="E7E6E6"/>
        <w:jc w:val="both"/>
        <w:rPr>
          <w:rFonts w:asciiTheme="minorHAnsi" w:hAnsiTheme="minorHAnsi" w:cstheme="minorHAnsi"/>
          <w:sz w:val="22"/>
          <w:szCs w:val="22"/>
        </w:rPr>
      </w:pPr>
    </w:p>
    <w:p w14:paraId="623640F3"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4.3 is:</w:t>
      </w:r>
    </w:p>
    <w:p w14:paraId="566689BC" w14:textId="77777777" w:rsidR="00031496" w:rsidRDefault="00031496" w:rsidP="00031496">
      <w:pPr>
        <w:shd w:val="clear" w:color="auto" w:fill="E7E6E6"/>
        <w:jc w:val="both"/>
        <w:rPr>
          <w:rFonts w:asciiTheme="minorHAnsi" w:hAnsiTheme="minorHAnsi" w:cstheme="minorHAnsi"/>
          <w:sz w:val="22"/>
          <w:szCs w:val="22"/>
        </w:rPr>
      </w:pPr>
    </w:p>
    <w:p w14:paraId="36BEDADF"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Improved management of transboundary marine ecosystems</w:t>
      </w:r>
    </w:p>
    <w:p w14:paraId="52DF743A" w14:textId="77777777" w:rsidR="00031496" w:rsidRDefault="00031496" w:rsidP="00031496">
      <w:pPr>
        <w:shd w:val="clear" w:color="auto" w:fill="E7E6E6"/>
        <w:jc w:val="both"/>
        <w:rPr>
          <w:rFonts w:asciiTheme="minorHAnsi" w:hAnsiTheme="minorHAnsi" w:cstheme="minorHAnsi"/>
          <w:b/>
          <w:sz w:val="22"/>
          <w:szCs w:val="22"/>
        </w:rPr>
      </w:pPr>
    </w:p>
    <w:p w14:paraId="617ABF64" w14:textId="77777777" w:rsidR="00031496" w:rsidRDefault="00031496" w:rsidP="00031496">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4: GEF Grant USD1,278,996 (UNDP Components all except 4.3.3) 250,000 (UNEP Components 4.3.3)</w:t>
      </w:r>
    </w:p>
    <w:p w14:paraId="3D0D55DD"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43A3E6C3" w14:textId="77777777" w:rsidR="00031496" w:rsidRDefault="00031496" w:rsidP="00031496">
      <w:pPr>
        <w:shd w:val="clear" w:color="auto" w:fill="E7E6E6"/>
        <w:jc w:val="both"/>
        <w:rPr>
          <w:rFonts w:asciiTheme="minorHAnsi" w:hAnsiTheme="minorHAnsi" w:cstheme="minorHAnsi"/>
          <w:sz w:val="22"/>
          <w:szCs w:val="22"/>
        </w:rPr>
      </w:pPr>
    </w:p>
    <w:p w14:paraId="01D89AC3"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3.3: Training courses and other capacity-strengthening guidance developed on cross-</w:t>
      </w:r>
    </w:p>
    <w:p w14:paraId="6DB5EF19"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cutting topics of relevance to SIDS</w:t>
      </w:r>
    </w:p>
    <w:p w14:paraId="77A27E21" w14:textId="77777777" w:rsidR="00031496" w:rsidRDefault="00031496" w:rsidP="00031496">
      <w:pPr>
        <w:shd w:val="clear" w:color="auto" w:fill="E7E6E6"/>
        <w:jc w:val="both"/>
        <w:rPr>
          <w:rFonts w:asciiTheme="minorHAnsi" w:hAnsiTheme="minorHAnsi" w:cstheme="minorHAnsi"/>
          <w:sz w:val="22"/>
          <w:szCs w:val="22"/>
        </w:rPr>
      </w:pPr>
    </w:p>
    <w:p w14:paraId="2FCDA60F"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5.3: Training support to portfolio on attracting sustainable financing to address SAP</w:t>
      </w:r>
    </w:p>
    <w:p w14:paraId="7F6860D7"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investment priorities</w:t>
      </w:r>
    </w:p>
    <w:p w14:paraId="62581EAD" w14:textId="77777777" w:rsidR="00031496" w:rsidRDefault="00031496" w:rsidP="00031496">
      <w:pPr>
        <w:jc w:val="both"/>
        <w:rPr>
          <w:rFonts w:asciiTheme="minorHAnsi" w:hAnsiTheme="minorHAnsi" w:cstheme="minorHAnsi"/>
          <w:sz w:val="22"/>
          <w:szCs w:val="22"/>
        </w:rPr>
      </w:pPr>
    </w:p>
    <w:p w14:paraId="699DB560"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Within the Large Marine Ecosystem, Marine Spatial Planning (MSP) is still a relatively new concept and most of the ongoing projects and initiatives are the first to start a transboundary MSP process. Examples of transboundary MSP processes, although growing in number, are still limited, especially </w:t>
      </w:r>
      <w:r>
        <w:rPr>
          <w:rFonts w:asciiTheme="minorHAnsi" w:hAnsiTheme="minorHAnsi" w:cstheme="minorHAnsi"/>
          <w:sz w:val="22"/>
          <w:szCs w:val="22"/>
        </w:rPr>
        <w:lastRenderedPageBreak/>
        <w:t xml:space="preserve">from outside the European Union. While there is a lot of discussion about MSP in local communities and at national levels, there are still challenges in understanding the practical applications of MSP concepts, particularly in the transboundary context. Also, it is important to understand that MSP is not a concept based on a sectoral approach, i.e. one that is geared towards promoting a single activity only, as an exclusive driver for the Blue Economy, private sector, conservation, building resilience, etc., but that it stems from the Ecosystem Based Management approach and that it is integrating in </w:t>
      </w:r>
      <w:sdt>
        <w:sdtPr>
          <w:rPr>
            <w:rFonts w:asciiTheme="minorHAnsi" w:hAnsiTheme="minorHAnsi" w:cstheme="minorHAnsi"/>
          </w:rPr>
          <w:tag w:val="goog_rdk_844"/>
          <w:id w:val="-942768267"/>
        </w:sdtPr>
        <w:sdtEndPr/>
        <w:sdtContent>
          <w:r>
            <w:rPr>
              <w:rFonts w:asciiTheme="minorHAnsi" w:hAnsiTheme="minorHAnsi" w:cstheme="minorHAnsi"/>
              <w:sz w:val="22"/>
              <w:szCs w:val="22"/>
            </w:rPr>
            <w:t xml:space="preserve">its </w:t>
          </w:r>
        </w:sdtContent>
      </w:sdt>
      <w:r>
        <w:rPr>
          <w:rFonts w:asciiTheme="minorHAnsi" w:hAnsiTheme="minorHAnsi" w:cstheme="minorHAnsi"/>
          <w:sz w:val="22"/>
          <w:szCs w:val="22"/>
        </w:rPr>
        <w:t xml:space="preserve">nature. </w:t>
      </w:r>
      <w:sdt>
        <w:sdtPr>
          <w:rPr>
            <w:rFonts w:asciiTheme="minorHAnsi" w:hAnsiTheme="minorHAnsi" w:cstheme="minorHAnsi"/>
          </w:rPr>
          <w:tag w:val="goog_rdk_845"/>
          <w:id w:val="-95014746"/>
        </w:sdtPr>
        <w:sdtEndPr/>
        <w:sdtContent>
          <w:r>
            <w:rPr>
              <w:rFonts w:asciiTheme="minorHAnsi" w:hAnsiTheme="minorHAnsi" w:cstheme="minorHAnsi"/>
              <w:sz w:val="22"/>
              <w:szCs w:val="22"/>
            </w:rPr>
            <w:t>MSP and strategic marine planning can support the delivery of a range of environmental, social and economic benefits flowing from sustainable, resilient and inclusive blue economies.</w:t>
          </w:r>
        </w:sdtContent>
      </w:sdt>
    </w:p>
    <w:p w14:paraId="62441E9B" w14:textId="77777777" w:rsidR="00031496" w:rsidRDefault="00031496" w:rsidP="00031496">
      <w:pPr>
        <w:jc w:val="both"/>
        <w:rPr>
          <w:rFonts w:asciiTheme="minorHAnsi" w:hAnsiTheme="minorHAnsi" w:cstheme="minorHAnsi"/>
          <w:sz w:val="22"/>
          <w:szCs w:val="22"/>
        </w:rPr>
      </w:pPr>
    </w:p>
    <w:p w14:paraId="6A570E60"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Blue Economy is a more narrowly defined concept than the Ocean Economy. In addition to being a collection of coastal and marine economic sectors, the Blue Economy concept identifies the oceans as areas for potential sustainable development of </w:t>
      </w:r>
      <w:sdt>
        <w:sdtPr>
          <w:rPr>
            <w:rFonts w:asciiTheme="minorHAnsi" w:hAnsiTheme="minorHAnsi" w:cstheme="minorHAnsi"/>
          </w:rPr>
          <w:tag w:val="goog_rdk_846"/>
          <w:id w:val="-1505046024"/>
        </w:sdtPr>
        <w:sdtEndPr/>
        <w:sdtContent>
          <w:r>
            <w:rPr>
              <w:rFonts w:asciiTheme="minorHAnsi" w:hAnsiTheme="minorHAnsi" w:cstheme="minorHAnsi"/>
              <w:sz w:val="22"/>
              <w:szCs w:val="22"/>
            </w:rPr>
            <w:t xml:space="preserve">both </w:t>
          </w:r>
        </w:sdtContent>
      </w:sdt>
      <w:r>
        <w:rPr>
          <w:rFonts w:asciiTheme="minorHAnsi" w:hAnsiTheme="minorHAnsi" w:cstheme="minorHAnsi"/>
          <w:sz w:val="22"/>
          <w:szCs w:val="22"/>
        </w:rPr>
        <w:t xml:space="preserve">existing and new sectors, </w:t>
      </w:r>
      <w:sdt>
        <w:sdtPr>
          <w:rPr>
            <w:rFonts w:asciiTheme="minorHAnsi" w:hAnsiTheme="minorHAnsi" w:cstheme="minorHAnsi"/>
          </w:rPr>
          <w:tag w:val="goog_rdk_848"/>
          <w:id w:val="884060168"/>
        </w:sdtPr>
        <w:sdtEndPr/>
        <w:sdtContent>
          <w:r>
            <w:rPr>
              <w:rFonts w:asciiTheme="minorHAnsi" w:hAnsiTheme="minorHAnsi" w:cstheme="minorHAnsi"/>
              <w:sz w:val="22"/>
              <w:szCs w:val="22"/>
            </w:rPr>
            <w:t xml:space="preserve">ensuring </w:t>
          </w:r>
        </w:sdtContent>
      </w:sdt>
      <w:r>
        <w:rPr>
          <w:rFonts w:asciiTheme="minorHAnsi" w:hAnsiTheme="minorHAnsi" w:cstheme="minorHAnsi"/>
          <w:sz w:val="22"/>
          <w:szCs w:val="22"/>
        </w:rPr>
        <w:t>environmentally and socially sustainable commercial activities such as tourism, extractive industries, renewable energy production, fisheries and aquaculture, coastal development and marine transport</w:t>
      </w:r>
      <w:sdt>
        <w:sdtPr>
          <w:rPr>
            <w:rFonts w:asciiTheme="minorHAnsi" w:hAnsiTheme="minorHAnsi" w:cstheme="minorHAnsi"/>
          </w:rPr>
          <w:tag w:val="goog_rdk_849"/>
          <w:id w:val="-2028322511"/>
        </w:sdtPr>
        <w:sdtEndPr/>
        <w:sdtContent>
          <w:r>
            <w:rPr>
              <w:rFonts w:asciiTheme="minorHAnsi" w:hAnsiTheme="minorHAnsi" w:cstheme="minorHAnsi"/>
              <w:sz w:val="22"/>
              <w:szCs w:val="22"/>
            </w:rPr>
            <w:t>, as well as local communities and stakeholders relying on healthy and productive oceans and coasts for their sustainable livelihoods and resilience</w:t>
          </w:r>
        </w:sdtContent>
      </w:sdt>
      <w:r>
        <w:rPr>
          <w:rFonts w:asciiTheme="minorHAnsi" w:hAnsiTheme="minorHAnsi" w:cstheme="minorHAnsi"/>
          <w:sz w:val="22"/>
          <w:szCs w:val="22"/>
        </w:rPr>
        <w:t xml:space="preserve">. </w:t>
      </w:r>
    </w:p>
    <w:p w14:paraId="28CF728F" w14:textId="77777777" w:rsidR="00031496" w:rsidRDefault="00031496" w:rsidP="00031496">
      <w:pPr>
        <w:jc w:val="both"/>
        <w:rPr>
          <w:rFonts w:asciiTheme="minorHAnsi" w:hAnsiTheme="minorHAnsi" w:cstheme="minorHAnsi"/>
          <w:sz w:val="22"/>
          <w:szCs w:val="22"/>
        </w:rPr>
      </w:pPr>
    </w:p>
    <w:p w14:paraId="396AB131" w14:textId="77777777" w:rsidR="00031496" w:rsidRDefault="00F57A55" w:rsidP="00031496">
      <w:pPr>
        <w:jc w:val="both"/>
        <w:rPr>
          <w:rFonts w:asciiTheme="minorHAnsi" w:hAnsiTheme="minorHAnsi" w:cstheme="minorHAnsi"/>
          <w:sz w:val="22"/>
          <w:szCs w:val="22"/>
        </w:rPr>
      </w:pPr>
      <w:sdt>
        <w:sdtPr>
          <w:rPr>
            <w:rFonts w:asciiTheme="minorHAnsi" w:hAnsiTheme="minorHAnsi" w:cstheme="minorHAnsi"/>
          </w:rPr>
          <w:tag w:val="goog_rdk_871"/>
          <w:id w:val="1289786222"/>
        </w:sdtPr>
        <w:sdtEndPr/>
        <w:sdtContent>
          <w:sdt>
            <w:sdtPr>
              <w:rPr>
                <w:rFonts w:asciiTheme="minorHAnsi" w:hAnsiTheme="minorHAnsi" w:cstheme="minorHAnsi"/>
              </w:rPr>
              <w:tag w:val="goog_rdk_852"/>
              <w:id w:val="-1902206607"/>
            </w:sdtPr>
            <w:sdtEndPr/>
            <w:sdtContent>
              <w:r w:rsidR="00031496">
                <w:rPr>
                  <w:rFonts w:asciiTheme="minorHAnsi" w:hAnsiTheme="minorHAnsi" w:cstheme="minorHAnsi"/>
                  <w:sz w:val="22"/>
                  <w:szCs w:val="22"/>
                </w:rPr>
                <w:t>A</w:t>
              </w:r>
            </w:sdtContent>
          </w:sdt>
          <w:r w:rsidR="00031496">
            <w:rPr>
              <w:rFonts w:asciiTheme="minorHAnsi" w:hAnsiTheme="minorHAnsi" w:cstheme="minorHAnsi"/>
              <w:sz w:val="22"/>
              <w:szCs w:val="22"/>
            </w:rPr>
            <w:t xml:space="preserve">s the Blue Economy </w:t>
          </w:r>
          <w:sdt>
            <w:sdtPr>
              <w:rPr>
                <w:rFonts w:asciiTheme="minorHAnsi" w:hAnsiTheme="minorHAnsi" w:cstheme="minorHAnsi"/>
              </w:rPr>
              <w:tag w:val="goog_rdk_854"/>
              <w:id w:val="-1140105111"/>
            </w:sdtPr>
            <w:sdtEndPr/>
            <w:sdtContent>
              <w:r w:rsidR="00031496">
                <w:rPr>
                  <w:rFonts w:asciiTheme="minorHAnsi" w:hAnsiTheme="minorHAnsi" w:cstheme="minorHAnsi"/>
                  <w:sz w:val="22"/>
                  <w:szCs w:val="22"/>
                </w:rPr>
                <w:t>expands</w:t>
              </w:r>
            </w:sdtContent>
          </w:sdt>
          <w:r w:rsidR="00031496">
            <w:rPr>
              <w:rFonts w:asciiTheme="minorHAnsi" w:hAnsiTheme="minorHAnsi" w:cstheme="minorHAnsi"/>
              <w:sz w:val="22"/>
              <w:szCs w:val="22"/>
            </w:rPr>
            <w:t xml:space="preserve">, the natural assets of the oceans and seas face </w:t>
          </w:r>
          <w:sdt>
            <w:sdtPr>
              <w:rPr>
                <w:rFonts w:asciiTheme="minorHAnsi" w:hAnsiTheme="minorHAnsi" w:cstheme="minorHAnsi"/>
              </w:rPr>
              <w:tag w:val="goog_rdk_855"/>
              <w:id w:val="-398292519"/>
            </w:sdtPr>
            <w:sdtEndPr/>
            <w:sdtContent>
              <w:r w:rsidR="00031496">
                <w:rPr>
                  <w:rFonts w:asciiTheme="minorHAnsi" w:hAnsiTheme="minorHAnsi" w:cstheme="minorHAnsi"/>
                  <w:sz w:val="22"/>
                  <w:szCs w:val="22"/>
                </w:rPr>
                <w:t>increasing and cumulative</w:t>
              </w:r>
            </w:sdtContent>
          </w:sdt>
          <w:r w:rsidR="00031496">
            <w:rPr>
              <w:rFonts w:asciiTheme="minorHAnsi" w:hAnsiTheme="minorHAnsi" w:cstheme="minorHAnsi"/>
              <w:sz w:val="22"/>
              <w:szCs w:val="22"/>
            </w:rPr>
            <w:t xml:space="preserve"> pressures. Competition for ocean space will increase when economic activities boost and generate added demand in ocean-related industries. There is an immediate need to manage oceans and seas more coherently and safeguard them against activities that undermine the basis on which ocean industries depend. A sustainable blue economy calls for a strategic and integrated approach to </w:t>
          </w:r>
          <w:sdt>
            <w:sdtPr>
              <w:rPr>
                <w:rFonts w:asciiTheme="minorHAnsi" w:hAnsiTheme="minorHAnsi" w:cstheme="minorHAnsi"/>
              </w:rPr>
              <w:tag w:val="goog_rdk_857"/>
              <w:id w:val="1946731095"/>
            </w:sdtPr>
            <w:sdtEndPr/>
            <w:sdtContent>
              <w:r w:rsidR="00031496">
                <w:rPr>
                  <w:rFonts w:asciiTheme="minorHAnsi" w:hAnsiTheme="minorHAnsi" w:cstheme="minorHAnsi"/>
                  <w:sz w:val="22"/>
                  <w:szCs w:val="22"/>
                </w:rPr>
                <w:t xml:space="preserve">sound </w:t>
              </w:r>
            </w:sdtContent>
          </w:sdt>
          <w:r w:rsidR="00031496">
            <w:rPr>
              <w:rFonts w:asciiTheme="minorHAnsi" w:hAnsiTheme="minorHAnsi" w:cstheme="minorHAnsi"/>
              <w:sz w:val="22"/>
              <w:szCs w:val="22"/>
            </w:rPr>
            <w:t>planning the development of oceans and sea</w:t>
          </w:r>
          <w:sdt>
            <w:sdtPr>
              <w:rPr>
                <w:rFonts w:asciiTheme="minorHAnsi" w:hAnsiTheme="minorHAnsi" w:cstheme="minorHAnsi"/>
              </w:rPr>
              <w:tag w:val="goog_rdk_858"/>
              <w:id w:val="-107288387"/>
            </w:sdtPr>
            <w:sdtEndPr/>
            <w:sdtContent>
              <w:r w:rsidR="00031496">
                <w:rPr>
                  <w:rFonts w:asciiTheme="minorHAnsi" w:hAnsiTheme="minorHAnsi" w:cstheme="minorHAnsi"/>
                  <w:sz w:val="22"/>
                  <w:szCs w:val="22"/>
                </w:rPr>
                <w:t xml:space="preserve"> area</w:t>
              </w:r>
            </w:sdtContent>
          </w:sdt>
          <w:r w:rsidR="00031496">
            <w:rPr>
              <w:rFonts w:asciiTheme="minorHAnsi" w:hAnsiTheme="minorHAnsi" w:cstheme="minorHAnsi"/>
              <w:sz w:val="22"/>
              <w:szCs w:val="22"/>
            </w:rPr>
            <w:t xml:space="preserve">s. MSP is increasingly gaining a reputation as a powerful instrument to put ‘ocean space’ on the sustainable development agenda and </w:t>
          </w:r>
          <w:sdt>
            <w:sdtPr>
              <w:rPr>
                <w:rFonts w:asciiTheme="minorHAnsi" w:hAnsiTheme="minorHAnsi" w:cstheme="minorHAnsi"/>
              </w:rPr>
              <w:tag w:val="goog_rdk_860"/>
              <w:id w:val="389091107"/>
            </w:sdtPr>
            <w:sdtEndPr/>
            <w:sdtContent>
              <w:r w:rsidR="00031496">
                <w:rPr>
                  <w:rFonts w:asciiTheme="minorHAnsi" w:hAnsiTheme="minorHAnsi" w:cstheme="minorHAnsi"/>
                  <w:sz w:val="22"/>
                  <w:szCs w:val="22"/>
                </w:rPr>
                <w:t xml:space="preserve">support </w:t>
              </w:r>
            </w:sdtContent>
          </w:sdt>
          <w:r w:rsidR="00031496">
            <w:rPr>
              <w:rFonts w:asciiTheme="minorHAnsi" w:hAnsiTheme="minorHAnsi" w:cstheme="minorHAnsi"/>
              <w:sz w:val="22"/>
              <w:szCs w:val="22"/>
            </w:rPr>
            <w:t xml:space="preserve">a development path towards a sustainable blue economy. However, MSP </w:t>
          </w:r>
          <w:sdt>
            <w:sdtPr>
              <w:rPr>
                <w:rFonts w:asciiTheme="minorHAnsi" w:hAnsiTheme="minorHAnsi" w:cstheme="minorHAnsi"/>
              </w:rPr>
              <w:tag w:val="goog_rdk_863"/>
              <w:id w:val="195591031"/>
            </w:sdtPr>
            <w:sdtEndPr/>
            <w:sdtContent>
              <w:r w:rsidR="00031496">
                <w:rPr>
                  <w:rFonts w:asciiTheme="minorHAnsi" w:hAnsiTheme="minorHAnsi" w:cstheme="minorHAnsi"/>
                  <w:sz w:val="22"/>
                  <w:szCs w:val="22"/>
                </w:rPr>
                <w:t>should</w:t>
              </w:r>
            </w:sdtContent>
          </w:sdt>
          <w:sdt>
            <w:sdtPr>
              <w:rPr>
                <w:rFonts w:asciiTheme="minorHAnsi" w:hAnsiTheme="minorHAnsi" w:cstheme="minorHAnsi"/>
              </w:rPr>
              <w:tag w:val="goog_rdk_864"/>
              <w:id w:val="-748420991"/>
            </w:sdtPr>
            <w:sdtEndPr/>
            <w:sdtContent>
              <w:r w:rsidR="00031496">
                <w:rPr>
                  <w:rFonts w:asciiTheme="minorHAnsi" w:hAnsiTheme="minorHAnsi" w:cstheme="minorHAnsi"/>
                  <w:sz w:val="22"/>
                  <w:szCs w:val="22"/>
                </w:rPr>
                <w:t xml:space="preserve"> be embedded in a broad policy and strategic planning context geared to deliver both social, economic and environmental development objectives beyond a mostly maritime-focused</w:t>
              </w:r>
            </w:sdtContent>
          </w:sdt>
          <w:r w:rsidR="00031496">
            <w:rPr>
              <w:rFonts w:asciiTheme="minorHAnsi" w:hAnsiTheme="minorHAnsi" w:cstheme="minorHAnsi"/>
              <w:sz w:val="22"/>
              <w:szCs w:val="22"/>
            </w:rPr>
            <w:t xml:space="preserve"> </w:t>
          </w:r>
          <w:sdt>
            <w:sdtPr>
              <w:rPr>
                <w:rFonts w:asciiTheme="minorHAnsi" w:hAnsiTheme="minorHAnsi" w:cstheme="minorHAnsi"/>
              </w:rPr>
              <w:tag w:val="goog_rdk_866"/>
              <w:id w:val="-1708249867"/>
            </w:sdtPr>
            <w:sdtEndPr/>
            <w:sdtContent>
              <w:r w:rsidR="00031496">
                <w:rPr>
                  <w:rFonts w:asciiTheme="minorHAnsi" w:hAnsiTheme="minorHAnsi" w:cstheme="minorHAnsi"/>
                  <w:sz w:val="22"/>
                  <w:szCs w:val="22"/>
                </w:rPr>
                <w:t>“</w:t>
              </w:r>
            </w:sdtContent>
          </w:sdt>
          <w:r w:rsidR="00031496">
            <w:rPr>
              <w:rFonts w:asciiTheme="minorHAnsi" w:hAnsiTheme="minorHAnsi" w:cstheme="minorHAnsi"/>
              <w:sz w:val="22"/>
              <w:szCs w:val="22"/>
            </w:rPr>
            <w:t xml:space="preserve">Blue Economy''. </w:t>
          </w:r>
          <w:sdt>
            <w:sdtPr>
              <w:rPr>
                <w:rFonts w:asciiTheme="minorHAnsi" w:hAnsiTheme="minorHAnsi" w:cstheme="minorHAnsi"/>
              </w:rPr>
              <w:tag w:val="goog_rdk_867"/>
              <w:id w:val="212093092"/>
            </w:sdtPr>
            <w:sdtEndPr/>
            <w:sdtContent>
              <w:r w:rsidR="00031496">
                <w:rPr>
                  <w:rFonts w:asciiTheme="minorHAnsi" w:hAnsiTheme="minorHAnsi" w:cstheme="minorHAnsi"/>
                  <w:sz w:val="22"/>
                  <w:szCs w:val="22"/>
                </w:rPr>
                <w:t xml:space="preserve">Following the above, the “Blue Economy” could be defined as </w:t>
              </w:r>
            </w:sdtContent>
          </w:sdt>
          <w:sdt>
            <w:sdtPr>
              <w:rPr>
                <w:rFonts w:asciiTheme="minorHAnsi" w:hAnsiTheme="minorHAnsi" w:cstheme="minorHAnsi"/>
              </w:rPr>
              <w:tag w:val="goog_rdk_868"/>
              <w:id w:val="418373035"/>
            </w:sdtPr>
            <w:sdtEndPr/>
            <w:sdtContent>
              <w:r w:rsidR="00031496">
                <w:rPr>
                  <w:rFonts w:asciiTheme="minorHAnsi" w:hAnsiTheme="minorHAnsi" w:cstheme="minorHAnsi"/>
                  <w:sz w:val="22"/>
                  <w:szCs w:val="22"/>
                </w:rPr>
                <w:t>an economy</w:t>
              </w:r>
            </w:sdtContent>
          </w:sdt>
          <w:sdt>
            <w:sdtPr>
              <w:rPr>
                <w:rFonts w:asciiTheme="minorHAnsi" w:hAnsiTheme="minorHAnsi" w:cstheme="minorHAnsi"/>
              </w:rPr>
              <w:tag w:val="goog_rdk_869"/>
              <w:id w:val="1531443659"/>
            </w:sdtPr>
            <w:sdtEndPr/>
            <w:sdtContent>
              <w:r w:rsidR="00031496">
                <w:rPr>
                  <w:rFonts w:asciiTheme="minorHAnsi" w:hAnsiTheme="minorHAnsi" w:cstheme="minorHAnsi"/>
                  <w:sz w:val="22"/>
                  <w:szCs w:val="22"/>
                </w:rPr>
                <w:t xml:space="preserve"> that seeks to halt the loss of biodiversity and to harness the power of natural capital and the benefits that marine ecosystems provide. It is an economy based on circularity, collaboration, resilience, opportunity, and interdependence. Its growth is driven by investments that ensure the sustainable use of marine and coastal resources while also reducing carbon emissions and pollution, enhancing energy efficiency, promoting sustainable, resilient and inclusive economic growth, and preserving and improving livelihoods across a range of sectors. </w:t>
              </w:r>
            </w:sdtContent>
          </w:sdt>
          <w:sdt>
            <w:sdtPr>
              <w:rPr>
                <w:rFonts w:asciiTheme="minorHAnsi" w:hAnsiTheme="minorHAnsi" w:cstheme="minorHAnsi"/>
              </w:rPr>
              <w:tag w:val="goog_rdk_870"/>
              <w:id w:val="1518188471"/>
              <w:showingPlcHdr/>
            </w:sdtPr>
            <w:sdtEndPr/>
            <w:sdtContent>
              <w:r w:rsidR="00031496">
                <w:rPr>
                  <w:rFonts w:asciiTheme="minorHAnsi" w:hAnsiTheme="minorHAnsi" w:cstheme="minorHAnsi"/>
                </w:rPr>
                <w:t xml:space="preserve">     </w:t>
              </w:r>
            </w:sdtContent>
          </w:sdt>
        </w:sdtContent>
      </w:sdt>
      <w:sdt>
        <w:sdtPr>
          <w:rPr>
            <w:rFonts w:asciiTheme="minorHAnsi" w:hAnsiTheme="minorHAnsi" w:cstheme="minorHAnsi"/>
          </w:rPr>
          <w:tag w:val="goog_rdk_874"/>
          <w:id w:val="320013833"/>
        </w:sdtPr>
        <w:sdtEndPr/>
        <w:sdtContent>
          <w:sdt>
            <w:sdtPr>
              <w:rPr>
                <w:rFonts w:asciiTheme="minorHAnsi" w:hAnsiTheme="minorHAnsi" w:cstheme="minorHAnsi"/>
              </w:rPr>
              <w:tag w:val="goog_rdk_873"/>
              <w:id w:val="866484005"/>
            </w:sdtPr>
            <w:sdtEndPr/>
            <w:sdtContent/>
          </w:sdt>
        </w:sdtContent>
      </w:sdt>
    </w:p>
    <w:sdt>
      <w:sdtPr>
        <w:rPr>
          <w:rFonts w:asciiTheme="minorHAnsi" w:hAnsiTheme="minorHAnsi" w:cstheme="minorHAnsi"/>
        </w:rPr>
        <w:tag w:val="goog_rdk_877"/>
        <w:id w:val="-702471926"/>
      </w:sdtPr>
      <w:sdtEndPr/>
      <w:sdtContent>
        <w:p w14:paraId="4D1C6517" w14:textId="77777777" w:rsidR="00031496" w:rsidRDefault="00F57A55" w:rsidP="00031496">
          <w:pPr>
            <w:jc w:val="both"/>
            <w:rPr>
              <w:rFonts w:asciiTheme="minorHAnsi" w:hAnsiTheme="minorHAnsi" w:cstheme="minorHAnsi"/>
              <w:sz w:val="22"/>
              <w:szCs w:val="22"/>
            </w:rPr>
          </w:pPr>
          <w:sdt>
            <w:sdtPr>
              <w:rPr>
                <w:rFonts w:asciiTheme="minorHAnsi" w:hAnsiTheme="minorHAnsi" w:cstheme="minorHAnsi"/>
              </w:rPr>
              <w:tag w:val="goog_rdk_876"/>
              <w:id w:val="-668488190"/>
              <w:showingPlcHdr/>
            </w:sdtPr>
            <w:sdtEndPr/>
            <w:sdtContent>
              <w:r w:rsidR="00031496">
                <w:rPr>
                  <w:rFonts w:asciiTheme="minorHAnsi" w:hAnsiTheme="minorHAnsi" w:cstheme="minorHAnsi"/>
                </w:rPr>
                <w:t xml:space="preserve">     </w:t>
              </w:r>
            </w:sdtContent>
          </w:sdt>
        </w:p>
      </w:sdtContent>
    </w:sdt>
    <w:p w14:paraId="555EF759" w14:textId="77777777" w:rsidR="00031496" w:rsidRDefault="00F57A55" w:rsidP="00031496">
      <w:pPr>
        <w:jc w:val="both"/>
        <w:rPr>
          <w:rFonts w:asciiTheme="minorHAnsi" w:hAnsiTheme="minorHAnsi" w:cstheme="minorHAnsi"/>
          <w:sz w:val="22"/>
          <w:szCs w:val="22"/>
        </w:rPr>
      </w:pPr>
      <w:sdt>
        <w:sdtPr>
          <w:rPr>
            <w:rFonts w:asciiTheme="minorHAnsi" w:hAnsiTheme="minorHAnsi" w:cstheme="minorHAnsi"/>
          </w:rPr>
          <w:tag w:val="goog_rdk_880"/>
          <w:id w:val="-1075499792"/>
        </w:sdtPr>
        <w:sdtEndPr/>
        <w:sdtContent>
          <w:sdt>
            <w:sdtPr>
              <w:rPr>
                <w:rFonts w:asciiTheme="minorHAnsi" w:hAnsiTheme="minorHAnsi" w:cstheme="minorHAnsi"/>
              </w:rPr>
              <w:tag w:val="goog_rdk_879"/>
              <w:id w:val="-1050066462"/>
            </w:sdtPr>
            <w:sdtEndPr/>
            <w:sdtContent/>
          </w:sdt>
        </w:sdtContent>
      </w:sdt>
      <w:sdt>
        <w:sdtPr>
          <w:rPr>
            <w:rFonts w:asciiTheme="minorHAnsi" w:hAnsiTheme="minorHAnsi" w:cstheme="minorHAnsi"/>
          </w:rPr>
          <w:tag w:val="goog_rdk_890"/>
          <w:id w:val="1523519604"/>
        </w:sdtPr>
        <w:sdtEndPr/>
        <w:sdtContent>
          <w:sdt>
            <w:sdtPr>
              <w:rPr>
                <w:rFonts w:asciiTheme="minorHAnsi" w:hAnsiTheme="minorHAnsi" w:cstheme="minorHAnsi"/>
              </w:rPr>
              <w:tag w:val="goog_rdk_889"/>
              <w:id w:val="-426349423"/>
            </w:sdtPr>
            <w:sdtEndPr/>
            <w:sdtContent/>
          </w:sdt>
        </w:sdtContent>
      </w:sdt>
      <w:r w:rsidR="00031496">
        <w:rPr>
          <w:rFonts w:asciiTheme="minorHAnsi" w:hAnsiTheme="minorHAnsi" w:cstheme="minorHAnsi"/>
          <w:sz w:val="22"/>
          <w:szCs w:val="22"/>
        </w:rPr>
        <w:t xml:space="preserve">To foster progress towards more sustainable </w:t>
      </w:r>
      <w:sdt>
        <w:sdtPr>
          <w:rPr>
            <w:rFonts w:asciiTheme="minorHAnsi" w:hAnsiTheme="minorHAnsi" w:cstheme="minorHAnsi"/>
          </w:rPr>
          <w:tag w:val="goog_rdk_891"/>
          <w:id w:val="2080555721"/>
        </w:sdtPr>
        <w:sdtEndPr/>
        <w:sdtContent>
          <w:r w:rsidR="00031496">
            <w:rPr>
              <w:rFonts w:asciiTheme="minorHAnsi" w:hAnsiTheme="minorHAnsi" w:cstheme="minorHAnsi"/>
              <w:sz w:val="22"/>
              <w:szCs w:val="22"/>
            </w:rPr>
            <w:t xml:space="preserve">and equitable </w:t>
          </w:r>
        </w:sdtContent>
      </w:sdt>
      <w:r w:rsidR="00031496">
        <w:rPr>
          <w:rFonts w:asciiTheme="minorHAnsi" w:hAnsiTheme="minorHAnsi" w:cstheme="minorHAnsi"/>
          <w:sz w:val="22"/>
          <w:szCs w:val="22"/>
        </w:rPr>
        <w:t>use of marine and coastal resources</w:t>
      </w:r>
      <w:sdt>
        <w:sdtPr>
          <w:rPr>
            <w:rFonts w:asciiTheme="minorHAnsi" w:hAnsiTheme="minorHAnsi" w:cstheme="minorHAnsi"/>
          </w:rPr>
          <w:tag w:val="goog_rdk_892"/>
          <w:id w:val="-271868719"/>
        </w:sdtPr>
        <w:sdtEndPr/>
        <w:sdtContent>
          <w:r w:rsidR="00031496">
            <w:rPr>
              <w:rFonts w:asciiTheme="minorHAnsi" w:hAnsiTheme="minorHAnsi" w:cstheme="minorHAnsi"/>
              <w:sz w:val="22"/>
              <w:szCs w:val="22"/>
            </w:rPr>
            <w:t>,</w:t>
          </w:r>
        </w:sdtContent>
      </w:sdt>
      <w:r w:rsidR="00031496">
        <w:rPr>
          <w:rFonts w:asciiTheme="minorHAnsi" w:hAnsiTheme="minorHAnsi" w:cstheme="minorHAnsi"/>
          <w:sz w:val="22"/>
          <w:szCs w:val="22"/>
        </w:rPr>
        <w:t xml:space="preserve"> there is a</w:t>
      </w:r>
      <w:sdt>
        <w:sdtPr>
          <w:rPr>
            <w:rFonts w:asciiTheme="minorHAnsi" w:hAnsiTheme="minorHAnsi" w:cstheme="minorHAnsi"/>
          </w:rPr>
          <w:tag w:val="goog_rdk_893"/>
          <w:id w:val="1646851496"/>
        </w:sdtPr>
        <w:sdtEndPr/>
        <w:sdtContent>
          <w:r w:rsidR="00031496">
            <w:rPr>
              <w:rFonts w:asciiTheme="minorHAnsi" w:hAnsiTheme="minorHAnsi" w:cstheme="minorHAnsi"/>
              <w:sz w:val="22"/>
              <w:szCs w:val="22"/>
            </w:rPr>
            <w:t>n opportunity</w:t>
          </w:r>
        </w:sdtContent>
      </w:sdt>
      <w:r w:rsidR="00031496">
        <w:rPr>
          <w:rFonts w:asciiTheme="minorHAnsi" w:hAnsiTheme="minorHAnsi" w:cstheme="minorHAnsi"/>
          <w:sz w:val="22"/>
          <w:szCs w:val="22"/>
        </w:rPr>
        <w:t xml:space="preserve"> for coastal and island nations to deploy a suite of tools</w:t>
      </w:r>
      <w:sdt>
        <w:sdtPr>
          <w:rPr>
            <w:rFonts w:asciiTheme="minorHAnsi" w:hAnsiTheme="minorHAnsi" w:cstheme="minorHAnsi"/>
          </w:rPr>
          <w:tag w:val="goog_rdk_895"/>
          <w:id w:val="350617900"/>
        </w:sdtPr>
        <w:sdtEndPr/>
        <w:sdtContent>
          <w:r w:rsidR="00031496">
            <w:rPr>
              <w:rFonts w:asciiTheme="minorHAnsi" w:hAnsiTheme="minorHAnsi" w:cstheme="minorHAnsi"/>
              <w:sz w:val="22"/>
              <w:szCs w:val="22"/>
            </w:rPr>
            <w:t xml:space="preserve"> to enhance comprehensive ocean policy-making and implementation tailored for their specific context and needs</w:t>
          </w:r>
        </w:sdtContent>
      </w:sdt>
      <w:r w:rsidR="00031496">
        <w:rPr>
          <w:rFonts w:asciiTheme="minorHAnsi" w:hAnsiTheme="minorHAnsi" w:cstheme="minorHAnsi"/>
          <w:sz w:val="22"/>
          <w:szCs w:val="22"/>
        </w:rPr>
        <w:t xml:space="preserve">. These tools </w:t>
      </w:r>
      <w:sdt>
        <w:sdtPr>
          <w:rPr>
            <w:rFonts w:asciiTheme="minorHAnsi" w:hAnsiTheme="minorHAnsi" w:cstheme="minorHAnsi"/>
          </w:rPr>
          <w:tag w:val="goog_rdk_897"/>
          <w:id w:val="-1988240582"/>
        </w:sdtPr>
        <w:sdtEndPr/>
        <w:sdtContent>
          <w:r w:rsidR="00031496">
            <w:rPr>
              <w:rFonts w:asciiTheme="minorHAnsi" w:hAnsiTheme="minorHAnsi" w:cstheme="minorHAnsi"/>
              <w:sz w:val="22"/>
              <w:szCs w:val="22"/>
            </w:rPr>
            <w:t xml:space="preserve">can </w:t>
          </w:r>
        </w:sdtContent>
      </w:sdt>
      <w:r w:rsidR="00031496">
        <w:rPr>
          <w:rFonts w:asciiTheme="minorHAnsi" w:hAnsiTheme="minorHAnsi" w:cstheme="minorHAnsi"/>
          <w:sz w:val="22"/>
          <w:szCs w:val="22"/>
        </w:rPr>
        <w:t xml:space="preserve">foster a holistic understanding of the opportunities and constraints that lie within Exclusive Economic Zones (EEZs) to inform policy formulation, adoption and investment processes towards long-term environmental sustainability. </w:t>
      </w:r>
      <w:sdt>
        <w:sdtPr>
          <w:rPr>
            <w:rFonts w:asciiTheme="minorHAnsi" w:hAnsiTheme="minorHAnsi" w:cstheme="minorHAnsi"/>
          </w:rPr>
          <w:tag w:val="goog_rdk_898"/>
          <w:id w:val="-1180118029"/>
        </w:sdtPr>
        <w:sdtEndPr/>
        <w:sdtContent>
          <w:r w:rsidR="00031496">
            <w:rPr>
              <w:rFonts w:asciiTheme="minorHAnsi" w:hAnsiTheme="minorHAnsi" w:cstheme="minorHAnsi"/>
              <w:sz w:val="22"/>
              <w:szCs w:val="22"/>
            </w:rPr>
            <w:t>This includes decision-support tools for development and implementation of tailored pathways towards sustainable, resilient and inclusive blue economies</w:t>
          </w:r>
        </w:sdtContent>
      </w:sdt>
      <w:sdt>
        <w:sdtPr>
          <w:rPr>
            <w:rFonts w:asciiTheme="minorHAnsi" w:hAnsiTheme="minorHAnsi" w:cstheme="minorHAnsi"/>
          </w:rPr>
          <w:tag w:val="goog_rdk_899"/>
          <w:id w:val="-2138238881"/>
        </w:sdtPr>
        <w:sdtEndPr/>
        <w:sdtContent>
          <w:r w:rsidR="00031496">
            <w:rPr>
              <w:rFonts w:asciiTheme="minorHAnsi" w:hAnsiTheme="minorHAnsi" w:cstheme="minorHAnsi"/>
              <w:sz w:val="22"/>
              <w:szCs w:val="22"/>
            </w:rPr>
            <w:t xml:space="preserve"> and</w:t>
          </w:r>
        </w:sdtContent>
      </w:sdt>
      <w:sdt>
        <w:sdtPr>
          <w:rPr>
            <w:rFonts w:asciiTheme="minorHAnsi" w:hAnsiTheme="minorHAnsi" w:cstheme="minorHAnsi"/>
          </w:rPr>
          <w:tag w:val="goog_rdk_900"/>
          <w:id w:val="1273132209"/>
        </w:sdtPr>
        <w:sdtEndPr/>
        <w:sdtContent>
          <w:r w:rsidR="00031496">
            <w:rPr>
              <w:rFonts w:asciiTheme="minorHAnsi" w:hAnsiTheme="minorHAnsi" w:cstheme="minorHAnsi"/>
              <w:sz w:val="22"/>
              <w:szCs w:val="22"/>
            </w:rPr>
            <w:t xml:space="preserve"> guidance on institutional arrangement to strengthen</w:t>
          </w:r>
        </w:sdtContent>
      </w:sdt>
      <w:r w:rsidR="00031496">
        <w:rPr>
          <w:rFonts w:asciiTheme="minorHAnsi" w:hAnsiTheme="minorHAnsi" w:cstheme="minorHAnsi"/>
          <w:sz w:val="22"/>
          <w:szCs w:val="22"/>
        </w:rPr>
        <w:t xml:space="preserve"> Blue Economy opportunities including regional cooperation and national action.</w:t>
      </w:r>
    </w:p>
    <w:sdt>
      <w:sdtPr>
        <w:rPr>
          <w:rFonts w:asciiTheme="minorHAnsi" w:hAnsiTheme="minorHAnsi" w:cstheme="minorHAnsi"/>
        </w:rPr>
        <w:tag w:val="goog_rdk_905"/>
        <w:id w:val="-1065882061"/>
      </w:sdtPr>
      <w:sdtEndPr/>
      <w:sdtContent>
        <w:p w14:paraId="374402ED" w14:textId="77777777" w:rsidR="00031496" w:rsidRDefault="00F57A55" w:rsidP="00031496">
          <w:pPr>
            <w:jc w:val="both"/>
            <w:rPr>
              <w:rFonts w:asciiTheme="minorHAnsi" w:hAnsiTheme="minorHAnsi" w:cstheme="minorHAnsi"/>
              <w:sz w:val="22"/>
              <w:szCs w:val="22"/>
            </w:rPr>
          </w:pPr>
          <w:sdt>
            <w:sdtPr>
              <w:rPr>
                <w:rFonts w:asciiTheme="minorHAnsi" w:hAnsiTheme="minorHAnsi" w:cstheme="minorHAnsi"/>
              </w:rPr>
              <w:tag w:val="goog_rdk_904"/>
              <w:id w:val="-725688254"/>
            </w:sdtPr>
            <w:sdtEndPr/>
            <w:sdtContent/>
          </w:sdt>
        </w:p>
      </w:sdtContent>
    </w:sdt>
    <w:p w14:paraId="4730FFA9"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In the GEF LME:LEARN project, </w:t>
      </w:r>
      <w:sdt>
        <w:sdtPr>
          <w:rPr>
            <w:rFonts w:asciiTheme="minorHAnsi" w:hAnsiTheme="minorHAnsi" w:cstheme="minorHAnsi"/>
          </w:rPr>
          <w:tag w:val="goog_rdk_906"/>
          <w:id w:val="2124034933"/>
        </w:sdtPr>
        <w:sdtEndPr/>
        <w:sdtContent>
          <w:r>
            <w:rPr>
              <w:rFonts w:asciiTheme="minorHAnsi" w:hAnsiTheme="minorHAnsi" w:cstheme="minorHAnsi"/>
              <w:sz w:val="22"/>
              <w:szCs w:val="22"/>
            </w:rPr>
            <w:t xml:space="preserve">implemented in parallel with the previous phase of IW:LEARN, </w:t>
          </w:r>
        </w:sdtContent>
      </w:sdt>
      <w:r>
        <w:rPr>
          <w:rFonts w:asciiTheme="minorHAnsi" w:hAnsiTheme="minorHAnsi" w:cstheme="minorHAnsi"/>
          <w:sz w:val="22"/>
          <w:szCs w:val="22"/>
        </w:rPr>
        <w:t xml:space="preserve">significant advances were made with the preparation of programmatic guidance materials for the LME portfolio. That project delivered the first toolkit on transboundary MSP, as well as an accompanying blended training course, in close collaboration with IOC of UNESCO and UNDP Cap-Net, which also included the Blue Economy module. Three regional trainings were conducted for the LME portfolio, </w:t>
      </w:r>
      <w:r>
        <w:rPr>
          <w:rFonts w:asciiTheme="minorHAnsi" w:hAnsiTheme="minorHAnsi" w:cstheme="minorHAnsi"/>
          <w:sz w:val="22"/>
          <w:szCs w:val="22"/>
        </w:rPr>
        <w:lastRenderedPageBreak/>
        <w:t xml:space="preserve">as well as project stakeholders from other GEF focal areas. In addition, the GEF LME:LEARN project produced an analysis of the existing information management practices for Data and Information Management (DIM) in the context of Large Marine Ecosystems, and developed a catalogue of information and indicators needed for LME management and accompanying action plan to implement the respective recommendations. </w:t>
      </w:r>
    </w:p>
    <w:p w14:paraId="3DCCCDC3" w14:textId="77777777" w:rsidR="00031496" w:rsidRDefault="00031496" w:rsidP="00031496">
      <w:pPr>
        <w:jc w:val="both"/>
        <w:rPr>
          <w:rFonts w:asciiTheme="minorHAnsi" w:hAnsiTheme="minorHAnsi" w:cstheme="minorHAnsi"/>
          <w:sz w:val="22"/>
          <w:szCs w:val="22"/>
        </w:rPr>
      </w:pPr>
    </w:p>
    <w:p w14:paraId="74FE83B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20th LME Annual Consultation Meeting, held in November 2018 in Marrakech (Morocco) discussed the issue of integrating MSP in</w:t>
      </w:r>
      <w:sdt>
        <w:sdtPr>
          <w:rPr>
            <w:rFonts w:asciiTheme="minorHAnsi" w:hAnsiTheme="minorHAnsi" w:cstheme="minorHAnsi"/>
          </w:rPr>
          <w:tag w:val="goog_rdk_907"/>
          <w:id w:val="1582795452"/>
        </w:sdtPr>
        <w:sdtEndPr/>
        <w:sdtContent>
          <w:r>
            <w:rPr>
              <w:rFonts w:asciiTheme="minorHAnsi" w:hAnsiTheme="minorHAnsi" w:cstheme="minorHAnsi"/>
              <w:sz w:val="22"/>
              <w:szCs w:val="22"/>
            </w:rPr>
            <w:t>to</w:t>
          </w:r>
        </w:sdtContent>
      </w:sdt>
      <w:r>
        <w:rPr>
          <w:rFonts w:asciiTheme="minorHAnsi" w:hAnsiTheme="minorHAnsi" w:cstheme="minorHAnsi"/>
          <w:sz w:val="22"/>
          <w:szCs w:val="22"/>
        </w:rPr>
        <w:t xml:space="preserve"> the TDA-SAP process, its challenges and synergies, elements for integration, expected outputs and possible methodological approaches. The participants supported the initiative by stressing that MSP may be an important tool for the SAP implementation but that some methodological issues need to be solved. They particularly stressed the fact that because SAP is a problem-solving tool with a potential to offer many opportunities, it is similar to MSP, which is built upon the similar premises. In addition, both tools have a very strong transboundary connotation.</w:t>
      </w:r>
    </w:p>
    <w:p w14:paraId="6310B197" w14:textId="77777777" w:rsidR="00031496" w:rsidRDefault="00031496" w:rsidP="00031496">
      <w:pPr>
        <w:jc w:val="both"/>
        <w:rPr>
          <w:rFonts w:asciiTheme="minorHAnsi" w:hAnsiTheme="minorHAnsi" w:cstheme="minorHAnsi"/>
          <w:sz w:val="22"/>
          <w:szCs w:val="22"/>
        </w:rPr>
      </w:pPr>
    </w:p>
    <w:p w14:paraId="1279D615"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In this phase, IW:LEARN will focus on development of a practical methodological approach for integration of MSP </w:t>
      </w:r>
      <w:sdt>
        <w:sdtPr>
          <w:rPr>
            <w:rFonts w:asciiTheme="minorHAnsi" w:hAnsiTheme="minorHAnsi" w:cstheme="minorHAnsi"/>
          </w:rPr>
          <w:tag w:val="goog_rdk_908"/>
          <w:id w:val="-1554071170"/>
        </w:sdtPr>
        <w:sdtEndPr/>
        <w:sdtContent>
          <w:r>
            <w:rPr>
              <w:rFonts w:asciiTheme="minorHAnsi" w:hAnsiTheme="minorHAnsi" w:cstheme="minorHAnsi"/>
              <w:sz w:val="22"/>
              <w:szCs w:val="22"/>
            </w:rPr>
            <w:t xml:space="preserve">and broader strategic planning </w:t>
          </w:r>
        </w:sdtContent>
      </w:sdt>
      <w:r>
        <w:rPr>
          <w:rFonts w:asciiTheme="minorHAnsi" w:hAnsiTheme="minorHAnsi" w:cstheme="minorHAnsi"/>
          <w:sz w:val="22"/>
          <w:szCs w:val="22"/>
        </w:rPr>
        <w:t xml:space="preserve">into the TDA-SAP process with a view of incorporating opportunities </w:t>
      </w:r>
      <w:sdt>
        <w:sdtPr>
          <w:rPr>
            <w:rFonts w:asciiTheme="minorHAnsi" w:hAnsiTheme="minorHAnsi" w:cstheme="minorHAnsi"/>
          </w:rPr>
          <w:tag w:val="goog_rdk_910"/>
          <w:id w:val="1948036511"/>
        </w:sdtPr>
        <w:sdtEndPr/>
        <w:sdtContent>
          <w:r>
            <w:rPr>
              <w:rFonts w:asciiTheme="minorHAnsi" w:hAnsiTheme="minorHAnsi" w:cstheme="minorHAnsi"/>
              <w:sz w:val="22"/>
              <w:szCs w:val="22"/>
            </w:rPr>
            <w:t xml:space="preserve">for development and </w:t>
          </w:r>
        </w:sdtContent>
      </w:sdt>
      <w:r>
        <w:rPr>
          <w:rFonts w:asciiTheme="minorHAnsi" w:hAnsiTheme="minorHAnsi" w:cstheme="minorHAnsi"/>
          <w:sz w:val="22"/>
          <w:szCs w:val="22"/>
        </w:rPr>
        <w:t xml:space="preserve">implementation of </w:t>
      </w:r>
      <w:sdt>
        <w:sdtPr>
          <w:rPr>
            <w:rFonts w:asciiTheme="minorHAnsi" w:hAnsiTheme="minorHAnsi" w:cstheme="minorHAnsi"/>
          </w:rPr>
          <w:tag w:val="goog_rdk_911"/>
          <w:id w:val="326554701"/>
        </w:sdtPr>
        <w:sdtEndPr/>
        <w:sdtContent>
          <w:r>
            <w:rPr>
              <w:rFonts w:asciiTheme="minorHAnsi" w:hAnsiTheme="minorHAnsi" w:cstheme="minorHAnsi"/>
              <w:sz w:val="22"/>
              <w:szCs w:val="22"/>
            </w:rPr>
            <w:t>sustainable b</w:t>
          </w:r>
        </w:sdtContent>
      </w:sdt>
      <w:r>
        <w:rPr>
          <w:rFonts w:asciiTheme="minorHAnsi" w:hAnsiTheme="minorHAnsi" w:cstheme="minorHAnsi"/>
          <w:sz w:val="22"/>
          <w:szCs w:val="22"/>
        </w:rPr>
        <w:t xml:space="preserve">lue </w:t>
      </w:r>
      <w:sdt>
        <w:sdtPr>
          <w:rPr>
            <w:rFonts w:asciiTheme="minorHAnsi" w:hAnsiTheme="minorHAnsi" w:cstheme="minorHAnsi"/>
          </w:rPr>
          <w:tag w:val="goog_rdk_913"/>
          <w:id w:val="-144889858"/>
        </w:sdtPr>
        <w:sdtEndPr/>
        <w:sdtContent>
          <w:r>
            <w:rPr>
              <w:rFonts w:asciiTheme="minorHAnsi" w:hAnsiTheme="minorHAnsi" w:cstheme="minorHAnsi"/>
              <w:sz w:val="22"/>
              <w:szCs w:val="22"/>
            </w:rPr>
            <w:t>e</w:t>
          </w:r>
        </w:sdtContent>
      </w:sdt>
      <w:r>
        <w:rPr>
          <w:rFonts w:asciiTheme="minorHAnsi" w:hAnsiTheme="minorHAnsi" w:cstheme="minorHAnsi"/>
          <w:sz w:val="22"/>
          <w:szCs w:val="22"/>
        </w:rPr>
        <w:t xml:space="preserve">conomy strategies </w:t>
      </w:r>
      <w:sdt>
        <w:sdtPr>
          <w:rPr>
            <w:rFonts w:asciiTheme="minorHAnsi" w:hAnsiTheme="minorHAnsi" w:cstheme="minorHAnsi"/>
          </w:rPr>
          <w:tag w:val="goog_rdk_915"/>
          <w:id w:val="-2105563996"/>
        </w:sdtPr>
        <w:sdtEndPr/>
        <w:sdtContent>
          <w:r>
            <w:rPr>
              <w:rFonts w:asciiTheme="minorHAnsi" w:hAnsiTheme="minorHAnsi" w:cstheme="minorHAnsi"/>
              <w:sz w:val="22"/>
              <w:szCs w:val="22"/>
            </w:rPr>
            <w:t xml:space="preserve">and pathways </w:t>
          </w:r>
        </w:sdtContent>
      </w:sdt>
      <w:r>
        <w:rPr>
          <w:rFonts w:asciiTheme="minorHAnsi" w:hAnsiTheme="minorHAnsi" w:cstheme="minorHAnsi"/>
          <w:sz w:val="22"/>
          <w:szCs w:val="22"/>
        </w:rPr>
        <w:t>in Large Marine Ecosystems. Based on the methodology, a series of practical training workshops will be implemented in three regions: Asia and Pacific; Latin America and a Caribbean; and Africa and Indian Ocean.</w:t>
      </w:r>
    </w:p>
    <w:p w14:paraId="6716B081" w14:textId="77777777" w:rsidR="00031496" w:rsidRDefault="00031496" w:rsidP="00031496">
      <w:pPr>
        <w:jc w:val="both"/>
        <w:rPr>
          <w:rFonts w:asciiTheme="minorHAnsi" w:hAnsiTheme="minorHAnsi" w:cstheme="minorHAnsi"/>
          <w:sz w:val="22"/>
          <w:szCs w:val="22"/>
        </w:rPr>
      </w:pPr>
    </w:p>
    <w:p w14:paraId="6C7E2CA3"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sub-component will have the following principal objectives: </w:t>
      </w:r>
    </w:p>
    <w:p w14:paraId="3F835902" w14:textId="77777777" w:rsidR="00031496" w:rsidRDefault="00031496" w:rsidP="00031496">
      <w:pPr>
        <w:jc w:val="both"/>
        <w:rPr>
          <w:rFonts w:asciiTheme="minorHAnsi" w:hAnsiTheme="minorHAnsi" w:cstheme="minorHAnsi"/>
          <w:sz w:val="22"/>
          <w:szCs w:val="22"/>
        </w:rPr>
      </w:pPr>
    </w:p>
    <w:p w14:paraId="2CFA7BDE" w14:textId="77777777" w:rsidR="00031496" w:rsidRDefault="00031496" w:rsidP="00031496">
      <w:pPr>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Clarify methodological issues related to integration of MSP </w:t>
      </w:r>
      <w:sdt>
        <w:sdtPr>
          <w:rPr>
            <w:rFonts w:asciiTheme="minorHAnsi" w:hAnsiTheme="minorHAnsi" w:cstheme="minorHAnsi"/>
          </w:rPr>
          <w:tag w:val="goog_rdk_916"/>
          <w:id w:val="-1691137780"/>
        </w:sdtPr>
        <w:sdtEndPr/>
        <w:sdtContent>
          <w:r>
            <w:rPr>
              <w:rFonts w:asciiTheme="minorHAnsi" w:hAnsiTheme="minorHAnsi" w:cstheme="minorHAnsi"/>
              <w:sz w:val="22"/>
              <w:szCs w:val="22"/>
            </w:rPr>
            <w:t xml:space="preserve">and practical strategic planning of sustainable blue economy pathways </w:t>
          </w:r>
        </w:sdtContent>
      </w:sdt>
      <w:r>
        <w:rPr>
          <w:rFonts w:asciiTheme="minorHAnsi" w:hAnsiTheme="minorHAnsi" w:cstheme="minorHAnsi"/>
          <w:sz w:val="22"/>
          <w:szCs w:val="22"/>
        </w:rPr>
        <w:t>into TDA-SAP process and create a robust and practical procedure;</w:t>
      </w:r>
    </w:p>
    <w:p w14:paraId="206EBAD5" w14:textId="77777777" w:rsidR="00031496" w:rsidRDefault="00031496" w:rsidP="00031496">
      <w:pPr>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Strengthen the capacity of GEF project coordination units and their partner institutions to integrate MSP </w:t>
      </w:r>
      <w:sdt>
        <w:sdtPr>
          <w:rPr>
            <w:rFonts w:asciiTheme="minorHAnsi" w:hAnsiTheme="minorHAnsi" w:cstheme="minorHAnsi"/>
          </w:rPr>
          <w:tag w:val="goog_rdk_917"/>
          <w:id w:val="-1306769645"/>
        </w:sdtPr>
        <w:sdtEndPr/>
        <w:sdtContent>
          <w:r>
            <w:rPr>
              <w:rFonts w:asciiTheme="minorHAnsi" w:hAnsiTheme="minorHAnsi" w:cstheme="minorHAnsi"/>
              <w:sz w:val="22"/>
              <w:szCs w:val="22"/>
            </w:rPr>
            <w:t xml:space="preserve">and sustainable blue economy pathway identification </w:t>
          </w:r>
        </w:sdtContent>
      </w:sdt>
      <w:r>
        <w:rPr>
          <w:rFonts w:asciiTheme="minorHAnsi" w:hAnsiTheme="minorHAnsi" w:cstheme="minorHAnsi"/>
          <w:sz w:val="22"/>
          <w:szCs w:val="22"/>
        </w:rPr>
        <w:t>in</w:t>
      </w:r>
      <w:sdt>
        <w:sdtPr>
          <w:rPr>
            <w:rFonts w:asciiTheme="minorHAnsi" w:hAnsiTheme="minorHAnsi" w:cstheme="minorHAnsi"/>
          </w:rPr>
          <w:tag w:val="goog_rdk_918"/>
          <w:id w:val="-36896448"/>
        </w:sdtPr>
        <w:sdtEndPr/>
        <w:sdtContent>
          <w:r>
            <w:rPr>
              <w:rFonts w:asciiTheme="minorHAnsi" w:hAnsiTheme="minorHAnsi" w:cstheme="minorHAnsi"/>
              <w:sz w:val="22"/>
              <w:szCs w:val="22"/>
            </w:rPr>
            <w:t>to</w:t>
          </w:r>
        </w:sdtContent>
      </w:sdt>
      <w:r>
        <w:rPr>
          <w:rFonts w:asciiTheme="minorHAnsi" w:hAnsiTheme="minorHAnsi" w:cstheme="minorHAnsi"/>
          <w:sz w:val="22"/>
          <w:szCs w:val="22"/>
        </w:rPr>
        <w:t xml:space="preserve"> the TDA-SAP process; and</w:t>
      </w:r>
    </w:p>
    <w:p w14:paraId="53024649" w14:textId="77777777" w:rsidR="00031496" w:rsidRDefault="00031496" w:rsidP="00031496">
      <w:pPr>
        <w:numPr>
          <w:ilvl w:val="0"/>
          <w:numId w:val="56"/>
        </w:numPr>
        <w:jc w:val="both"/>
        <w:rPr>
          <w:rFonts w:asciiTheme="minorHAnsi" w:hAnsiTheme="minorHAnsi" w:cstheme="minorHAnsi"/>
          <w:sz w:val="22"/>
          <w:szCs w:val="22"/>
        </w:rPr>
      </w:pPr>
      <w:r>
        <w:rPr>
          <w:rFonts w:asciiTheme="minorHAnsi" w:hAnsiTheme="minorHAnsi" w:cstheme="minorHAnsi"/>
          <w:sz w:val="22"/>
          <w:szCs w:val="22"/>
        </w:rPr>
        <w:t xml:space="preserve">Strengthen the capacity of GEF project coordination units and their partner institutions to integrate the </w:t>
      </w:r>
      <w:sdt>
        <w:sdtPr>
          <w:rPr>
            <w:rFonts w:asciiTheme="minorHAnsi" w:hAnsiTheme="minorHAnsi" w:cstheme="minorHAnsi"/>
          </w:rPr>
          <w:tag w:val="goog_rdk_919"/>
          <w:id w:val="922686685"/>
        </w:sdtPr>
        <w:sdtEndPr/>
        <w:sdtContent>
          <w:r>
            <w:rPr>
              <w:rFonts w:asciiTheme="minorHAnsi" w:hAnsiTheme="minorHAnsi" w:cstheme="minorHAnsi"/>
              <w:sz w:val="22"/>
              <w:szCs w:val="22"/>
            </w:rPr>
            <w:t xml:space="preserve">sustainable </w:t>
          </w:r>
        </w:sdtContent>
      </w:sdt>
      <w:sdt>
        <w:sdtPr>
          <w:rPr>
            <w:rFonts w:asciiTheme="minorHAnsi" w:hAnsiTheme="minorHAnsi" w:cstheme="minorHAnsi"/>
          </w:rPr>
          <w:tag w:val="goog_rdk_921"/>
          <w:id w:val="659436064"/>
        </w:sdtPr>
        <w:sdtEndPr/>
        <w:sdtContent>
          <w:r>
            <w:rPr>
              <w:rFonts w:asciiTheme="minorHAnsi" w:hAnsiTheme="minorHAnsi" w:cstheme="minorHAnsi"/>
              <w:sz w:val="22"/>
              <w:szCs w:val="22"/>
            </w:rPr>
            <w:t>b</w:t>
          </w:r>
        </w:sdtContent>
      </w:sdt>
      <w:r>
        <w:rPr>
          <w:rFonts w:asciiTheme="minorHAnsi" w:hAnsiTheme="minorHAnsi" w:cstheme="minorHAnsi"/>
          <w:sz w:val="22"/>
          <w:szCs w:val="22"/>
        </w:rPr>
        <w:t xml:space="preserve">lue </w:t>
      </w:r>
      <w:sdt>
        <w:sdtPr>
          <w:rPr>
            <w:rFonts w:asciiTheme="minorHAnsi" w:hAnsiTheme="minorHAnsi" w:cstheme="minorHAnsi"/>
          </w:rPr>
          <w:tag w:val="goog_rdk_923"/>
          <w:id w:val="2011482955"/>
        </w:sdtPr>
        <w:sdtEndPr/>
        <w:sdtContent>
          <w:r>
            <w:rPr>
              <w:rFonts w:asciiTheme="minorHAnsi" w:hAnsiTheme="minorHAnsi" w:cstheme="minorHAnsi"/>
              <w:sz w:val="22"/>
              <w:szCs w:val="22"/>
            </w:rPr>
            <w:t>e</w:t>
          </w:r>
        </w:sdtContent>
      </w:sdt>
      <w:r>
        <w:rPr>
          <w:rFonts w:asciiTheme="minorHAnsi" w:hAnsiTheme="minorHAnsi" w:cstheme="minorHAnsi"/>
          <w:sz w:val="22"/>
          <w:szCs w:val="22"/>
        </w:rPr>
        <w:t>conomy principles in transboundary marine management using MSP</w:t>
      </w:r>
      <w:sdt>
        <w:sdtPr>
          <w:rPr>
            <w:rFonts w:asciiTheme="minorHAnsi" w:hAnsiTheme="minorHAnsi" w:cstheme="minorHAnsi"/>
          </w:rPr>
          <w:tag w:val="goog_rdk_925"/>
          <w:id w:val="1728030922"/>
        </w:sdtPr>
        <w:sdtEndPr/>
        <w:sdtContent>
          <w:r>
            <w:rPr>
              <w:rFonts w:asciiTheme="minorHAnsi" w:hAnsiTheme="minorHAnsi" w:cstheme="minorHAnsi"/>
              <w:sz w:val="22"/>
              <w:szCs w:val="22"/>
            </w:rPr>
            <w:t>, practical strategic planning and decisions-support</w:t>
          </w:r>
        </w:sdtContent>
      </w:sdt>
      <w:r>
        <w:rPr>
          <w:rFonts w:asciiTheme="minorHAnsi" w:hAnsiTheme="minorHAnsi" w:cstheme="minorHAnsi"/>
          <w:sz w:val="22"/>
          <w:szCs w:val="22"/>
        </w:rPr>
        <w:t xml:space="preserve"> tool</w:t>
      </w:r>
      <w:sdt>
        <w:sdtPr>
          <w:rPr>
            <w:rFonts w:asciiTheme="minorHAnsi" w:hAnsiTheme="minorHAnsi" w:cstheme="minorHAnsi"/>
          </w:rPr>
          <w:tag w:val="goog_rdk_927"/>
          <w:id w:val="-798069862"/>
        </w:sdtPr>
        <w:sdtEndPr/>
        <w:sdtContent>
          <w:r>
            <w:rPr>
              <w:rFonts w:asciiTheme="minorHAnsi" w:hAnsiTheme="minorHAnsi" w:cstheme="minorHAnsi"/>
              <w:sz w:val="22"/>
              <w:szCs w:val="22"/>
            </w:rPr>
            <w:t>s</w:t>
          </w:r>
        </w:sdtContent>
      </w:sdt>
      <w:r>
        <w:rPr>
          <w:rFonts w:asciiTheme="minorHAnsi" w:hAnsiTheme="minorHAnsi" w:cstheme="minorHAnsi"/>
          <w:sz w:val="22"/>
          <w:szCs w:val="22"/>
        </w:rPr>
        <w:t>.</w:t>
      </w:r>
    </w:p>
    <w:p w14:paraId="194F2E3F" w14:textId="77777777" w:rsidR="00031496" w:rsidRDefault="00031496" w:rsidP="00031496">
      <w:pPr>
        <w:jc w:val="both"/>
        <w:rPr>
          <w:rFonts w:asciiTheme="minorHAnsi" w:hAnsiTheme="minorHAnsi" w:cstheme="minorHAnsi"/>
          <w:sz w:val="22"/>
          <w:szCs w:val="22"/>
        </w:rPr>
      </w:pPr>
    </w:p>
    <w:p w14:paraId="0DADE48E"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Sub-Component 4.3 will contribute to the overall goal of the Component 4 by building the capacity of the project portfolio to implement the objectives of the GEF7 &amp; GEF8 strategy, particularly in the area of advancing MSP</w:t>
      </w:r>
      <w:sdt>
        <w:sdtPr>
          <w:rPr>
            <w:rFonts w:asciiTheme="minorHAnsi" w:hAnsiTheme="minorHAnsi" w:cstheme="minorHAnsi"/>
          </w:rPr>
          <w:tag w:val="goog_rdk_929"/>
          <w:id w:val="-1141951022"/>
        </w:sdtPr>
        <w:sdtEndPr/>
        <w:sdtContent>
          <w:r>
            <w:rPr>
              <w:rFonts w:asciiTheme="minorHAnsi" w:hAnsiTheme="minorHAnsi" w:cstheme="minorHAnsi"/>
              <w:sz w:val="22"/>
              <w:szCs w:val="22"/>
            </w:rPr>
            <w:t xml:space="preserve">,  strategic planning and decision-support across </w:t>
          </w:r>
        </w:sdtContent>
      </w:sdt>
      <w:r>
        <w:rPr>
          <w:rFonts w:asciiTheme="minorHAnsi" w:hAnsiTheme="minorHAnsi" w:cstheme="minorHAnsi"/>
          <w:sz w:val="22"/>
          <w:szCs w:val="22"/>
        </w:rPr>
        <w:t xml:space="preserve">LMEs in support of </w:t>
      </w:r>
      <w:sdt>
        <w:sdtPr>
          <w:rPr>
            <w:rFonts w:asciiTheme="minorHAnsi" w:hAnsiTheme="minorHAnsi" w:cstheme="minorHAnsi"/>
          </w:rPr>
          <w:tag w:val="goog_rdk_931"/>
          <w:id w:val="-2063781686"/>
        </w:sdtPr>
        <w:sdtEndPr/>
        <w:sdtContent>
          <w:r>
            <w:rPr>
              <w:rFonts w:asciiTheme="minorHAnsi" w:hAnsiTheme="minorHAnsi" w:cstheme="minorHAnsi"/>
              <w:sz w:val="22"/>
              <w:szCs w:val="22"/>
            </w:rPr>
            <w:t xml:space="preserve">developing and </w:t>
          </w:r>
        </w:sdtContent>
      </w:sdt>
      <w:r>
        <w:rPr>
          <w:rFonts w:asciiTheme="minorHAnsi" w:hAnsiTheme="minorHAnsi" w:cstheme="minorHAnsi"/>
          <w:sz w:val="22"/>
          <w:szCs w:val="22"/>
        </w:rPr>
        <w:t xml:space="preserve">implementing </w:t>
      </w:r>
      <w:sdt>
        <w:sdtPr>
          <w:rPr>
            <w:rFonts w:asciiTheme="minorHAnsi" w:hAnsiTheme="minorHAnsi" w:cstheme="minorHAnsi"/>
          </w:rPr>
          <w:tag w:val="goog_rdk_932"/>
          <w:id w:val="198058471"/>
        </w:sdtPr>
        <w:sdtEndPr/>
        <w:sdtContent>
          <w:r>
            <w:rPr>
              <w:rFonts w:asciiTheme="minorHAnsi" w:hAnsiTheme="minorHAnsi" w:cstheme="minorHAnsi"/>
              <w:sz w:val="22"/>
              <w:szCs w:val="22"/>
            </w:rPr>
            <w:t xml:space="preserve">environmentally sustainable </w:t>
          </w:r>
        </w:sdtContent>
      </w:sdt>
      <w:r>
        <w:rPr>
          <w:rFonts w:asciiTheme="minorHAnsi" w:hAnsiTheme="minorHAnsi" w:cstheme="minorHAnsi"/>
          <w:sz w:val="22"/>
          <w:szCs w:val="22"/>
        </w:rPr>
        <w:t>blue economy development strategies.</w:t>
      </w:r>
    </w:p>
    <w:p w14:paraId="6325E1DE" w14:textId="77777777" w:rsidR="00031496" w:rsidRDefault="00031496" w:rsidP="00031496">
      <w:pPr>
        <w:jc w:val="both"/>
        <w:rPr>
          <w:rFonts w:asciiTheme="minorHAnsi" w:hAnsiTheme="minorHAnsi" w:cstheme="minorHAnsi"/>
          <w:sz w:val="22"/>
          <w:szCs w:val="22"/>
        </w:rPr>
      </w:pPr>
    </w:p>
    <w:p w14:paraId="3F56EA06"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role of the PCU will be to work with partners to prepare the methodology for integration of MSP</w:t>
      </w:r>
      <w:sdt>
        <w:sdtPr>
          <w:rPr>
            <w:rFonts w:asciiTheme="minorHAnsi" w:hAnsiTheme="minorHAnsi" w:cstheme="minorHAnsi"/>
          </w:rPr>
          <w:tag w:val="goog_rdk_933"/>
          <w:id w:val="-169028752"/>
        </w:sdtPr>
        <w:sdtEndPr/>
        <w:sdtContent>
          <w:r>
            <w:rPr>
              <w:rFonts w:asciiTheme="minorHAnsi" w:hAnsiTheme="minorHAnsi" w:cstheme="minorHAnsi"/>
              <w:sz w:val="22"/>
              <w:szCs w:val="22"/>
            </w:rPr>
            <w:t xml:space="preserve"> and sustainable blue economy pathway identification</w:t>
          </w:r>
        </w:sdtContent>
      </w:sdt>
      <w:r>
        <w:rPr>
          <w:rFonts w:asciiTheme="minorHAnsi" w:hAnsiTheme="minorHAnsi" w:cstheme="minorHAnsi"/>
          <w:sz w:val="22"/>
          <w:szCs w:val="22"/>
        </w:rPr>
        <w:t xml:space="preserve"> into the TDA-SAP process, aiming at developing such an approach that will be easy to use in a variety of environmental and developmental contexts, as well as to carry out the capacity building exercises.</w:t>
      </w:r>
      <w:sdt>
        <w:sdtPr>
          <w:rPr>
            <w:rFonts w:asciiTheme="minorHAnsi" w:hAnsiTheme="minorHAnsi" w:cstheme="minorHAnsi"/>
          </w:rPr>
          <w:tag w:val="goog_rdk_934"/>
          <w:id w:val="-431437644"/>
          <w:showingPlcHdr/>
        </w:sdtPr>
        <w:sdtEndPr/>
        <w:sdtContent>
          <w:r>
            <w:rPr>
              <w:rFonts w:asciiTheme="minorHAnsi" w:hAnsiTheme="minorHAnsi" w:cstheme="minorHAnsi"/>
            </w:rPr>
            <w:t xml:space="preserve">     </w:t>
          </w:r>
        </w:sdtContent>
      </w:sdt>
      <w:r>
        <w:rPr>
          <w:rFonts w:asciiTheme="minorHAnsi" w:hAnsiTheme="minorHAnsi" w:cstheme="minorHAnsi"/>
          <w:sz w:val="22"/>
          <w:szCs w:val="22"/>
        </w:rPr>
        <w:t xml:space="preserve"> </w:t>
      </w:r>
    </w:p>
    <w:p w14:paraId="045CC2FF" w14:textId="77777777" w:rsidR="00031496" w:rsidRDefault="00031496" w:rsidP="00031496">
      <w:pPr>
        <w:jc w:val="both"/>
        <w:rPr>
          <w:rFonts w:asciiTheme="minorHAnsi" w:hAnsiTheme="minorHAnsi" w:cstheme="minorHAnsi"/>
          <w:sz w:val="22"/>
          <w:szCs w:val="22"/>
        </w:rPr>
      </w:pPr>
    </w:p>
    <w:p w14:paraId="75B169CE"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Sub-component 4.3 is comprised of three activities:</w:t>
      </w:r>
    </w:p>
    <w:p w14:paraId="3234F461" w14:textId="77777777" w:rsidR="00031496" w:rsidRDefault="00031496" w:rsidP="00031496">
      <w:pPr>
        <w:jc w:val="both"/>
        <w:rPr>
          <w:rFonts w:asciiTheme="minorHAnsi" w:hAnsiTheme="minorHAnsi" w:cstheme="minorHAnsi"/>
          <w:sz w:val="22"/>
          <w:szCs w:val="22"/>
        </w:rPr>
      </w:pPr>
    </w:p>
    <w:p w14:paraId="3490007C" w14:textId="77777777" w:rsidR="00031496" w:rsidRDefault="00031496" w:rsidP="00031496">
      <w:pPr>
        <w:numPr>
          <w:ilvl w:val="0"/>
          <w:numId w:val="5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Activity 4.3.1: Development of a practical approach to integrate MSP </w:t>
      </w:r>
      <w:sdt>
        <w:sdtPr>
          <w:rPr>
            <w:rFonts w:asciiTheme="minorHAnsi" w:hAnsiTheme="minorHAnsi" w:cstheme="minorHAnsi"/>
          </w:rPr>
          <w:tag w:val="goog_rdk_935"/>
          <w:id w:val="230051814"/>
        </w:sdtPr>
        <w:sdtEndPr/>
        <w:sdtContent>
          <w:r>
            <w:rPr>
              <w:rFonts w:asciiTheme="minorHAnsi" w:hAnsiTheme="minorHAnsi" w:cstheme="minorHAnsi"/>
              <w:sz w:val="22"/>
              <w:szCs w:val="22"/>
            </w:rPr>
            <w:t>and strategic planning and decision-support on sustainable blue economy pathways</w:t>
          </w:r>
          <w:r>
            <w:rPr>
              <w:rFonts w:asciiTheme="minorHAnsi" w:hAnsiTheme="minorHAnsi" w:cstheme="minorHAnsi"/>
              <w:color w:val="000000"/>
              <w:sz w:val="22"/>
              <w:szCs w:val="22"/>
            </w:rPr>
            <w:t xml:space="preserve"> </w:t>
          </w:r>
        </w:sdtContent>
      </w:sdt>
      <w:r>
        <w:rPr>
          <w:rFonts w:asciiTheme="minorHAnsi" w:hAnsiTheme="minorHAnsi" w:cstheme="minorHAnsi"/>
          <w:color w:val="000000"/>
          <w:sz w:val="22"/>
          <w:szCs w:val="22"/>
        </w:rPr>
        <w:t xml:space="preserve">into the TDA-SAP process with a view to strengthening </w:t>
      </w:r>
      <w:sdt>
        <w:sdtPr>
          <w:rPr>
            <w:rFonts w:asciiTheme="minorHAnsi" w:hAnsiTheme="minorHAnsi" w:cstheme="minorHAnsi"/>
          </w:rPr>
          <w:tag w:val="goog_rdk_936"/>
          <w:id w:val="-1894420759"/>
        </w:sdtPr>
        <w:sdtEndPr/>
        <w:sdtContent>
          <w:r>
            <w:rPr>
              <w:rFonts w:asciiTheme="minorHAnsi" w:hAnsiTheme="minorHAnsi" w:cstheme="minorHAnsi"/>
              <w:color w:val="000000"/>
              <w:sz w:val="22"/>
              <w:szCs w:val="22"/>
            </w:rPr>
            <w:t xml:space="preserve">sustainable </w:t>
          </w:r>
        </w:sdtContent>
      </w:sdt>
      <w:sdt>
        <w:sdtPr>
          <w:rPr>
            <w:rFonts w:asciiTheme="minorHAnsi" w:hAnsiTheme="minorHAnsi" w:cstheme="minorHAnsi"/>
          </w:rPr>
          <w:tag w:val="goog_rdk_938"/>
          <w:id w:val="-1709094356"/>
        </w:sdtPr>
        <w:sdtEndPr/>
        <w:sdtContent>
          <w:r>
            <w:rPr>
              <w:rFonts w:asciiTheme="minorHAnsi" w:hAnsiTheme="minorHAnsi" w:cstheme="minorHAnsi"/>
              <w:color w:val="000000"/>
              <w:sz w:val="22"/>
              <w:szCs w:val="22"/>
            </w:rPr>
            <w:t>b</w:t>
          </w:r>
        </w:sdtContent>
      </w:sdt>
      <w:r>
        <w:rPr>
          <w:rFonts w:asciiTheme="minorHAnsi" w:hAnsiTheme="minorHAnsi" w:cstheme="minorHAnsi"/>
          <w:color w:val="000000"/>
          <w:sz w:val="22"/>
          <w:szCs w:val="22"/>
        </w:rPr>
        <w:t xml:space="preserve">lue </w:t>
      </w:r>
      <w:sdt>
        <w:sdtPr>
          <w:rPr>
            <w:rFonts w:asciiTheme="minorHAnsi" w:hAnsiTheme="minorHAnsi" w:cstheme="minorHAnsi"/>
          </w:rPr>
          <w:tag w:val="goog_rdk_940"/>
          <w:id w:val="1035233443"/>
        </w:sdtPr>
        <w:sdtEndPr/>
        <w:sdtContent>
          <w:r>
            <w:rPr>
              <w:rFonts w:asciiTheme="minorHAnsi" w:hAnsiTheme="minorHAnsi" w:cstheme="minorHAnsi"/>
              <w:color w:val="000000"/>
              <w:sz w:val="22"/>
              <w:szCs w:val="22"/>
            </w:rPr>
            <w:t>e</w:t>
          </w:r>
        </w:sdtContent>
      </w:sdt>
      <w:r>
        <w:rPr>
          <w:rFonts w:asciiTheme="minorHAnsi" w:hAnsiTheme="minorHAnsi" w:cstheme="minorHAnsi"/>
          <w:color w:val="000000"/>
          <w:sz w:val="22"/>
          <w:szCs w:val="22"/>
        </w:rPr>
        <w:t>conomy opportunities in Large Marine Ecosystems, and develop appropriate training material</w:t>
      </w:r>
      <w:sdt>
        <w:sdtPr>
          <w:rPr>
            <w:rFonts w:asciiTheme="minorHAnsi" w:hAnsiTheme="minorHAnsi" w:cstheme="minorHAnsi"/>
          </w:rPr>
          <w:tag w:val="goog_rdk_941"/>
          <w:id w:val="-2101170685"/>
        </w:sdtPr>
        <w:sdtEndPr/>
        <w:sdtContent>
          <w:r>
            <w:rPr>
              <w:rFonts w:asciiTheme="minorHAnsi" w:hAnsiTheme="minorHAnsi" w:cstheme="minorHAnsi"/>
              <w:color w:val="000000"/>
              <w:sz w:val="22"/>
              <w:szCs w:val="22"/>
            </w:rPr>
            <w:t>;</w:t>
          </w:r>
        </w:sdtContent>
      </w:sdt>
    </w:p>
    <w:p w14:paraId="136F6752" w14:textId="77777777" w:rsidR="00031496" w:rsidRDefault="00031496" w:rsidP="00031496">
      <w:pPr>
        <w:numPr>
          <w:ilvl w:val="0"/>
          <w:numId w:val="5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Activity 4.3.2: Work with partners and/or GEF IW projects to organize a series of at least three (3) regional trainings on basic concepts and specific technical issues of MSP</w:t>
      </w:r>
      <w:sdt>
        <w:sdtPr>
          <w:rPr>
            <w:rFonts w:asciiTheme="minorHAnsi" w:hAnsiTheme="minorHAnsi" w:cstheme="minorHAnsi"/>
          </w:rPr>
          <w:tag w:val="goog_rdk_942"/>
          <w:id w:val="301432275"/>
        </w:sdtPr>
        <w:sdtEndPr/>
        <w:sdtContent>
          <w:r>
            <w:rPr>
              <w:rFonts w:asciiTheme="minorHAnsi" w:hAnsiTheme="minorHAnsi" w:cstheme="minorHAnsi"/>
              <w:color w:val="000000"/>
              <w:sz w:val="22"/>
              <w:szCs w:val="22"/>
            </w:rPr>
            <w:t xml:space="preserve"> and sustainable blue economy pathway identification; and</w:t>
          </w:r>
        </w:sdtContent>
      </w:sdt>
    </w:p>
    <w:p w14:paraId="33DB7933" w14:textId="77777777" w:rsidR="00031496" w:rsidRDefault="00031496" w:rsidP="00031496">
      <w:pPr>
        <w:numPr>
          <w:ilvl w:val="0"/>
          <w:numId w:val="57"/>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Activity 4.3.3: Work with partners and/or GEF IW projects to organize a series of at least three (3) regional trainings on MSP for </w:t>
      </w:r>
      <w:sdt>
        <w:sdtPr>
          <w:rPr>
            <w:rFonts w:asciiTheme="minorHAnsi" w:hAnsiTheme="minorHAnsi" w:cstheme="minorHAnsi"/>
          </w:rPr>
          <w:tag w:val="goog_rdk_943"/>
          <w:id w:val="1650093618"/>
        </w:sdtPr>
        <w:sdtEndPr/>
        <w:sdtContent>
          <w:r>
            <w:rPr>
              <w:rFonts w:asciiTheme="minorHAnsi" w:hAnsiTheme="minorHAnsi" w:cstheme="minorHAnsi"/>
              <w:color w:val="000000"/>
              <w:sz w:val="22"/>
              <w:szCs w:val="22"/>
            </w:rPr>
            <w:t xml:space="preserve">sustainable </w:t>
          </w:r>
        </w:sdtContent>
      </w:sdt>
      <w:sdt>
        <w:sdtPr>
          <w:rPr>
            <w:rFonts w:asciiTheme="minorHAnsi" w:hAnsiTheme="minorHAnsi" w:cstheme="minorHAnsi"/>
          </w:rPr>
          <w:tag w:val="goog_rdk_945"/>
          <w:id w:val="1028906661"/>
        </w:sdtPr>
        <w:sdtEndPr/>
        <w:sdtContent>
          <w:r>
            <w:rPr>
              <w:rFonts w:asciiTheme="minorHAnsi" w:hAnsiTheme="minorHAnsi" w:cstheme="minorHAnsi"/>
              <w:color w:val="000000"/>
              <w:sz w:val="22"/>
              <w:szCs w:val="22"/>
            </w:rPr>
            <w:t>b</w:t>
          </w:r>
        </w:sdtContent>
      </w:sdt>
      <w:r>
        <w:rPr>
          <w:rFonts w:asciiTheme="minorHAnsi" w:hAnsiTheme="minorHAnsi" w:cstheme="minorHAnsi"/>
          <w:color w:val="000000"/>
          <w:sz w:val="22"/>
          <w:szCs w:val="22"/>
        </w:rPr>
        <w:t xml:space="preserve">lue </w:t>
      </w:r>
      <w:sdt>
        <w:sdtPr>
          <w:rPr>
            <w:rFonts w:asciiTheme="minorHAnsi" w:hAnsiTheme="minorHAnsi" w:cstheme="minorHAnsi"/>
          </w:rPr>
          <w:tag w:val="goog_rdk_946"/>
          <w:id w:val="-108657403"/>
        </w:sdtPr>
        <w:sdtEndPr/>
        <w:sdtContent>
          <w:r>
            <w:rPr>
              <w:rFonts w:asciiTheme="minorHAnsi" w:hAnsiTheme="minorHAnsi" w:cstheme="minorHAnsi"/>
              <w:color w:val="000000"/>
              <w:sz w:val="22"/>
              <w:szCs w:val="22"/>
            </w:rPr>
            <w:t>e</w:t>
          </w:r>
        </w:sdtContent>
      </w:sdt>
      <w:r>
        <w:rPr>
          <w:rFonts w:asciiTheme="minorHAnsi" w:hAnsiTheme="minorHAnsi" w:cstheme="minorHAnsi"/>
          <w:color w:val="000000"/>
          <w:sz w:val="22"/>
          <w:szCs w:val="22"/>
        </w:rPr>
        <w:t xml:space="preserve">conomy </w:t>
      </w:r>
      <w:sdt>
        <w:sdtPr>
          <w:rPr>
            <w:rFonts w:asciiTheme="minorHAnsi" w:hAnsiTheme="minorHAnsi" w:cstheme="minorHAnsi"/>
          </w:rPr>
          <w:tag w:val="goog_rdk_948"/>
          <w:id w:val="-1094084520"/>
        </w:sdtPr>
        <w:sdtEndPr/>
        <w:sdtContent>
          <w:r>
            <w:rPr>
              <w:rFonts w:asciiTheme="minorHAnsi" w:hAnsiTheme="minorHAnsi" w:cstheme="minorHAnsi"/>
              <w:color w:val="000000"/>
              <w:sz w:val="22"/>
              <w:szCs w:val="22"/>
            </w:rPr>
            <w:t xml:space="preserve">pathway implementation </w:t>
          </w:r>
        </w:sdtContent>
      </w:sdt>
      <w:r>
        <w:rPr>
          <w:rFonts w:asciiTheme="minorHAnsi" w:hAnsiTheme="minorHAnsi" w:cstheme="minorHAnsi"/>
          <w:color w:val="000000"/>
          <w:sz w:val="22"/>
          <w:szCs w:val="22"/>
        </w:rPr>
        <w:t>in the context of the TDA-SAP process</w:t>
      </w:r>
      <w:sdt>
        <w:sdtPr>
          <w:rPr>
            <w:rFonts w:asciiTheme="minorHAnsi" w:hAnsiTheme="minorHAnsi" w:cstheme="minorHAnsi"/>
          </w:rPr>
          <w:tag w:val="goog_rdk_949"/>
          <w:id w:val="-1214267296"/>
        </w:sdtPr>
        <w:sdtEndPr/>
        <w:sdtContent>
          <w:r>
            <w:rPr>
              <w:rFonts w:asciiTheme="minorHAnsi" w:hAnsiTheme="minorHAnsi" w:cstheme="minorHAnsi"/>
              <w:color w:val="000000"/>
              <w:sz w:val="22"/>
              <w:szCs w:val="22"/>
            </w:rPr>
            <w:t>.</w:t>
          </w:r>
        </w:sdtContent>
      </w:sdt>
    </w:p>
    <w:p w14:paraId="05C56D27" w14:textId="77777777" w:rsidR="00031496" w:rsidRDefault="00031496" w:rsidP="00031496">
      <w:pPr>
        <w:jc w:val="both"/>
        <w:rPr>
          <w:rFonts w:asciiTheme="minorHAnsi" w:hAnsiTheme="minorHAnsi" w:cstheme="minorHAnsi"/>
          <w:sz w:val="22"/>
          <w:szCs w:val="22"/>
        </w:rPr>
      </w:pPr>
    </w:p>
    <w:p w14:paraId="01F9198F" w14:textId="77777777" w:rsidR="00031496" w:rsidRDefault="00031496" w:rsidP="00031496">
      <w:pPr>
        <w:jc w:val="both"/>
        <w:rPr>
          <w:rFonts w:asciiTheme="minorHAnsi" w:hAnsiTheme="minorHAnsi" w:cstheme="minorHAnsi"/>
          <w:b/>
          <w:sz w:val="22"/>
          <w:szCs w:val="22"/>
        </w:rPr>
      </w:pPr>
      <w:r>
        <w:rPr>
          <w:rFonts w:asciiTheme="minorHAnsi" w:hAnsiTheme="minorHAnsi" w:cstheme="minorHAnsi"/>
          <w:sz w:val="22"/>
          <w:szCs w:val="22"/>
        </w:rPr>
        <w:t xml:space="preserve">Due to the COVID-19 pandemics, short-term constraints on travel and group gatherings, probably to take effect during the first year of the project’s implementation, are being considered and on-line or remote learning and other communication options will be </w:t>
      </w:r>
      <w:proofErr w:type="spellStart"/>
      <w:r>
        <w:rPr>
          <w:rFonts w:asciiTheme="minorHAnsi" w:hAnsiTheme="minorHAnsi" w:cstheme="minorHAnsi"/>
          <w:sz w:val="22"/>
          <w:szCs w:val="22"/>
        </w:rPr>
        <w:t>utilised</w:t>
      </w:r>
      <w:proofErr w:type="spellEnd"/>
      <w:r>
        <w:rPr>
          <w:rFonts w:asciiTheme="minorHAnsi" w:hAnsiTheme="minorHAnsi" w:cstheme="minorHAnsi"/>
          <w:sz w:val="22"/>
          <w:szCs w:val="22"/>
        </w:rPr>
        <w:t xml:space="preserve"> where necessary, adjusting some of the equipment related costs to ensure equal opportunity to all beneficiaries.</w:t>
      </w:r>
    </w:p>
    <w:p w14:paraId="72D307B1" w14:textId="77777777" w:rsidR="00031496" w:rsidRPr="00031496" w:rsidRDefault="00031496" w:rsidP="00031496"/>
    <w:p w14:paraId="1FDCC5BB" w14:textId="18DCAE36" w:rsidR="00031496" w:rsidRDefault="00031496" w:rsidP="00031496">
      <w:pPr>
        <w:pStyle w:val="Heading5"/>
        <w:rPr>
          <w:rFonts w:asciiTheme="minorHAnsi" w:hAnsiTheme="minorHAnsi" w:cstheme="minorHAnsi"/>
          <w:b/>
          <w:bCs/>
          <w:color w:val="000000" w:themeColor="text1"/>
          <w:sz w:val="22"/>
          <w:szCs w:val="22"/>
        </w:rPr>
      </w:pPr>
      <w:r w:rsidRPr="00031496">
        <w:rPr>
          <w:rFonts w:asciiTheme="minorHAnsi" w:hAnsiTheme="minorHAnsi" w:cstheme="minorHAnsi"/>
          <w:b/>
          <w:bCs/>
          <w:color w:val="000000" w:themeColor="text1"/>
          <w:sz w:val="22"/>
          <w:szCs w:val="22"/>
        </w:rPr>
        <w:t>Activity 4.3.1: Development of a practical approach to integrate MSP and strategic planning and decision-support on sustainable blue economy pathways into the TDA-SAP process with a view to strengthening sustainable blue economy opportunities in Large Marine Ecosystems, and develop appropriate training material</w:t>
      </w:r>
    </w:p>
    <w:p w14:paraId="7FE425E0" w14:textId="77777777" w:rsidR="00031496" w:rsidRDefault="00031496" w:rsidP="00031496">
      <w:pPr>
        <w:jc w:val="both"/>
        <w:rPr>
          <w:rFonts w:asciiTheme="minorHAnsi" w:hAnsiTheme="minorHAnsi" w:cstheme="minorHAnsi"/>
          <w:color w:val="000000"/>
          <w:sz w:val="22"/>
          <w:szCs w:val="22"/>
        </w:rPr>
      </w:pPr>
      <w:r>
        <w:rPr>
          <w:rFonts w:asciiTheme="minorHAnsi" w:hAnsiTheme="minorHAnsi" w:cstheme="minorHAnsi"/>
          <w:sz w:val="22"/>
          <w:szCs w:val="22"/>
        </w:rPr>
        <w:t xml:space="preserve">While there exist a number of approaches to MSP, many of them being implemented in practice, there is a need to develop an approach that will facilitate integration of MSP </w:t>
      </w:r>
      <w:sdt>
        <w:sdtPr>
          <w:rPr>
            <w:rFonts w:asciiTheme="minorHAnsi" w:hAnsiTheme="minorHAnsi" w:cstheme="minorHAnsi"/>
          </w:rPr>
          <w:tag w:val="goog_rdk_956"/>
          <w:id w:val="1003243605"/>
        </w:sdtPr>
        <w:sdtEndPr/>
        <w:sdtContent>
          <w:r>
            <w:rPr>
              <w:rFonts w:asciiTheme="minorHAnsi" w:hAnsiTheme="minorHAnsi" w:cstheme="minorHAnsi"/>
              <w:sz w:val="22"/>
              <w:szCs w:val="22"/>
            </w:rPr>
            <w:t xml:space="preserve">and strategic planning for sustainable blue economy </w:t>
          </w:r>
        </w:sdtContent>
      </w:sdt>
      <w:r>
        <w:rPr>
          <w:rFonts w:asciiTheme="minorHAnsi" w:hAnsiTheme="minorHAnsi" w:cstheme="minorHAnsi"/>
          <w:sz w:val="22"/>
          <w:szCs w:val="22"/>
        </w:rPr>
        <w:t xml:space="preserve">as </w:t>
      </w:r>
      <w:sdt>
        <w:sdtPr>
          <w:rPr>
            <w:rFonts w:asciiTheme="minorHAnsi" w:hAnsiTheme="minorHAnsi" w:cstheme="minorHAnsi"/>
          </w:rPr>
          <w:tag w:val="goog_rdk_958"/>
          <w:id w:val="-1793511606"/>
        </w:sdtPr>
        <w:sdtEndPr/>
        <w:sdtContent>
          <w:r>
            <w:rPr>
              <w:rFonts w:asciiTheme="minorHAnsi" w:hAnsiTheme="minorHAnsi" w:cstheme="minorHAnsi"/>
              <w:sz w:val="22"/>
              <w:szCs w:val="22"/>
            </w:rPr>
            <w:t xml:space="preserve">public policy </w:t>
          </w:r>
        </w:sdtContent>
      </w:sdt>
      <w:r>
        <w:rPr>
          <w:rFonts w:asciiTheme="minorHAnsi" w:hAnsiTheme="minorHAnsi" w:cstheme="minorHAnsi"/>
          <w:sz w:val="22"/>
          <w:szCs w:val="22"/>
        </w:rPr>
        <w:t xml:space="preserve">tools for the TDA-SAP process. This practical approach will link into the TDA-SAP Methodology by combining existing ocean governance tools and frameworks (including integrated ocean management, marine spatial planning and integrated coastal zone management) with tools and broader frameworks for sustainable economics (including natural capital mapping, </w:t>
      </w:r>
      <w:sdt>
        <w:sdtPr>
          <w:rPr>
            <w:rFonts w:asciiTheme="minorHAnsi" w:hAnsiTheme="minorHAnsi" w:cstheme="minorHAnsi"/>
          </w:rPr>
          <w:tag w:val="goog_rdk_959"/>
          <w:id w:val="2099519162"/>
        </w:sdtPr>
        <w:sdtEndPr/>
        <w:sdtContent>
          <w:r>
            <w:rPr>
              <w:rFonts w:asciiTheme="minorHAnsi" w:hAnsiTheme="minorHAnsi" w:cstheme="minorHAnsi"/>
              <w:sz w:val="22"/>
              <w:szCs w:val="22"/>
            </w:rPr>
            <w:t>green economy e.g. macro-economic models and fiscal policy, “</w:t>
          </w:r>
        </w:sdtContent>
      </w:sdt>
      <w:r>
        <w:rPr>
          <w:rFonts w:asciiTheme="minorHAnsi" w:hAnsiTheme="minorHAnsi" w:cstheme="minorHAnsi"/>
          <w:sz w:val="22"/>
          <w:szCs w:val="22"/>
        </w:rPr>
        <w:t>doughnut economics</w:t>
      </w:r>
      <w:sdt>
        <w:sdtPr>
          <w:rPr>
            <w:rFonts w:asciiTheme="minorHAnsi" w:hAnsiTheme="minorHAnsi" w:cstheme="minorHAnsi"/>
          </w:rPr>
          <w:tag w:val="goog_rdk_960"/>
          <w:id w:val="57670012"/>
        </w:sdtPr>
        <w:sdtEndPr/>
        <w:sdtContent>
          <w:r>
            <w:rPr>
              <w:rFonts w:asciiTheme="minorHAnsi" w:hAnsiTheme="minorHAnsi" w:cstheme="minorHAnsi"/>
              <w:sz w:val="22"/>
              <w:szCs w:val="22"/>
            </w:rPr>
            <w:t>”,</w:t>
          </w:r>
        </w:sdtContent>
      </w:sdt>
      <w:r>
        <w:rPr>
          <w:rFonts w:asciiTheme="minorHAnsi" w:hAnsiTheme="minorHAnsi" w:cstheme="minorHAnsi"/>
          <w:sz w:val="22"/>
          <w:szCs w:val="22"/>
        </w:rPr>
        <w:t xml:space="preserve"> and the SDGs). </w:t>
      </w:r>
      <w:r>
        <w:rPr>
          <w:rFonts w:asciiTheme="minorHAnsi" w:hAnsiTheme="minorHAnsi" w:cstheme="minorHAnsi"/>
          <w:color w:val="000000"/>
          <w:sz w:val="22"/>
          <w:szCs w:val="22"/>
        </w:rPr>
        <w:t xml:space="preserve">First, an initial scoping exercise will be performed, then the foundations for the approach will be researched and, finally, the approach itself developed. </w:t>
      </w:r>
      <w:sdt>
        <w:sdtPr>
          <w:rPr>
            <w:rFonts w:asciiTheme="minorHAnsi" w:hAnsiTheme="minorHAnsi" w:cstheme="minorHAnsi"/>
          </w:rPr>
          <w:tag w:val="goog_rdk_961"/>
          <w:id w:val="-2111509762"/>
        </w:sdtPr>
        <w:sdtEndPr/>
        <w:sdtContent>
          <w:r>
            <w:rPr>
              <w:rFonts w:asciiTheme="minorHAnsi" w:hAnsiTheme="minorHAnsi" w:cstheme="minorHAnsi"/>
              <w:color w:val="000000"/>
              <w:sz w:val="22"/>
              <w:szCs w:val="22"/>
            </w:rPr>
            <w:t>This work will be connected with a Sustainable Blue Economy Decision Support Framework and learning package under development by UNEP and partners.</w:t>
          </w:r>
        </w:sdtContent>
      </w:sdt>
    </w:p>
    <w:p w14:paraId="6E8E124F" w14:textId="77777777" w:rsidR="00031496" w:rsidRDefault="00031496" w:rsidP="00031496">
      <w:pPr>
        <w:jc w:val="both"/>
        <w:rPr>
          <w:rFonts w:asciiTheme="minorHAnsi" w:hAnsiTheme="minorHAnsi" w:cstheme="minorHAnsi"/>
          <w:color w:val="000000"/>
          <w:sz w:val="22"/>
          <w:szCs w:val="22"/>
        </w:rPr>
      </w:pPr>
    </w:p>
    <w:p w14:paraId="5B615E5A" w14:textId="77777777" w:rsidR="00031496" w:rsidRDefault="00031496" w:rsidP="00031496">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 the early stages of the research and development phase, a small workshop will develop a draft approach. The approach will also take in consideration the results of the activity on Data and Information Management for LMEs, carried out in the preceding GEF LME:LEARN project. The resulting catalogue of information and indicators for LMEs have a strong relevance for this activity. </w:t>
      </w:r>
    </w:p>
    <w:p w14:paraId="416D9410" w14:textId="77777777" w:rsidR="00031496" w:rsidRDefault="00031496" w:rsidP="00031496">
      <w:pPr>
        <w:jc w:val="both"/>
        <w:rPr>
          <w:rFonts w:asciiTheme="minorHAnsi" w:hAnsiTheme="minorHAnsi" w:cstheme="minorHAnsi"/>
          <w:color w:val="000000"/>
          <w:sz w:val="22"/>
          <w:szCs w:val="22"/>
        </w:rPr>
      </w:pPr>
    </w:p>
    <w:p w14:paraId="23D5FCD6" w14:textId="77777777" w:rsidR="00031496" w:rsidRDefault="00031496" w:rsidP="00031496">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Materials based on this draft approach will be tested with LME </w:t>
      </w:r>
      <w:sdt>
        <w:sdtPr>
          <w:rPr>
            <w:rFonts w:asciiTheme="minorHAnsi" w:hAnsiTheme="minorHAnsi" w:cstheme="minorHAnsi"/>
          </w:rPr>
          <w:tag w:val="goog_rdk_964"/>
          <w:id w:val="744994162"/>
        </w:sdtPr>
        <w:sdtEndPr/>
        <w:sdtContent>
          <w:r>
            <w:rPr>
              <w:rFonts w:asciiTheme="minorHAnsi" w:hAnsiTheme="minorHAnsi" w:cstheme="minorHAnsi"/>
              <w:color w:val="000000"/>
              <w:sz w:val="22"/>
              <w:szCs w:val="22"/>
            </w:rPr>
            <w:t xml:space="preserve">managers </w:t>
          </w:r>
        </w:sdtContent>
      </w:sdt>
      <w:r>
        <w:rPr>
          <w:rFonts w:asciiTheme="minorHAnsi" w:hAnsiTheme="minorHAnsi" w:cstheme="minorHAnsi"/>
          <w:color w:val="000000"/>
          <w:sz w:val="22"/>
          <w:szCs w:val="22"/>
        </w:rPr>
        <w:t xml:space="preserve">in a second workshop, where the focus will be on eliciting feedback on the draft approach and materials and improving them based on the hands-on expertise of LME PCUs. Following another round of refinement of the approach and training materials after the second workshop, a final draft will be shared for online consultation, and then </w:t>
      </w:r>
      <w:proofErr w:type="spellStart"/>
      <w:r>
        <w:rPr>
          <w:rFonts w:asciiTheme="minorHAnsi" w:hAnsiTheme="minorHAnsi" w:cstheme="minorHAnsi"/>
          <w:color w:val="000000"/>
          <w:sz w:val="22"/>
          <w:szCs w:val="22"/>
        </w:rPr>
        <w:t>finalised</w:t>
      </w:r>
      <w:proofErr w:type="spellEnd"/>
      <w:r>
        <w:rPr>
          <w:rFonts w:asciiTheme="minorHAnsi" w:hAnsiTheme="minorHAnsi" w:cstheme="minorHAnsi"/>
          <w:color w:val="000000"/>
          <w:sz w:val="22"/>
          <w:szCs w:val="22"/>
        </w:rPr>
        <w:t xml:space="preserve">. This co-development approach between experts and </w:t>
      </w:r>
      <w:sdt>
        <w:sdtPr>
          <w:rPr>
            <w:rFonts w:asciiTheme="minorHAnsi" w:hAnsiTheme="minorHAnsi" w:cstheme="minorHAnsi"/>
          </w:rPr>
          <w:tag w:val="goog_rdk_965"/>
          <w:id w:val="1150173471"/>
        </w:sdtPr>
        <w:sdtEndPr/>
        <w:sdtContent>
          <w:r>
            <w:rPr>
              <w:rFonts w:asciiTheme="minorHAnsi" w:hAnsiTheme="minorHAnsi" w:cstheme="minorHAnsi"/>
              <w:color w:val="000000"/>
              <w:sz w:val="22"/>
              <w:szCs w:val="22"/>
            </w:rPr>
            <w:t xml:space="preserve">LME </w:t>
          </w:r>
        </w:sdtContent>
      </w:sdt>
      <w:r>
        <w:rPr>
          <w:rFonts w:asciiTheme="minorHAnsi" w:hAnsiTheme="minorHAnsi" w:cstheme="minorHAnsi"/>
          <w:color w:val="000000"/>
          <w:sz w:val="22"/>
          <w:szCs w:val="22"/>
        </w:rPr>
        <w:t>practitioners will help ensure that the outputs are not just theoretically robust, but also provide a pragmatic and tangible practical benefit to future trainees. If feasible, the project will support development of a specific section of the methodology integrating source-to-</w:t>
      </w:r>
      <w:proofErr w:type="spellStart"/>
      <w:r>
        <w:rPr>
          <w:rFonts w:asciiTheme="minorHAnsi" w:hAnsiTheme="minorHAnsi" w:cstheme="minorHAnsi"/>
          <w:color w:val="000000"/>
          <w:sz w:val="22"/>
          <w:szCs w:val="22"/>
        </w:rPr>
        <w:t>sea</w:t>
      </w:r>
      <w:proofErr w:type="spellEnd"/>
      <w:r>
        <w:rPr>
          <w:rFonts w:asciiTheme="minorHAnsi" w:hAnsiTheme="minorHAnsi" w:cstheme="minorHAnsi"/>
          <w:color w:val="000000"/>
          <w:sz w:val="22"/>
          <w:szCs w:val="22"/>
        </w:rPr>
        <w:t xml:space="preserve"> approach in support of a greater coordination among adjacent transboundary water ecosystems.</w:t>
      </w:r>
    </w:p>
    <w:p w14:paraId="63515B1B" w14:textId="77777777" w:rsidR="00031496" w:rsidRDefault="00031496" w:rsidP="00031496">
      <w:pPr>
        <w:jc w:val="both"/>
        <w:rPr>
          <w:rFonts w:asciiTheme="minorHAnsi" w:hAnsiTheme="minorHAnsi" w:cstheme="minorHAnsi"/>
          <w:color w:val="000000"/>
          <w:sz w:val="22"/>
          <w:szCs w:val="22"/>
        </w:rPr>
      </w:pPr>
    </w:p>
    <w:p w14:paraId="432111F2" w14:textId="77777777" w:rsidR="00031496" w:rsidRDefault="00031496" w:rsidP="00031496">
      <w:pPr>
        <w:jc w:val="both"/>
        <w:rPr>
          <w:rFonts w:asciiTheme="minorHAnsi" w:hAnsiTheme="minorHAnsi" w:cstheme="minorHAnsi"/>
          <w:color w:val="000000"/>
          <w:sz w:val="22"/>
          <w:szCs w:val="22"/>
        </w:rPr>
      </w:pPr>
      <w:r>
        <w:rPr>
          <w:rFonts w:asciiTheme="minorHAnsi" w:hAnsiTheme="minorHAnsi" w:cstheme="minorHAnsi"/>
          <w:color w:val="000000"/>
          <w:sz w:val="22"/>
          <w:szCs w:val="22"/>
        </w:rPr>
        <w:t>The project will then develop training materials and tools that can be used to support the approach gaining traction within different LME regions. The training materials will be compatible with existing training materials, such as the MSP training package developed by GEF LME:LEARN project</w:t>
      </w:r>
      <w:sdt>
        <w:sdtPr>
          <w:rPr>
            <w:rFonts w:asciiTheme="minorHAnsi" w:hAnsiTheme="minorHAnsi" w:cstheme="minorHAnsi"/>
          </w:rPr>
          <w:tag w:val="goog_rdk_966"/>
          <w:id w:val="-1855714007"/>
        </w:sdtPr>
        <w:sdtEndPr/>
        <w:sdtContent>
          <w:r>
            <w:rPr>
              <w:rFonts w:asciiTheme="minorHAnsi" w:hAnsiTheme="minorHAnsi" w:cstheme="minorHAnsi"/>
              <w:color w:val="000000"/>
              <w:sz w:val="22"/>
              <w:szCs w:val="22"/>
            </w:rPr>
            <w:t xml:space="preserve"> and UNEP SBE decision-support framework and learning package</w:t>
          </w:r>
        </w:sdtContent>
      </w:sdt>
      <w:r>
        <w:rPr>
          <w:rFonts w:asciiTheme="minorHAnsi" w:hAnsiTheme="minorHAnsi" w:cstheme="minorHAnsi"/>
          <w:color w:val="000000"/>
          <w:sz w:val="22"/>
          <w:szCs w:val="22"/>
        </w:rPr>
        <w:t xml:space="preserve">. These are rooted in established </w:t>
      </w:r>
      <w:sdt>
        <w:sdtPr>
          <w:rPr>
            <w:rFonts w:asciiTheme="minorHAnsi" w:hAnsiTheme="minorHAnsi" w:cstheme="minorHAnsi"/>
          </w:rPr>
          <w:tag w:val="goog_rdk_967"/>
          <w:id w:val="635604131"/>
        </w:sdtPr>
        <w:sdtEndPr/>
        <w:sdtContent>
          <w:r>
            <w:rPr>
              <w:rFonts w:asciiTheme="minorHAnsi" w:hAnsiTheme="minorHAnsi" w:cstheme="minorHAnsi"/>
              <w:color w:val="000000"/>
              <w:sz w:val="22"/>
              <w:szCs w:val="22"/>
            </w:rPr>
            <w:t xml:space="preserve">and evolving </w:t>
          </w:r>
        </w:sdtContent>
      </w:sdt>
      <w:r>
        <w:rPr>
          <w:rFonts w:asciiTheme="minorHAnsi" w:hAnsiTheme="minorHAnsi" w:cstheme="minorHAnsi"/>
          <w:color w:val="000000"/>
          <w:sz w:val="22"/>
          <w:szCs w:val="22"/>
        </w:rPr>
        <w:t>standards, practices and frameworks for MSP, including those developed by IOC-UNESCO</w:t>
      </w:r>
      <w:sdt>
        <w:sdtPr>
          <w:rPr>
            <w:rFonts w:asciiTheme="minorHAnsi" w:hAnsiTheme="minorHAnsi" w:cstheme="minorHAnsi"/>
          </w:rPr>
          <w:tag w:val="goog_rdk_968"/>
          <w:id w:val="-1638491000"/>
        </w:sdtPr>
        <w:sdtEndPr/>
        <w:sdtContent>
          <w:r>
            <w:rPr>
              <w:rFonts w:asciiTheme="minorHAnsi" w:hAnsiTheme="minorHAnsi" w:cstheme="minorHAnsi"/>
              <w:color w:val="000000"/>
              <w:sz w:val="22"/>
              <w:szCs w:val="22"/>
            </w:rPr>
            <w:t xml:space="preserve"> and UNEP</w:t>
          </w:r>
        </w:sdtContent>
      </w:sdt>
      <w:r>
        <w:rPr>
          <w:rFonts w:asciiTheme="minorHAnsi" w:hAnsiTheme="minorHAnsi" w:cstheme="minorHAnsi"/>
          <w:color w:val="000000"/>
          <w:sz w:val="22"/>
          <w:szCs w:val="22"/>
        </w:rPr>
        <w:t xml:space="preserve">. Due to the inherent transboundary nature of the TDA-SAP process, the materials will also draw on the work of the MSP Global Project, in particular soon to be developed </w:t>
      </w:r>
      <w:r>
        <w:rPr>
          <w:rFonts w:asciiTheme="minorHAnsi" w:hAnsiTheme="minorHAnsi" w:cstheme="minorHAnsi"/>
          <w:sz w:val="22"/>
          <w:szCs w:val="22"/>
        </w:rPr>
        <w:t>guidance document for cross-</w:t>
      </w:r>
      <w:r>
        <w:rPr>
          <w:rFonts w:asciiTheme="minorHAnsi" w:hAnsiTheme="minorHAnsi" w:cstheme="minorHAnsi"/>
          <w:sz w:val="22"/>
          <w:szCs w:val="22"/>
        </w:rPr>
        <w:lastRenderedPageBreak/>
        <w:t xml:space="preserve">border and transboundary MSP, as well as </w:t>
      </w:r>
      <w:r>
        <w:rPr>
          <w:rFonts w:asciiTheme="minorHAnsi" w:hAnsiTheme="minorHAnsi" w:cstheme="minorHAnsi"/>
          <w:color w:val="000000"/>
          <w:sz w:val="22"/>
          <w:szCs w:val="22"/>
        </w:rPr>
        <w:t xml:space="preserve">experience from other transboundary MSP initiatives, such as the Mami </w:t>
      </w:r>
      <w:proofErr w:type="spellStart"/>
      <w:r>
        <w:rPr>
          <w:rFonts w:asciiTheme="minorHAnsi" w:hAnsiTheme="minorHAnsi" w:cstheme="minorHAnsi"/>
          <w:color w:val="000000"/>
          <w:sz w:val="22"/>
          <w:szCs w:val="22"/>
        </w:rPr>
        <w:t>Wata</w:t>
      </w:r>
      <w:proofErr w:type="spellEnd"/>
      <w:r>
        <w:rPr>
          <w:rFonts w:asciiTheme="minorHAnsi" w:hAnsiTheme="minorHAnsi" w:cstheme="minorHAnsi"/>
          <w:color w:val="000000"/>
          <w:sz w:val="22"/>
          <w:szCs w:val="22"/>
        </w:rPr>
        <w:t xml:space="preserve"> project</w:t>
      </w:r>
      <w:r>
        <w:rPr>
          <w:rFonts w:asciiTheme="minorHAnsi" w:hAnsiTheme="minorHAnsi" w:cstheme="minorHAnsi"/>
          <w:color w:val="000000"/>
          <w:sz w:val="22"/>
          <w:szCs w:val="22"/>
          <w:vertAlign w:val="superscript"/>
        </w:rPr>
        <w:footnoteReference w:id="8"/>
      </w:r>
      <w:sdt>
        <w:sdtPr>
          <w:rPr>
            <w:rFonts w:asciiTheme="minorHAnsi" w:hAnsiTheme="minorHAnsi" w:cstheme="minorHAnsi"/>
          </w:rPr>
          <w:tag w:val="goog_rdk_970"/>
          <w:id w:val="-1556003963"/>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the GEF </w:t>
      </w:r>
      <w:sdt>
        <w:sdtPr>
          <w:rPr>
            <w:rFonts w:asciiTheme="minorHAnsi" w:hAnsiTheme="minorHAnsi" w:cstheme="minorHAnsi"/>
          </w:rPr>
          <w:tag w:val="goog_rdk_972"/>
          <w:id w:val="1178847407"/>
        </w:sdtPr>
        <w:sdtEndPr/>
        <w:sdtContent>
          <w:r>
            <w:rPr>
              <w:rFonts w:asciiTheme="minorHAnsi" w:hAnsiTheme="minorHAnsi" w:cstheme="minorHAnsi"/>
              <w:color w:val="000000"/>
              <w:sz w:val="22"/>
              <w:szCs w:val="22"/>
            </w:rPr>
            <w:t xml:space="preserve">UNEP </w:t>
          </w:r>
        </w:sdtContent>
      </w:sdt>
      <w:r>
        <w:rPr>
          <w:rFonts w:asciiTheme="minorHAnsi" w:hAnsiTheme="minorHAnsi" w:cstheme="minorHAnsi"/>
          <w:color w:val="000000"/>
          <w:sz w:val="22"/>
          <w:szCs w:val="22"/>
        </w:rPr>
        <w:t>Adriatic project</w:t>
      </w:r>
      <w:r>
        <w:rPr>
          <w:rFonts w:asciiTheme="minorHAnsi" w:hAnsiTheme="minorHAnsi" w:cstheme="minorHAnsi"/>
          <w:color w:val="000000"/>
          <w:sz w:val="22"/>
          <w:szCs w:val="22"/>
          <w:vertAlign w:val="superscript"/>
        </w:rPr>
        <w:footnoteReference w:id="9"/>
      </w:r>
      <w:sdt>
        <w:sdtPr>
          <w:rPr>
            <w:rFonts w:asciiTheme="minorHAnsi" w:hAnsiTheme="minorHAnsi" w:cstheme="minorHAnsi"/>
          </w:rPr>
          <w:tag w:val="goog_rdk_973"/>
          <w:id w:val="1457448118"/>
        </w:sdtPr>
        <w:sdtEndPr/>
        <w:sdtContent>
          <w:r>
            <w:rPr>
              <w:rFonts w:asciiTheme="minorHAnsi" w:hAnsiTheme="minorHAnsi" w:cstheme="minorHAnsi"/>
              <w:color w:val="000000"/>
              <w:sz w:val="22"/>
              <w:szCs w:val="22"/>
            </w:rPr>
            <w:t>, and the GEF UNDP Joint Demonstration Area project between Mauritius and Seychelles</w:t>
          </w:r>
        </w:sdtContent>
      </w:sdt>
      <w:r>
        <w:rPr>
          <w:rFonts w:asciiTheme="minorHAnsi" w:hAnsiTheme="minorHAnsi" w:cstheme="minorHAnsi"/>
          <w:color w:val="000000"/>
          <w:sz w:val="22"/>
          <w:szCs w:val="22"/>
        </w:rPr>
        <w:t>. If feasible, the training material will also contain a specific source-to-sea module.</w:t>
      </w:r>
    </w:p>
    <w:p w14:paraId="66BA4368" w14:textId="77777777" w:rsidR="00031496" w:rsidRDefault="00031496" w:rsidP="00031496">
      <w:pPr>
        <w:jc w:val="both"/>
        <w:rPr>
          <w:rFonts w:asciiTheme="minorHAnsi" w:hAnsiTheme="minorHAnsi" w:cstheme="minorHAnsi"/>
          <w:color w:val="000000"/>
          <w:sz w:val="22"/>
          <w:szCs w:val="22"/>
        </w:rPr>
      </w:pPr>
    </w:p>
    <w:p w14:paraId="12B8EC76" w14:textId="77777777" w:rsidR="00031496" w:rsidRDefault="00031496" w:rsidP="00031496">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training material will be developed and tested in one LME (through the second workshop mentioned above). Following its subsequent refinement, it will be rolled out and implemented in training events in further LME regions in Activity 4.3.3. The expertise of the participants in these three regional trainings will, in all likelihood, generate insights that can lead to further refinements and improvements to the training materials. The online consultation process mentioned above will be open to some of the participants of the 4.3.3. workshops, to elicit their feedback and guide further refinement of the methodology and training materials before the end of the project. </w:t>
      </w:r>
    </w:p>
    <w:p w14:paraId="5B54321F" w14:textId="77777777" w:rsidR="00031496" w:rsidRDefault="00031496" w:rsidP="00031496">
      <w:pPr>
        <w:jc w:val="both"/>
        <w:rPr>
          <w:rFonts w:asciiTheme="minorHAnsi" w:hAnsiTheme="minorHAnsi" w:cstheme="minorHAnsi"/>
          <w:color w:val="000000"/>
          <w:sz w:val="22"/>
          <w:szCs w:val="22"/>
        </w:rPr>
      </w:pPr>
    </w:p>
    <w:p w14:paraId="4813C580" w14:textId="77777777" w:rsidR="00031496" w:rsidRDefault="00031496" w:rsidP="00031496">
      <w:pPr>
        <w:jc w:val="both"/>
        <w:rPr>
          <w:rFonts w:asciiTheme="minorHAnsi" w:hAnsiTheme="minorHAnsi" w:cstheme="minorHAnsi"/>
          <w:sz w:val="22"/>
          <w:szCs w:val="22"/>
        </w:rPr>
      </w:pPr>
      <w:r>
        <w:rPr>
          <w:rFonts w:asciiTheme="minorHAnsi" w:hAnsiTheme="minorHAnsi" w:cstheme="minorHAnsi"/>
          <w:color w:val="000000"/>
          <w:sz w:val="22"/>
          <w:szCs w:val="22"/>
        </w:rPr>
        <w:t>The ultimate output will</w:t>
      </w:r>
      <w:sdt>
        <w:sdtPr>
          <w:rPr>
            <w:rFonts w:asciiTheme="minorHAnsi" w:hAnsiTheme="minorHAnsi" w:cstheme="minorHAnsi"/>
          </w:rPr>
          <w:tag w:val="goog_rdk_974"/>
          <w:id w:val="2035527524"/>
        </w:sdtPr>
        <w:sdtEndPr/>
        <w:sdtContent>
          <w:r>
            <w:rPr>
              <w:rFonts w:asciiTheme="minorHAnsi" w:hAnsiTheme="minorHAnsi" w:cstheme="minorHAnsi"/>
              <w:color w:val="000000"/>
              <w:sz w:val="22"/>
              <w:szCs w:val="22"/>
            </w:rPr>
            <w:t xml:space="preserve"> be</w:t>
          </w:r>
        </w:sdtContent>
      </w:sdt>
      <w:r>
        <w:rPr>
          <w:rFonts w:asciiTheme="minorHAnsi" w:hAnsiTheme="minorHAnsi" w:cstheme="minorHAnsi"/>
          <w:color w:val="000000"/>
          <w:sz w:val="22"/>
          <w:szCs w:val="22"/>
        </w:rPr>
        <w:t xml:space="preserve"> a methodology that will thread together established MSP practice, the TDA-SAP process, and wider sustainable blue economy </w:t>
      </w:r>
      <w:sdt>
        <w:sdtPr>
          <w:rPr>
            <w:rFonts w:asciiTheme="minorHAnsi" w:hAnsiTheme="minorHAnsi" w:cstheme="minorHAnsi"/>
          </w:rPr>
          <w:tag w:val="goog_rdk_975"/>
          <w:id w:val="-68196723"/>
        </w:sdtPr>
        <w:sdtEndPr/>
        <w:sdtContent>
          <w:r>
            <w:rPr>
              <w:rFonts w:asciiTheme="minorHAnsi" w:hAnsiTheme="minorHAnsi" w:cstheme="minorHAnsi"/>
              <w:color w:val="000000"/>
              <w:sz w:val="22"/>
              <w:szCs w:val="22"/>
            </w:rPr>
            <w:t xml:space="preserve">pathway </w:t>
          </w:r>
        </w:sdtContent>
      </w:sdt>
      <w:r>
        <w:rPr>
          <w:rFonts w:asciiTheme="minorHAnsi" w:hAnsiTheme="minorHAnsi" w:cstheme="minorHAnsi"/>
          <w:color w:val="000000"/>
          <w:sz w:val="22"/>
          <w:szCs w:val="22"/>
        </w:rPr>
        <w:t>development</w:t>
      </w:r>
      <w:sdt>
        <w:sdtPr>
          <w:rPr>
            <w:rFonts w:asciiTheme="minorHAnsi" w:hAnsiTheme="minorHAnsi" w:cstheme="minorHAnsi"/>
          </w:rPr>
          <w:tag w:val="goog_rdk_976"/>
          <w:id w:val="2005924485"/>
        </w:sdtPr>
        <w:sdtEndPr/>
        <w:sdtContent>
          <w:r>
            <w:rPr>
              <w:rFonts w:asciiTheme="minorHAnsi" w:hAnsiTheme="minorHAnsi" w:cstheme="minorHAnsi"/>
              <w:color w:val="000000"/>
              <w:sz w:val="22"/>
              <w:szCs w:val="22"/>
            </w:rPr>
            <w:t xml:space="preserve"> and implementation</w:t>
          </w:r>
        </w:sdtContent>
      </w:sdt>
      <w:r>
        <w:rPr>
          <w:rFonts w:asciiTheme="minorHAnsi" w:hAnsiTheme="minorHAnsi" w:cstheme="minorHAnsi"/>
          <w:color w:val="000000"/>
          <w:sz w:val="22"/>
          <w:szCs w:val="22"/>
        </w:rPr>
        <w:t xml:space="preserve">, and a set of training materials, which can be selected from and adapted </w:t>
      </w:r>
      <w:sdt>
        <w:sdtPr>
          <w:rPr>
            <w:rFonts w:asciiTheme="minorHAnsi" w:hAnsiTheme="minorHAnsi" w:cstheme="minorHAnsi"/>
          </w:rPr>
          <w:tag w:val="goog_rdk_977"/>
          <w:id w:val="832654917"/>
        </w:sdtPr>
        <w:sdtEndPr/>
        <w:sdtContent>
          <w:r>
            <w:rPr>
              <w:rFonts w:asciiTheme="minorHAnsi" w:hAnsiTheme="minorHAnsi" w:cstheme="minorHAnsi"/>
              <w:color w:val="000000"/>
              <w:sz w:val="22"/>
              <w:szCs w:val="22"/>
            </w:rPr>
            <w:t xml:space="preserve">to </w:t>
          </w:r>
        </w:sdtContent>
      </w:sdt>
      <w:r>
        <w:rPr>
          <w:rFonts w:asciiTheme="minorHAnsi" w:hAnsiTheme="minorHAnsi" w:cstheme="minorHAnsi"/>
          <w:color w:val="000000"/>
          <w:sz w:val="22"/>
          <w:szCs w:val="22"/>
        </w:rPr>
        <w:t xml:space="preserve">the specific context, training needs and priorities in different regions. The Activity 4.3.1 will help </w:t>
      </w:r>
      <w:r>
        <w:rPr>
          <w:rFonts w:asciiTheme="minorHAnsi" w:hAnsiTheme="minorHAnsi" w:cstheme="minorHAnsi"/>
          <w:sz w:val="22"/>
          <w:szCs w:val="22"/>
        </w:rPr>
        <w:t>improve</w:t>
      </w:r>
      <w:r>
        <w:rPr>
          <w:rFonts w:asciiTheme="minorHAnsi" w:hAnsiTheme="minorHAnsi" w:cstheme="minorHAnsi"/>
          <w:color w:val="000000"/>
          <w:sz w:val="22"/>
          <w:szCs w:val="22"/>
        </w:rPr>
        <w:t xml:space="preserve"> the capacity of coastal and marine practitioners to manage transboundary marine ecosystems.</w:t>
      </w:r>
    </w:p>
    <w:p w14:paraId="398C8B1A" w14:textId="77777777" w:rsidR="00031496" w:rsidRDefault="00031496" w:rsidP="00031496">
      <w:pPr>
        <w:jc w:val="both"/>
        <w:rPr>
          <w:rFonts w:asciiTheme="minorHAnsi" w:hAnsiTheme="minorHAnsi" w:cstheme="minorHAnsi"/>
          <w:sz w:val="22"/>
          <w:szCs w:val="22"/>
        </w:rPr>
      </w:pPr>
    </w:p>
    <w:p w14:paraId="5FC148D9"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coordinate the work of partners to prepare the methodology for integration of MSP </w:t>
      </w:r>
      <w:sdt>
        <w:sdtPr>
          <w:rPr>
            <w:rFonts w:asciiTheme="minorHAnsi" w:hAnsiTheme="minorHAnsi" w:cstheme="minorHAnsi"/>
          </w:rPr>
          <w:tag w:val="goog_rdk_979"/>
          <w:id w:val="-716041385"/>
        </w:sdtPr>
        <w:sdtEndPr/>
        <w:sdtContent>
          <w:r>
            <w:rPr>
              <w:rFonts w:asciiTheme="minorHAnsi" w:hAnsiTheme="minorHAnsi" w:cstheme="minorHAnsi"/>
              <w:sz w:val="22"/>
              <w:szCs w:val="22"/>
            </w:rPr>
            <w:t xml:space="preserve">and strategic blue economic planning </w:t>
          </w:r>
        </w:sdtContent>
      </w:sdt>
      <w:r>
        <w:rPr>
          <w:rFonts w:asciiTheme="minorHAnsi" w:hAnsiTheme="minorHAnsi" w:cstheme="minorHAnsi"/>
          <w:sz w:val="22"/>
          <w:szCs w:val="22"/>
        </w:rPr>
        <w:t xml:space="preserve">into the TDA-SAP process and develop the respective training materials. PCU will collaborate with the following partners: </w:t>
      </w:r>
    </w:p>
    <w:p w14:paraId="151495F6" w14:textId="77777777" w:rsidR="00031496" w:rsidRDefault="00031496" w:rsidP="00031496">
      <w:pPr>
        <w:jc w:val="both"/>
        <w:rPr>
          <w:rFonts w:asciiTheme="minorHAnsi" w:hAnsiTheme="minorHAnsi" w:cstheme="minorHAnsi"/>
          <w:sz w:val="22"/>
          <w:szCs w:val="22"/>
        </w:rPr>
      </w:pPr>
    </w:p>
    <w:p w14:paraId="51C9ABC6" w14:textId="77777777" w:rsidR="00031496" w:rsidRDefault="00031496" w:rsidP="00031496">
      <w:pPr>
        <w:numPr>
          <w:ilvl w:val="0"/>
          <w:numId w:val="5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IOC of UNESCO, who will lead this activity and bring in the experience and results generated by MSP Global Project, and in particular the forthcoming guidance document for cross-border and transboundary MSP, as well as other relevant experiences; </w:t>
      </w:r>
    </w:p>
    <w:p w14:paraId="40CFA79E" w14:textId="77777777" w:rsidR="00031496" w:rsidRDefault="00031496" w:rsidP="00031496">
      <w:pPr>
        <w:numPr>
          <w:ilvl w:val="0"/>
          <w:numId w:val="5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GRID </w:t>
      </w:r>
      <w:proofErr w:type="spellStart"/>
      <w:r>
        <w:rPr>
          <w:rFonts w:asciiTheme="minorHAnsi" w:hAnsiTheme="minorHAnsi" w:cstheme="minorHAnsi"/>
          <w:color w:val="000000"/>
          <w:sz w:val="22"/>
          <w:szCs w:val="22"/>
        </w:rPr>
        <w:t>Arendal</w:t>
      </w:r>
      <w:proofErr w:type="spellEnd"/>
      <w:r>
        <w:rPr>
          <w:rFonts w:asciiTheme="minorHAnsi" w:hAnsiTheme="minorHAnsi" w:cstheme="minorHAnsi"/>
          <w:color w:val="000000"/>
          <w:sz w:val="22"/>
          <w:szCs w:val="22"/>
        </w:rPr>
        <w:t>, who will assist in implementing this activity bringing in its expertise in MSP and Blue Economy;</w:t>
      </w:r>
    </w:p>
    <w:p w14:paraId="795E2652" w14:textId="77777777" w:rsidR="00031496" w:rsidRDefault="00031496" w:rsidP="00031496">
      <w:pPr>
        <w:numPr>
          <w:ilvl w:val="0"/>
          <w:numId w:val="5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SIWI </w:t>
      </w:r>
      <w:sdt>
        <w:sdtPr>
          <w:rPr>
            <w:rFonts w:asciiTheme="minorHAnsi" w:hAnsiTheme="minorHAnsi" w:cstheme="minorHAnsi"/>
          </w:rPr>
          <w:tag w:val="goog_rdk_981"/>
          <w:id w:val="1393465717"/>
        </w:sdtPr>
        <w:sdtEndPr/>
        <w:sdtContent>
          <w:r>
            <w:rPr>
              <w:rFonts w:asciiTheme="minorHAnsi" w:hAnsiTheme="minorHAnsi" w:cstheme="minorHAnsi"/>
              <w:color w:val="000000"/>
              <w:sz w:val="22"/>
              <w:szCs w:val="22"/>
            </w:rPr>
            <w:t xml:space="preserve">who will </w:t>
          </w:r>
        </w:sdtContent>
      </w:sdt>
      <w:sdt>
        <w:sdtPr>
          <w:rPr>
            <w:rFonts w:asciiTheme="minorHAnsi" w:hAnsiTheme="minorHAnsi" w:cstheme="minorHAnsi"/>
          </w:rPr>
          <w:tag w:val="goog_rdk_983"/>
          <w:id w:val="-1399120422"/>
        </w:sdtPr>
        <w:sdtEndPr/>
        <w:sdtContent>
          <w:r>
            <w:rPr>
              <w:rFonts w:asciiTheme="minorHAnsi" w:hAnsiTheme="minorHAnsi" w:cstheme="minorHAnsi"/>
              <w:color w:val="000000"/>
              <w:sz w:val="22"/>
              <w:szCs w:val="22"/>
            </w:rPr>
            <w:t xml:space="preserve">put at the disposal of the project the existing </w:t>
          </w:r>
        </w:sdtContent>
      </w:sdt>
      <w:r>
        <w:rPr>
          <w:rFonts w:asciiTheme="minorHAnsi" w:hAnsiTheme="minorHAnsi" w:cstheme="minorHAnsi"/>
          <w:color w:val="000000"/>
          <w:sz w:val="22"/>
          <w:szCs w:val="22"/>
        </w:rPr>
        <w:t>training material on source-to-</w:t>
      </w:r>
      <w:proofErr w:type="spellStart"/>
      <w:r>
        <w:rPr>
          <w:rFonts w:asciiTheme="minorHAnsi" w:hAnsiTheme="minorHAnsi" w:cstheme="minorHAnsi"/>
          <w:color w:val="000000"/>
          <w:sz w:val="22"/>
          <w:szCs w:val="22"/>
        </w:rPr>
        <w:t>sea</w:t>
      </w:r>
      <w:proofErr w:type="spellEnd"/>
      <w:r>
        <w:rPr>
          <w:rFonts w:asciiTheme="minorHAnsi" w:hAnsiTheme="minorHAnsi" w:cstheme="minorHAnsi"/>
          <w:color w:val="000000"/>
          <w:sz w:val="22"/>
          <w:szCs w:val="22"/>
        </w:rPr>
        <w:t xml:space="preserve"> approach </w:t>
      </w:r>
      <w:sdt>
        <w:sdtPr>
          <w:rPr>
            <w:rFonts w:asciiTheme="minorHAnsi" w:hAnsiTheme="minorHAnsi" w:cstheme="minorHAnsi"/>
          </w:rPr>
          <w:tag w:val="goog_rdk_985"/>
          <w:id w:val="-1405133433"/>
        </w:sdtPr>
        <w:sdtEndPr/>
        <w:sdtContent>
          <w:r>
            <w:rPr>
              <w:rFonts w:asciiTheme="minorHAnsi" w:hAnsiTheme="minorHAnsi" w:cstheme="minorHAnsi"/>
              <w:color w:val="000000"/>
              <w:sz w:val="22"/>
              <w:szCs w:val="22"/>
            </w:rPr>
            <w:t xml:space="preserve">that could be, if feasible, adjusted to </w:t>
          </w:r>
        </w:sdtContent>
      </w:sdt>
      <w:r>
        <w:rPr>
          <w:rFonts w:asciiTheme="minorHAnsi" w:hAnsiTheme="minorHAnsi" w:cstheme="minorHAnsi"/>
          <w:color w:val="000000"/>
          <w:sz w:val="22"/>
          <w:szCs w:val="22"/>
        </w:rPr>
        <w:t xml:space="preserve">be incorporated into the methodology for integrating MSP </w:t>
      </w:r>
      <w:sdt>
        <w:sdtPr>
          <w:rPr>
            <w:rFonts w:asciiTheme="minorHAnsi" w:hAnsiTheme="minorHAnsi" w:cstheme="minorHAnsi"/>
          </w:rPr>
          <w:tag w:val="goog_rdk_986"/>
          <w:id w:val="1602526954"/>
        </w:sdtPr>
        <w:sdtEndPr/>
        <w:sdtContent>
          <w:r>
            <w:rPr>
              <w:rFonts w:asciiTheme="minorHAnsi" w:hAnsiTheme="minorHAnsi" w:cstheme="minorHAnsi"/>
              <w:color w:val="000000"/>
              <w:sz w:val="22"/>
              <w:szCs w:val="22"/>
            </w:rPr>
            <w:t xml:space="preserve">and sustainable blue economy </w:t>
          </w:r>
        </w:sdtContent>
      </w:sdt>
      <w:r>
        <w:rPr>
          <w:rFonts w:asciiTheme="minorHAnsi" w:hAnsiTheme="minorHAnsi" w:cstheme="minorHAnsi"/>
          <w:color w:val="000000"/>
          <w:sz w:val="22"/>
          <w:szCs w:val="22"/>
        </w:rPr>
        <w:t>into the TDA-SAP process; and</w:t>
      </w:r>
    </w:p>
    <w:p w14:paraId="2BF11465" w14:textId="77777777" w:rsidR="00031496" w:rsidRDefault="00031496" w:rsidP="00031496">
      <w:pPr>
        <w:numPr>
          <w:ilvl w:val="0"/>
          <w:numId w:val="58"/>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UNDP Cap-Net to use Virtual Campus for delivering training courses. </w:t>
      </w:r>
    </w:p>
    <w:p w14:paraId="65141BC4" w14:textId="77777777" w:rsidR="00031496" w:rsidRPr="00031496" w:rsidRDefault="00031496" w:rsidP="00031496"/>
    <w:p w14:paraId="696CF932" w14:textId="68339F56" w:rsidR="00031496" w:rsidRDefault="00031496" w:rsidP="00031496">
      <w:pPr>
        <w:pStyle w:val="Heading5"/>
        <w:rPr>
          <w:rFonts w:asciiTheme="minorHAnsi" w:hAnsiTheme="minorHAnsi" w:cstheme="minorHAnsi"/>
          <w:b/>
          <w:bCs/>
          <w:color w:val="000000" w:themeColor="text1"/>
          <w:sz w:val="22"/>
          <w:szCs w:val="22"/>
        </w:rPr>
      </w:pPr>
      <w:r w:rsidRPr="00031496">
        <w:rPr>
          <w:rFonts w:asciiTheme="minorHAnsi" w:hAnsiTheme="minorHAnsi" w:cstheme="minorHAnsi"/>
          <w:b/>
          <w:bCs/>
          <w:color w:val="000000" w:themeColor="text1"/>
          <w:sz w:val="22"/>
          <w:szCs w:val="22"/>
        </w:rPr>
        <w:t>Activity 4.3.2: Work with partners and/or GEF IW projects to organize a series of at least three (3) regional trainings on basic concepts and specific technical issues of MSP</w:t>
      </w:r>
    </w:p>
    <w:p w14:paraId="3A284BA5"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One of the main value-added services of the GEF IW:LEARN project, and earlier LME:LEARN project, is the cross-fertilization between projects and their partners that occurs through global and regional blended (combined online and face-to-face) targeted learning.  In the specific marine/LME context, LME:LEARN has, to date, conducted 6 regional training workshops (on ocean governance, partnering with NOAA, and on MSP and Blue Economy, partnering with IOC of UNESCO) for more than 250 beneficiaries from a large number of  GEF International Water projects in three regions: Latin America and a Caribbean, Asia and Pacific, and Africa. </w:t>
      </w:r>
    </w:p>
    <w:p w14:paraId="36EAD9E6" w14:textId="77777777" w:rsidR="00031496" w:rsidRDefault="00031496" w:rsidP="00031496">
      <w:pPr>
        <w:jc w:val="both"/>
        <w:rPr>
          <w:rFonts w:asciiTheme="minorHAnsi" w:hAnsiTheme="minorHAnsi" w:cstheme="minorHAnsi"/>
          <w:sz w:val="22"/>
          <w:szCs w:val="22"/>
        </w:rPr>
      </w:pPr>
    </w:p>
    <w:p w14:paraId="6AB6280A"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project will work in close cooperation with the project’s partners, GEF Agencies, and the GEF IW portfolio to deliver at least three training workshops to take place at the regional-level. The training will be highly participatory and engaging. It allows participants to learn the basics of MSP through a series of participatory exercises and hands-on problem-solving activities </w:t>
      </w:r>
      <w:proofErr w:type="spellStart"/>
      <w:r>
        <w:rPr>
          <w:rFonts w:asciiTheme="minorHAnsi" w:hAnsiTheme="minorHAnsi" w:cstheme="minorHAnsi"/>
          <w:sz w:val="22"/>
          <w:szCs w:val="22"/>
        </w:rPr>
        <w:t>centred</w:t>
      </w:r>
      <w:proofErr w:type="spellEnd"/>
      <w:r>
        <w:rPr>
          <w:rFonts w:asciiTheme="minorHAnsi" w:hAnsiTheme="minorHAnsi" w:cstheme="minorHAnsi"/>
          <w:sz w:val="22"/>
          <w:szCs w:val="22"/>
        </w:rPr>
        <w:t xml:space="preserve"> on MSP challenges of a fictional country. This provides opportunities for them to learn-by-doing without impacting on </w:t>
      </w:r>
      <w:r>
        <w:rPr>
          <w:rFonts w:asciiTheme="minorHAnsi" w:hAnsiTheme="minorHAnsi" w:cstheme="minorHAnsi"/>
          <w:sz w:val="22"/>
          <w:szCs w:val="22"/>
        </w:rPr>
        <w:lastRenderedPageBreak/>
        <w:t xml:space="preserve">real-world stakeholders, to practice using technical and practical tools and techniques without having to fear immediate consequences of oversights or mistakes, and to learn about concepts and theoretical frameworks in a hypothetical but realistic and relatable context. By taking on the roles of different actors, managers and specialists in different exercises, participants are also given an opportunity to reflect on how MSP processes impact on different actors. </w:t>
      </w:r>
    </w:p>
    <w:p w14:paraId="692AFF84" w14:textId="77777777" w:rsidR="00031496" w:rsidRDefault="00031496" w:rsidP="00031496">
      <w:pPr>
        <w:rPr>
          <w:rFonts w:asciiTheme="minorHAnsi" w:hAnsiTheme="minorHAnsi" w:cstheme="minorHAnsi"/>
          <w:sz w:val="22"/>
          <w:szCs w:val="22"/>
        </w:rPr>
      </w:pPr>
    </w:p>
    <w:p w14:paraId="31995CC5"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This hands-on approach to learning makes it easier for participants to subsequently transfer the knowledge to their own circumstances, and develop concrete roadmaps for MSP for their countries or regions. The participatory approach and group exercises also help to shape a community of practitioners who can subsequently share their challenges and solutions more easily.</w:t>
      </w:r>
    </w:p>
    <w:p w14:paraId="6388C808" w14:textId="77777777" w:rsidR="00031496" w:rsidRDefault="00031496" w:rsidP="00031496">
      <w:pPr>
        <w:jc w:val="both"/>
        <w:rPr>
          <w:rFonts w:asciiTheme="minorHAnsi" w:hAnsiTheme="minorHAnsi" w:cstheme="minorHAnsi"/>
          <w:sz w:val="22"/>
          <w:szCs w:val="22"/>
        </w:rPr>
      </w:pPr>
    </w:p>
    <w:p w14:paraId="116ECC47"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project will consult with LMEs on the specific capacity building needs in each region, and depending on what the training needs are, the existing GEF LME:LEARN training package will be updated and adapted to the specific needs, while the relevant sections of the training material developed in Activity 4.3.1 will be added to the package. In doing so, the project will also consult other sources such as  Blue Planning in Practice</w:t>
      </w:r>
      <w:r>
        <w:rPr>
          <w:rFonts w:asciiTheme="minorHAnsi" w:hAnsiTheme="minorHAnsi" w:cstheme="minorHAnsi"/>
          <w:i/>
          <w:sz w:val="22"/>
          <w:szCs w:val="22"/>
        </w:rPr>
        <w:t xml:space="preserve"> </w:t>
      </w:r>
      <w:r>
        <w:rPr>
          <w:rFonts w:asciiTheme="minorHAnsi" w:hAnsiTheme="minorHAnsi" w:cstheme="minorHAnsi"/>
          <w:sz w:val="22"/>
          <w:szCs w:val="22"/>
        </w:rPr>
        <w:t>materials</w:t>
      </w:r>
      <w:sdt>
        <w:sdtPr>
          <w:rPr>
            <w:rFonts w:asciiTheme="minorHAnsi" w:hAnsiTheme="minorHAnsi" w:cstheme="minorHAnsi"/>
          </w:rPr>
          <w:tag w:val="goog_rdk_992"/>
          <w:id w:val="-337155669"/>
        </w:sdtPr>
        <w:sdtEndPr/>
        <w:sdtContent>
          <w:r>
            <w:rPr>
              <w:rFonts w:asciiTheme="minorHAnsi" w:hAnsiTheme="minorHAnsi" w:cstheme="minorHAnsi"/>
              <w:sz w:val="22"/>
              <w:szCs w:val="22"/>
            </w:rPr>
            <w:t xml:space="preserve"> (developed by GIZ and UNEP)</w:t>
          </w:r>
        </w:sdtContent>
      </w:sdt>
      <w:r>
        <w:rPr>
          <w:rFonts w:asciiTheme="minorHAnsi" w:hAnsiTheme="minorHAnsi" w:cstheme="minorHAnsi"/>
          <w:sz w:val="22"/>
          <w:szCs w:val="22"/>
        </w:rPr>
        <w:t xml:space="preserve">, which will be augmented with more in-depth technical training on specific tools of MSP (e.g. GIS databases, </w:t>
      </w:r>
      <w:proofErr w:type="spellStart"/>
      <w:r>
        <w:rPr>
          <w:rFonts w:asciiTheme="minorHAnsi" w:hAnsiTheme="minorHAnsi" w:cstheme="minorHAnsi"/>
          <w:sz w:val="22"/>
          <w:szCs w:val="22"/>
        </w:rPr>
        <w:t>Marxan</w:t>
      </w:r>
      <w:proofErr w:type="spellEnd"/>
      <w:r>
        <w:rPr>
          <w:rFonts w:asciiTheme="minorHAnsi" w:hAnsiTheme="minorHAnsi" w:cstheme="minorHAnsi"/>
          <w:sz w:val="22"/>
          <w:szCs w:val="22"/>
          <w:vertAlign w:val="superscript"/>
        </w:rPr>
        <w:footnoteReference w:id="10"/>
      </w:r>
      <w:r>
        <w:rPr>
          <w:rFonts w:asciiTheme="minorHAnsi" w:hAnsiTheme="minorHAnsi" w:cstheme="minorHAnsi"/>
          <w:sz w:val="22"/>
          <w:szCs w:val="22"/>
        </w:rPr>
        <w:t xml:space="preserve">, co-use of marine space, social aspects of marine management, etc.), and IOC-UNESCO’s forthcoming guidance document for cross-border and transboundary MSP. </w:t>
      </w:r>
    </w:p>
    <w:p w14:paraId="629F6C73" w14:textId="77777777" w:rsidR="00031496" w:rsidRDefault="00031496" w:rsidP="00031496">
      <w:pPr>
        <w:jc w:val="both"/>
        <w:rPr>
          <w:rFonts w:asciiTheme="minorHAnsi" w:hAnsiTheme="minorHAnsi" w:cstheme="minorHAnsi"/>
          <w:sz w:val="22"/>
          <w:szCs w:val="22"/>
        </w:rPr>
      </w:pPr>
    </w:p>
    <w:p w14:paraId="19105B82"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Regional trainings will be physical workshops of one-week maximum duration, with preparatory sessions online. Follow-up guidance and experience-sharing meetings may also be conducted online. In the case where more in-depth technical training needs are identified, technical topics may be introduced during the workshop for all participants, and subsequently detailed technical training could be delivered online to a targeted set of participants. This flexible approach will allow to </w:t>
      </w:r>
      <w:proofErr w:type="spellStart"/>
      <w:r>
        <w:rPr>
          <w:rFonts w:asciiTheme="minorHAnsi" w:hAnsiTheme="minorHAnsi" w:cstheme="minorHAnsi"/>
          <w:sz w:val="22"/>
          <w:szCs w:val="22"/>
        </w:rPr>
        <w:t>minimise</w:t>
      </w:r>
      <w:proofErr w:type="spellEnd"/>
      <w:r>
        <w:rPr>
          <w:rFonts w:asciiTheme="minorHAnsi" w:hAnsiTheme="minorHAnsi" w:cstheme="minorHAnsi"/>
          <w:sz w:val="22"/>
          <w:szCs w:val="22"/>
        </w:rPr>
        <w:t xml:space="preserve"> travel costs and ensure that the content of the training is tailored better to participants.  The activity will support the component outcome by strengthening the management of transboundary marine and freshwater ecosystems.</w:t>
      </w:r>
    </w:p>
    <w:p w14:paraId="23935B00" w14:textId="77777777" w:rsidR="00031496" w:rsidRDefault="00031496" w:rsidP="00031496">
      <w:pPr>
        <w:jc w:val="both"/>
        <w:rPr>
          <w:rFonts w:asciiTheme="minorHAnsi" w:hAnsiTheme="minorHAnsi" w:cstheme="minorHAnsi"/>
          <w:sz w:val="22"/>
          <w:szCs w:val="22"/>
        </w:rPr>
      </w:pPr>
    </w:p>
    <w:p w14:paraId="6716E17E"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role of PCU will be to work in close cooperation with the project’s partners, GEF Agencies, and the GEF IW portfolio to deliver blended learning workshops to take place </w:t>
      </w:r>
      <w:sdt>
        <w:sdtPr>
          <w:rPr>
            <w:rFonts w:asciiTheme="minorHAnsi" w:hAnsiTheme="minorHAnsi" w:cstheme="minorHAnsi"/>
          </w:rPr>
          <w:tag w:val="goog_rdk_995"/>
          <w:id w:val="67155289"/>
        </w:sdtPr>
        <w:sdtEndPr/>
        <w:sdtContent>
          <w:r>
            <w:rPr>
              <w:rFonts w:asciiTheme="minorHAnsi" w:hAnsiTheme="minorHAnsi" w:cstheme="minorHAnsi"/>
              <w:sz w:val="22"/>
              <w:szCs w:val="22"/>
            </w:rPr>
            <w:t>in three</w:t>
          </w:r>
        </w:sdtContent>
      </w:sdt>
      <w:sdt>
        <w:sdtPr>
          <w:rPr>
            <w:rFonts w:asciiTheme="minorHAnsi" w:hAnsiTheme="minorHAnsi" w:cstheme="minorHAnsi"/>
          </w:rPr>
          <w:tag w:val="goog_rdk_997"/>
          <w:id w:val="-1849162080"/>
        </w:sdtPr>
        <w:sdtEndPr/>
        <w:sdtContent>
          <w:r>
            <w:rPr>
              <w:rFonts w:asciiTheme="minorHAnsi" w:hAnsiTheme="minorHAnsi" w:cstheme="minorHAnsi"/>
              <w:sz w:val="22"/>
              <w:szCs w:val="22"/>
            </w:rPr>
            <w:t xml:space="preserve"> regions</w:t>
          </w:r>
        </w:sdtContent>
      </w:sdt>
      <w:r>
        <w:rPr>
          <w:rFonts w:asciiTheme="minorHAnsi" w:hAnsiTheme="minorHAnsi" w:cstheme="minorHAnsi"/>
          <w:sz w:val="22"/>
          <w:szCs w:val="22"/>
        </w:rPr>
        <w:t>.</w:t>
      </w:r>
      <w:sdt>
        <w:sdtPr>
          <w:rPr>
            <w:rFonts w:asciiTheme="minorHAnsi" w:hAnsiTheme="minorHAnsi" w:cstheme="minorHAnsi"/>
          </w:rPr>
          <w:tag w:val="goog_rdk_999"/>
          <w:id w:val="-2060305885"/>
        </w:sdtPr>
        <w:sdtEndPr/>
        <w:sdtContent>
          <w:r>
            <w:rPr>
              <w:rFonts w:asciiTheme="minorHAnsi" w:hAnsiTheme="minorHAnsi" w:cstheme="minorHAnsi"/>
              <w:sz w:val="22"/>
              <w:szCs w:val="22"/>
            </w:rPr>
            <w:t xml:space="preserve"> The regions where the training will take place will be decided during the inception phase of the project.</w:t>
          </w:r>
        </w:sdtContent>
      </w:sdt>
      <w:r>
        <w:rPr>
          <w:rFonts w:asciiTheme="minorHAnsi" w:hAnsiTheme="minorHAnsi" w:cstheme="minorHAnsi"/>
          <w:sz w:val="22"/>
          <w:szCs w:val="22"/>
        </w:rPr>
        <w:t xml:space="preserve"> The partners supporting the implementation of this activity will be:</w:t>
      </w:r>
    </w:p>
    <w:p w14:paraId="73D59E73" w14:textId="77777777" w:rsidR="00031496" w:rsidRDefault="00031496" w:rsidP="00031496">
      <w:pPr>
        <w:jc w:val="both"/>
        <w:rPr>
          <w:rFonts w:asciiTheme="minorHAnsi" w:hAnsiTheme="minorHAnsi" w:cstheme="minorHAnsi"/>
          <w:color w:val="000000"/>
          <w:sz w:val="22"/>
          <w:szCs w:val="22"/>
        </w:rPr>
      </w:pPr>
    </w:p>
    <w:p w14:paraId="652C8F65" w14:textId="77777777" w:rsidR="00031496" w:rsidRDefault="00031496" w:rsidP="00031496">
      <w:pPr>
        <w:numPr>
          <w:ilvl w:val="0"/>
          <w:numId w:val="5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IOC of UNESCO, who will be providing technical support within their MSP expertise; </w:t>
      </w:r>
    </w:p>
    <w:p w14:paraId="79860C00" w14:textId="77777777" w:rsidR="00031496" w:rsidRDefault="00031496" w:rsidP="00031496">
      <w:pPr>
        <w:numPr>
          <w:ilvl w:val="0"/>
          <w:numId w:val="59"/>
        </w:numPr>
        <w:jc w:val="both"/>
        <w:rPr>
          <w:rFonts w:asciiTheme="minorHAnsi" w:hAnsiTheme="minorHAnsi" w:cstheme="minorHAnsi"/>
          <w:color w:val="000000"/>
          <w:sz w:val="22"/>
          <w:szCs w:val="22"/>
        </w:rPr>
      </w:pPr>
      <w:r>
        <w:rPr>
          <w:rFonts w:asciiTheme="minorHAnsi" w:hAnsiTheme="minorHAnsi" w:cstheme="minorHAnsi"/>
          <w:color w:val="000000"/>
          <w:sz w:val="22"/>
          <w:szCs w:val="22"/>
        </w:rPr>
        <w:t>IBRD will provide support bringing in its experience in the environment-natural resources.  Blue Economy practice, as well as on the cross-over areas such as “blue carbon” to bring a new perspective on International Waters; and</w:t>
      </w:r>
    </w:p>
    <w:p w14:paraId="268754F0" w14:textId="77777777" w:rsidR="00031496" w:rsidRDefault="00031496" w:rsidP="00031496">
      <w:pPr>
        <w:numPr>
          <w:ilvl w:val="0"/>
          <w:numId w:val="5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GRID </w:t>
      </w:r>
      <w:proofErr w:type="spellStart"/>
      <w:r>
        <w:rPr>
          <w:rFonts w:asciiTheme="minorHAnsi" w:hAnsiTheme="minorHAnsi" w:cstheme="minorHAnsi"/>
          <w:color w:val="000000"/>
          <w:sz w:val="22"/>
          <w:szCs w:val="22"/>
        </w:rPr>
        <w:t>Arendal</w:t>
      </w:r>
      <w:proofErr w:type="spellEnd"/>
      <w:r>
        <w:rPr>
          <w:rFonts w:asciiTheme="minorHAnsi" w:hAnsiTheme="minorHAnsi" w:cstheme="minorHAnsi"/>
          <w:color w:val="000000"/>
          <w:sz w:val="22"/>
          <w:szCs w:val="22"/>
        </w:rPr>
        <w:t xml:space="preserve">, who will assist in technical </w:t>
      </w:r>
      <w:proofErr w:type="spellStart"/>
      <w:r>
        <w:rPr>
          <w:rFonts w:asciiTheme="minorHAnsi" w:hAnsiTheme="minorHAnsi" w:cstheme="minorHAnsi"/>
          <w:color w:val="000000"/>
          <w:sz w:val="22"/>
          <w:szCs w:val="22"/>
        </w:rPr>
        <w:t>organisation</w:t>
      </w:r>
      <w:proofErr w:type="spellEnd"/>
      <w:r>
        <w:rPr>
          <w:rFonts w:asciiTheme="minorHAnsi" w:hAnsiTheme="minorHAnsi" w:cstheme="minorHAnsi"/>
          <w:color w:val="000000"/>
          <w:sz w:val="22"/>
          <w:szCs w:val="22"/>
        </w:rPr>
        <w:t xml:space="preserve"> of the workshops, in coordination with the PCU</w:t>
      </w:r>
      <w:sdt>
        <w:sdtPr>
          <w:rPr>
            <w:rFonts w:asciiTheme="minorHAnsi" w:hAnsiTheme="minorHAnsi" w:cstheme="minorHAnsi"/>
          </w:rPr>
          <w:tag w:val="goog_rdk_1000"/>
          <w:id w:val="-1856947076"/>
        </w:sdtPr>
        <w:sdtEndPr/>
        <w:sdtContent>
          <w:r>
            <w:rPr>
              <w:rFonts w:asciiTheme="minorHAnsi" w:hAnsiTheme="minorHAnsi" w:cstheme="minorHAnsi"/>
              <w:color w:val="000000"/>
              <w:sz w:val="22"/>
              <w:szCs w:val="22"/>
            </w:rPr>
            <w:t xml:space="preserve"> and the IOC</w:t>
          </w:r>
        </w:sdtContent>
      </w:sdt>
      <w:r>
        <w:rPr>
          <w:rFonts w:asciiTheme="minorHAnsi" w:hAnsiTheme="minorHAnsi" w:cstheme="minorHAnsi"/>
          <w:color w:val="000000"/>
          <w:sz w:val="22"/>
          <w:szCs w:val="22"/>
        </w:rPr>
        <w:t>.</w:t>
      </w:r>
    </w:p>
    <w:p w14:paraId="1F749703" w14:textId="77777777" w:rsidR="00031496" w:rsidRPr="00031496" w:rsidRDefault="00031496" w:rsidP="00031496"/>
    <w:p w14:paraId="3F0585A1" w14:textId="6A8A766B" w:rsidR="00031496" w:rsidRDefault="00031496" w:rsidP="00031496">
      <w:pPr>
        <w:pStyle w:val="Heading5"/>
        <w:rPr>
          <w:rFonts w:asciiTheme="minorHAnsi" w:hAnsiTheme="minorHAnsi" w:cstheme="minorHAnsi"/>
          <w:b/>
          <w:bCs/>
          <w:color w:val="000000" w:themeColor="text1"/>
          <w:sz w:val="22"/>
          <w:szCs w:val="22"/>
        </w:rPr>
      </w:pPr>
      <w:r w:rsidRPr="00031496">
        <w:rPr>
          <w:rFonts w:asciiTheme="minorHAnsi" w:hAnsiTheme="minorHAnsi" w:cstheme="minorHAnsi"/>
          <w:b/>
          <w:bCs/>
          <w:color w:val="000000" w:themeColor="text1"/>
          <w:sz w:val="22"/>
          <w:szCs w:val="22"/>
        </w:rPr>
        <w:t xml:space="preserve">Activity 4.3.3: Work with partners and/or GEF IW projects to organize a series of at least three (3) regional trainings on MSP for sustainable blue economy pathway implementation in the context of the TDA-SAP process    </w:t>
      </w:r>
    </w:p>
    <w:p w14:paraId="5C05139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This activity will </w:t>
      </w:r>
      <w:sdt>
        <w:sdtPr>
          <w:rPr>
            <w:rFonts w:asciiTheme="minorHAnsi" w:hAnsiTheme="minorHAnsi" w:cstheme="minorHAnsi"/>
          </w:rPr>
          <w:tag w:val="goog_rdk_1005"/>
          <w:id w:val="2122031846"/>
        </w:sdtPr>
        <w:sdtEndPr/>
        <w:sdtContent>
          <w:r>
            <w:rPr>
              <w:rFonts w:asciiTheme="minorHAnsi" w:hAnsiTheme="minorHAnsi" w:cstheme="minorHAnsi"/>
              <w:sz w:val="22"/>
              <w:szCs w:val="22"/>
            </w:rPr>
            <w:t xml:space="preserve">follow </w:t>
          </w:r>
        </w:sdtContent>
      </w:sdt>
      <w:r>
        <w:rPr>
          <w:rFonts w:asciiTheme="minorHAnsi" w:hAnsiTheme="minorHAnsi" w:cstheme="minorHAnsi"/>
          <w:sz w:val="22"/>
          <w:szCs w:val="22"/>
        </w:rPr>
        <w:t xml:space="preserve">the same approach and materials </w:t>
      </w:r>
      <w:sdt>
        <w:sdtPr>
          <w:rPr>
            <w:rFonts w:asciiTheme="minorHAnsi" w:hAnsiTheme="minorHAnsi" w:cstheme="minorHAnsi"/>
          </w:rPr>
          <w:tag w:val="goog_rdk_1006"/>
          <w:id w:val="-1303377752"/>
        </w:sdtPr>
        <w:sdtEndPr/>
        <w:sdtContent>
          <w:r>
            <w:rPr>
              <w:rFonts w:asciiTheme="minorHAnsi" w:hAnsiTheme="minorHAnsi" w:cstheme="minorHAnsi"/>
              <w:sz w:val="22"/>
              <w:szCs w:val="22"/>
            </w:rPr>
            <w:t xml:space="preserve">as </w:t>
          </w:r>
        </w:sdtContent>
      </w:sdt>
      <w:r>
        <w:rPr>
          <w:rFonts w:asciiTheme="minorHAnsi" w:hAnsiTheme="minorHAnsi" w:cstheme="minorHAnsi"/>
          <w:sz w:val="22"/>
          <w:szCs w:val="22"/>
        </w:rPr>
        <w:t xml:space="preserve">developed in 4.3.1., that will be designed to tie in with existing materials that are planned to be used for 4.3.2. This will allow them to deliver three regional trainings that build and expand on each other through components 4.3.2. and 4.3.3., ultimately providing participants with practical ways to integrate MSP </w:t>
      </w:r>
      <w:sdt>
        <w:sdtPr>
          <w:rPr>
            <w:rFonts w:asciiTheme="minorHAnsi" w:hAnsiTheme="minorHAnsi" w:cstheme="minorHAnsi"/>
          </w:rPr>
          <w:tag w:val="goog_rdk_1007"/>
          <w:id w:val="1518038018"/>
        </w:sdtPr>
        <w:sdtEndPr/>
        <w:sdtContent>
          <w:r>
            <w:rPr>
              <w:rFonts w:asciiTheme="minorHAnsi" w:hAnsiTheme="minorHAnsi" w:cstheme="minorHAnsi"/>
              <w:sz w:val="22"/>
              <w:szCs w:val="22"/>
            </w:rPr>
            <w:t xml:space="preserve">and sustainable blue economy pathway identification </w:t>
          </w:r>
        </w:sdtContent>
      </w:sdt>
      <w:r>
        <w:rPr>
          <w:rFonts w:asciiTheme="minorHAnsi" w:hAnsiTheme="minorHAnsi" w:cstheme="minorHAnsi"/>
          <w:sz w:val="22"/>
          <w:szCs w:val="22"/>
        </w:rPr>
        <w:t xml:space="preserve">into the TDA-SAP process that is specific to the LME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and to place </w:t>
      </w:r>
      <w:r>
        <w:rPr>
          <w:rFonts w:asciiTheme="minorHAnsi" w:hAnsiTheme="minorHAnsi" w:cstheme="minorHAnsi"/>
          <w:sz w:val="22"/>
          <w:szCs w:val="22"/>
        </w:rPr>
        <w:lastRenderedPageBreak/>
        <w:t xml:space="preserve">both within the context of sustainable blue economy development. The training will conclude with visioning exercises for the respective LMEs, and concrete roadmaps for </w:t>
      </w:r>
      <w:sdt>
        <w:sdtPr>
          <w:rPr>
            <w:rFonts w:asciiTheme="minorHAnsi" w:hAnsiTheme="minorHAnsi" w:cstheme="minorHAnsi"/>
          </w:rPr>
          <w:tag w:val="goog_rdk_1008"/>
          <w:id w:val="-234096268"/>
        </w:sdtPr>
        <w:sdtEndPr/>
        <w:sdtContent>
          <w:r>
            <w:rPr>
              <w:rFonts w:asciiTheme="minorHAnsi" w:hAnsiTheme="minorHAnsi" w:cstheme="minorHAnsi"/>
              <w:sz w:val="22"/>
              <w:szCs w:val="22"/>
            </w:rPr>
            <w:t xml:space="preserve">sustainable </w:t>
          </w:r>
        </w:sdtContent>
      </w:sdt>
      <w:sdt>
        <w:sdtPr>
          <w:rPr>
            <w:rFonts w:asciiTheme="minorHAnsi" w:hAnsiTheme="minorHAnsi" w:cstheme="minorHAnsi"/>
          </w:rPr>
          <w:tag w:val="goog_rdk_1010"/>
          <w:id w:val="967396645"/>
        </w:sdtPr>
        <w:sdtEndPr/>
        <w:sdtContent>
          <w:r>
            <w:rPr>
              <w:rFonts w:asciiTheme="minorHAnsi" w:hAnsiTheme="minorHAnsi" w:cstheme="minorHAnsi"/>
              <w:sz w:val="22"/>
              <w:szCs w:val="22"/>
            </w:rPr>
            <w:t>b</w:t>
          </w:r>
        </w:sdtContent>
      </w:sdt>
      <w:r>
        <w:rPr>
          <w:rFonts w:asciiTheme="minorHAnsi" w:hAnsiTheme="minorHAnsi" w:cstheme="minorHAnsi"/>
          <w:sz w:val="22"/>
          <w:szCs w:val="22"/>
        </w:rPr>
        <w:t xml:space="preserve">lue </w:t>
      </w:r>
      <w:sdt>
        <w:sdtPr>
          <w:rPr>
            <w:rFonts w:asciiTheme="minorHAnsi" w:hAnsiTheme="minorHAnsi" w:cstheme="minorHAnsi"/>
          </w:rPr>
          <w:tag w:val="goog_rdk_1012"/>
          <w:id w:val="-1374992568"/>
        </w:sdtPr>
        <w:sdtEndPr/>
        <w:sdtContent>
          <w:r>
            <w:rPr>
              <w:rFonts w:asciiTheme="minorHAnsi" w:hAnsiTheme="minorHAnsi" w:cstheme="minorHAnsi"/>
              <w:sz w:val="22"/>
              <w:szCs w:val="22"/>
            </w:rPr>
            <w:t>e</w:t>
          </w:r>
        </w:sdtContent>
      </w:sdt>
      <w:r>
        <w:rPr>
          <w:rFonts w:asciiTheme="minorHAnsi" w:hAnsiTheme="minorHAnsi" w:cstheme="minorHAnsi"/>
          <w:sz w:val="22"/>
          <w:szCs w:val="22"/>
        </w:rPr>
        <w:t>conomy development within each region.</w:t>
      </w:r>
    </w:p>
    <w:p w14:paraId="49CE30CC" w14:textId="77777777" w:rsidR="00031496" w:rsidRDefault="00031496" w:rsidP="00031496">
      <w:pPr>
        <w:jc w:val="both"/>
        <w:rPr>
          <w:rFonts w:asciiTheme="minorHAnsi" w:hAnsiTheme="minorHAnsi" w:cstheme="minorHAnsi"/>
          <w:sz w:val="22"/>
          <w:szCs w:val="22"/>
        </w:rPr>
      </w:pPr>
    </w:p>
    <w:p w14:paraId="0632D5E2"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Follow-up guidance and experience-sharing meetings will be conducted online after the face-to-face training events (this may be combined with the elicitation of feedback on the approach and materials developed under 4.3.1. for their continued refinement, as outlined under 4.3.1.). Through the </w:t>
      </w:r>
      <w:sdt>
        <w:sdtPr>
          <w:rPr>
            <w:rFonts w:asciiTheme="minorHAnsi" w:hAnsiTheme="minorHAnsi" w:cstheme="minorHAnsi"/>
          </w:rPr>
          <w:tag w:val="goog_rdk_1013"/>
          <w:id w:val="-285198643"/>
        </w:sdtPr>
        <w:sdtEndPr/>
        <w:sdtContent>
          <w:r>
            <w:rPr>
              <w:rFonts w:asciiTheme="minorHAnsi" w:hAnsiTheme="minorHAnsi" w:cstheme="minorHAnsi"/>
              <w:sz w:val="22"/>
              <w:szCs w:val="22"/>
            </w:rPr>
            <w:t>GIZ-UNEP-IUCN-</w:t>
          </w:r>
        </w:sdtContent>
      </w:sdt>
      <w:r>
        <w:rPr>
          <w:rFonts w:asciiTheme="minorHAnsi" w:hAnsiTheme="minorHAnsi" w:cstheme="minorHAnsi"/>
          <w:sz w:val="22"/>
          <w:szCs w:val="22"/>
        </w:rPr>
        <w:t xml:space="preserve">GRID </w:t>
      </w:r>
      <w:proofErr w:type="spellStart"/>
      <w:r>
        <w:rPr>
          <w:rFonts w:asciiTheme="minorHAnsi" w:hAnsiTheme="minorHAnsi" w:cstheme="minorHAnsi"/>
          <w:sz w:val="22"/>
          <w:szCs w:val="22"/>
        </w:rPr>
        <w:t>Arendal</w:t>
      </w:r>
      <w:proofErr w:type="spellEnd"/>
      <w:r>
        <w:rPr>
          <w:rFonts w:asciiTheme="minorHAnsi" w:hAnsiTheme="minorHAnsi" w:cstheme="minorHAnsi"/>
          <w:sz w:val="22"/>
          <w:szCs w:val="22"/>
        </w:rPr>
        <w:t xml:space="preserve"> </w:t>
      </w:r>
      <w:sdt>
        <w:sdtPr>
          <w:rPr>
            <w:rFonts w:asciiTheme="minorHAnsi" w:hAnsiTheme="minorHAnsi" w:cstheme="minorHAnsi"/>
          </w:rPr>
          <w:tag w:val="goog_rdk_1016"/>
          <w:id w:val="1826628034"/>
        </w:sdtPr>
        <w:sdtEndPr/>
        <w:sdtContent>
          <w:r>
            <w:rPr>
              <w:rFonts w:asciiTheme="minorHAnsi" w:hAnsiTheme="minorHAnsi" w:cstheme="minorHAnsi"/>
              <w:sz w:val="22"/>
              <w:szCs w:val="22"/>
            </w:rPr>
            <w:t xml:space="preserve">Blue Solution </w:t>
          </w:r>
        </w:sdtContent>
      </w:sdt>
      <w:r>
        <w:rPr>
          <w:rFonts w:asciiTheme="minorHAnsi" w:hAnsiTheme="minorHAnsi" w:cstheme="minorHAnsi"/>
          <w:sz w:val="22"/>
          <w:szCs w:val="22"/>
        </w:rPr>
        <w:t>initiative, relevant solutions and peers can be identified, articulated, captured, and recorded so they can be easily shared and accessed to support LME teams in different locations. The activity will support the component outcome by strengthening the management of transboundary marine and freshwater ecosystems.</w:t>
      </w:r>
    </w:p>
    <w:p w14:paraId="6743F56C" w14:textId="77777777" w:rsidR="00031496" w:rsidRDefault="00031496" w:rsidP="00031496">
      <w:pPr>
        <w:jc w:val="both"/>
        <w:rPr>
          <w:rFonts w:asciiTheme="minorHAnsi" w:hAnsiTheme="minorHAnsi" w:cstheme="minorHAnsi"/>
          <w:color w:val="000000"/>
          <w:sz w:val="22"/>
          <w:szCs w:val="22"/>
        </w:rPr>
      </w:pPr>
    </w:p>
    <w:p w14:paraId="352B2486" w14:textId="77777777" w:rsidR="00031496" w:rsidRDefault="00031496" w:rsidP="00031496">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activity will be implemented by UNEP. The role of the PCU </w:t>
      </w:r>
      <w:r>
        <w:rPr>
          <w:rFonts w:asciiTheme="minorHAnsi" w:hAnsiTheme="minorHAnsi" w:cstheme="minorHAnsi"/>
          <w:sz w:val="22"/>
          <w:szCs w:val="22"/>
        </w:rPr>
        <w:t xml:space="preserve">will be to work </w:t>
      </w:r>
      <w:r>
        <w:rPr>
          <w:rFonts w:asciiTheme="minorHAnsi" w:hAnsiTheme="minorHAnsi" w:cstheme="minorHAnsi"/>
          <w:color w:val="000000"/>
          <w:sz w:val="22"/>
          <w:szCs w:val="22"/>
        </w:rPr>
        <w:t>in close collaboration with project partners, GEF Agencies, the GEF IW portfolio and regional bodies/institutions to deliver at least three workshops to take place at the regional level</w:t>
      </w:r>
      <w:sdt>
        <w:sdtPr>
          <w:rPr>
            <w:rFonts w:asciiTheme="minorHAnsi" w:hAnsiTheme="minorHAnsi" w:cstheme="minorHAnsi"/>
          </w:rPr>
          <w:tag w:val="goog_rdk_1017"/>
          <w:id w:val="1436177618"/>
        </w:sdtPr>
        <w:sdtEndPr/>
        <w:sdtContent>
          <w:r>
            <w:rPr>
              <w:rFonts w:asciiTheme="minorHAnsi" w:hAnsiTheme="minorHAnsi" w:cstheme="minorHAnsi"/>
              <w:color w:val="000000"/>
              <w:sz w:val="22"/>
              <w:szCs w:val="22"/>
            </w:rPr>
            <w:t xml:space="preserve">. </w:t>
          </w:r>
        </w:sdtContent>
      </w:sdt>
      <w:r>
        <w:rPr>
          <w:rFonts w:asciiTheme="minorHAnsi" w:hAnsiTheme="minorHAnsi" w:cstheme="minorHAnsi"/>
          <w:color w:val="000000"/>
          <w:sz w:val="22"/>
          <w:szCs w:val="22"/>
        </w:rPr>
        <w:t xml:space="preserve"> </w:t>
      </w:r>
      <w:sdt>
        <w:sdtPr>
          <w:rPr>
            <w:rFonts w:asciiTheme="minorHAnsi" w:hAnsiTheme="minorHAnsi" w:cstheme="minorHAnsi"/>
          </w:rPr>
          <w:tag w:val="goog_rdk_1018"/>
          <w:id w:val="1529833230"/>
        </w:sdtPr>
        <w:sdtEndPr/>
        <w:sdtContent>
          <w:r>
            <w:rPr>
              <w:rFonts w:asciiTheme="minorHAnsi" w:hAnsiTheme="minorHAnsi" w:cstheme="minorHAnsi"/>
              <w:sz w:val="22"/>
              <w:szCs w:val="22"/>
            </w:rPr>
            <w:t xml:space="preserve">The regions where the training will take place will be decided during the inception phase of the project. </w:t>
          </w:r>
        </w:sdtContent>
      </w:sdt>
      <w:r>
        <w:rPr>
          <w:rFonts w:asciiTheme="minorHAnsi" w:hAnsiTheme="minorHAnsi" w:cstheme="minorHAnsi"/>
          <w:color w:val="000000"/>
          <w:sz w:val="22"/>
          <w:szCs w:val="22"/>
        </w:rPr>
        <w:t>The partners involved in supporting the implementation of this activity will be:</w:t>
      </w:r>
    </w:p>
    <w:p w14:paraId="5324FEEC" w14:textId="77777777" w:rsidR="00031496" w:rsidRDefault="00031496" w:rsidP="00031496">
      <w:pPr>
        <w:jc w:val="both"/>
        <w:rPr>
          <w:rFonts w:asciiTheme="minorHAnsi" w:hAnsiTheme="minorHAnsi" w:cstheme="minorHAnsi"/>
          <w:sz w:val="22"/>
          <w:szCs w:val="22"/>
        </w:rPr>
      </w:pPr>
    </w:p>
    <w:p w14:paraId="4D548032" w14:textId="77777777" w:rsidR="00031496" w:rsidRDefault="00031496" w:rsidP="00031496">
      <w:pPr>
        <w:numPr>
          <w:ilvl w:val="0"/>
          <w:numId w:val="6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GRID </w:t>
      </w:r>
      <w:proofErr w:type="spellStart"/>
      <w:r>
        <w:rPr>
          <w:rFonts w:asciiTheme="minorHAnsi" w:hAnsiTheme="minorHAnsi" w:cstheme="minorHAnsi"/>
          <w:color w:val="000000"/>
          <w:sz w:val="22"/>
          <w:szCs w:val="22"/>
        </w:rPr>
        <w:t>Arendal</w:t>
      </w:r>
      <w:proofErr w:type="spellEnd"/>
      <w:r>
        <w:rPr>
          <w:rFonts w:asciiTheme="minorHAnsi" w:hAnsiTheme="minorHAnsi" w:cstheme="minorHAnsi"/>
          <w:color w:val="000000"/>
          <w:sz w:val="22"/>
          <w:szCs w:val="22"/>
        </w:rPr>
        <w:t xml:space="preserve">, who will take the leading role in implementing this activity. It will undertake, among other, the technical </w:t>
      </w:r>
      <w:proofErr w:type="spellStart"/>
      <w:r>
        <w:rPr>
          <w:rFonts w:asciiTheme="minorHAnsi" w:hAnsiTheme="minorHAnsi" w:cstheme="minorHAnsi"/>
          <w:color w:val="000000"/>
          <w:sz w:val="22"/>
          <w:szCs w:val="22"/>
        </w:rPr>
        <w:t>organisation</w:t>
      </w:r>
      <w:proofErr w:type="spellEnd"/>
      <w:r>
        <w:rPr>
          <w:rFonts w:asciiTheme="minorHAnsi" w:hAnsiTheme="minorHAnsi" w:cstheme="minorHAnsi"/>
          <w:color w:val="000000"/>
          <w:sz w:val="22"/>
          <w:szCs w:val="22"/>
        </w:rPr>
        <w:t xml:space="preserve"> of the workshops, in coordination with the PCU; and</w:t>
      </w:r>
    </w:p>
    <w:sdt>
      <w:sdtPr>
        <w:rPr>
          <w:rFonts w:asciiTheme="minorHAnsi" w:hAnsiTheme="minorHAnsi" w:cstheme="minorHAnsi"/>
        </w:rPr>
        <w:tag w:val="goog_rdk_1027"/>
        <w:id w:val="956453481"/>
      </w:sdtPr>
      <w:sdtEndPr/>
      <w:sdtContent>
        <w:p w14:paraId="3DC6DD8C" w14:textId="77777777" w:rsidR="00031496" w:rsidRDefault="00F57A55" w:rsidP="00031496">
          <w:pPr>
            <w:numPr>
              <w:ilvl w:val="0"/>
              <w:numId w:val="60"/>
            </w:numPr>
            <w:jc w:val="both"/>
            <w:rPr>
              <w:rFonts w:asciiTheme="minorHAnsi" w:hAnsiTheme="minorHAnsi" w:cstheme="minorHAnsi"/>
              <w:color w:val="000000"/>
              <w:sz w:val="22"/>
              <w:szCs w:val="22"/>
            </w:rPr>
          </w:pPr>
          <w:sdt>
            <w:sdtPr>
              <w:rPr>
                <w:rFonts w:asciiTheme="minorHAnsi" w:hAnsiTheme="minorHAnsi" w:cstheme="minorHAnsi"/>
              </w:rPr>
              <w:tag w:val="goog_rdk_1020"/>
              <w:id w:val="848211854"/>
            </w:sdtPr>
            <w:sdtEndPr/>
            <w:sdtContent>
              <w:r w:rsidR="00031496">
                <w:rPr>
                  <w:rFonts w:asciiTheme="minorHAnsi" w:eastAsia="Calibri" w:hAnsiTheme="minorHAnsi" w:cstheme="minorHAnsi"/>
                  <w:color w:val="000000"/>
                  <w:sz w:val="22"/>
                  <w:szCs w:val="22"/>
                </w:rPr>
                <w:t>IOC of UNESCO, who will provide technical support within their MSP expertise</w:t>
              </w:r>
            </w:sdtContent>
          </w:sdt>
          <w:sdt>
            <w:sdtPr>
              <w:rPr>
                <w:rFonts w:asciiTheme="minorHAnsi" w:hAnsiTheme="minorHAnsi" w:cstheme="minorHAnsi"/>
              </w:rPr>
              <w:tag w:val="goog_rdk_1021"/>
              <w:id w:val="-1476987068"/>
            </w:sdtPr>
            <w:sdtEndPr/>
            <w:sdtContent>
              <w:sdt>
                <w:sdtPr>
                  <w:rPr>
                    <w:rFonts w:asciiTheme="minorHAnsi" w:hAnsiTheme="minorHAnsi" w:cstheme="minorHAnsi"/>
                  </w:rPr>
                  <w:tag w:val="goog_rdk_1022"/>
                  <w:id w:val="1016194778"/>
                </w:sdtPr>
                <w:sdtEndPr/>
                <w:sdtContent>
                  <w:r w:rsidR="00031496">
                    <w:rPr>
                      <w:rFonts w:asciiTheme="minorHAnsi" w:eastAsia="Calibri" w:hAnsiTheme="minorHAnsi" w:cstheme="minorHAnsi"/>
                      <w:color w:val="000000"/>
                      <w:sz w:val="22"/>
                      <w:szCs w:val="22"/>
                    </w:rPr>
                    <w:t xml:space="preserve">; and </w:t>
                  </w:r>
                </w:sdtContent>
              </w:sdt>
            </w:sdtContent>
          </w:sdt>
          <w:sdt>
            <w:sdtPr>
              <w:rPr>
                <w:rFonts w:asciiTheme="minorHAnsi" w:hAnsiTheme="minorHAnsi" w:cstheme="minorHAnsi"/>
              </w:rPr>
              <w:tag w:val="goog_rdk_1023"/>
              <w:id w:val="-2042202410"/>
            </w:sdtPr>
            <w:sdtEndPr/>
            <w:sdtContent>
              <w:sdt>
                <w:sdtPr>
                  <w:rPr>
                    <w:rFonts w:asciiTheme="minorHAnsi" w:hAnsiTheme="minorHAnsi" w:cstheme="minorHAnsi"/>
                  </w:rPr>
                  <w:tag w:val="goog_rdk_1024"/>
                  <w:id w:val="1295802050"/>
                  <w:showingPlcHdr/>
                </w:sdtPr>
                <w:sdtEndPr/>
                <w:sdtContent>
                  <w:r w:rsidR="00031496">
                    <w:rPr>
                      <w:rFonts w:asciiTheme="minorHAnsi" w:hAnsiTheme="minorHAnsi" w:cstheme="minorHAnsi"/>
                    </w:rPr>
                    <w:t xml:space="preserve">     </w:t>
                  </w:r>
                </w:sdtContent>
              </w:sdt>
            </w:sdtContent>
          </w:sdt>
          <w:sdt>
            <w:sdtPr>
              <w:rPr>
                <w:rFonts w:asciiTheme="minorHAnsi" w:hAnsiTheme="minorHAnsi" w:cstheme="minorHAnsi"/>
              </w:rPr>
              <w:tag w:val="goog_rdk_1025"/>
              <w:id w:val="-69043401"/>
            </w:sdtPr>
            <w:sdtEndPr/>
            <w:sdtContent>
              <w:sdt>
                <w:sdtPr>
                  <w:rPr>
                    <w:rFonts w:asciiTheme="minorHAnsi" w:hAnsiTheme="minorHAnsi" w:cstheme="minorHAnsi"/>
                  </w:rPr>
                  <w:tag w:val="goog_rdk_1026"/>
                  <w:id w:val="1040095248"/>
                </w:sdtPr>
                <w:sdtEndPr/>
                <w:sdtContent/>
              </w:sdt>
            </w:sdtContent>
          </w:sdt>
        </w:p>
      </w:sdtContent>
    </w:sdt>
    <w:sdt>
      <w:sdtPr>
        <w:rPr>
          <w:rFonts w:asciiTheme="minorHAnsi" w:hAnsiTheme="minorHAnsi" w:cstheme="minorHAnsi"/>
        </w:rPr>
        <w:tag w:val="goog_rdk_1035"/>
        <w:id w:val="1173921632"/>
      </w:sdtPr>
      <w:sdtEndPr/>
      <w:sdtContent>
        <w:p w14:paraId="5CEDCD39" w14:textId="51031C2E" w:rsidR="00031496" w:rsidRPr="00F439E2" w:rsidRDefault="00F57A55" w:rsidP="00F439E2">
          <w:pPr>
            <w:numPr>
              <w:ilvl w:val="0"/>
              <w:numId w:val="60"/>
            </w:numPr>
            <w:jc w:val="both"/>
            <w:rPr>
              <w:rFonts w:asciiTheme="minorHAnsi" w:hAnsiTheme="minorHAnsi" w:cstheme="minorHAnsi"/>
              <w:color w:val="000000"/>
              <w:sz w:val="22"/>
              <w:szCs w:val="22"/>
            </w:rPr>
          </w:pPr>
          <w:sdt>
            <w:sdtPr>
              <w:rPr>
                <w:rFonts w:asciiTheme="minorHAnsi" w:hAnsiTheme="minorHAnsi" w:cstheme="minorHAnsi"/>
              </w:rPr>
              <w:tag w:val="goog_rdk_1029"/>
              <w:id w:val="1078326428"/>
            </w:sdtPr>
            <w:sdtEndPr/>
            <w:sdtContent>
              <w:sdt>
                <w:sdtPr>
                  <w:rPr>
                    <w:rFonts w:asciiTheme="minorHAnsi" w:hAnsiTheme="minorHAnsi" w:cstheme="minorHAnsi"/>
                  </w:rPr>
                  <w:tag w:val="goog_rdk_1030"/>
                  <w:id w:val="-803381448"/>
                </w:sdtPr>
                <w:sdtEndPr/>
                <w:sdtContent>
                  <w:r w:rsidR="00031496">
                    <w:rPr>
                      <w:rFonts w:asciiTheme="minorHAnsi" w:hAnsiTheme="minorHAnsi" w:cstheme="minorHAnsi"/>
                      <w:sz w:val="22"/>
                      <w:szCs w:val="22"/>
                    </w:rPr>
                    <w:t xml:space="preserve">University of Portsmouth, who </w:t>
                  </w:r>
                </w:sdtContent>
              </w:sdt>
            </w:sdtContent>
          </w:sdt>
          <w:sdt>
            <w:sdtPr>
              <w:rPr>
                <w:rFonts w:asciiTheme="minorHAnsi" w:hAnsiTheme="minorHAnsi" w:cstheme="minorHAnsi"/>
              </w:rPr>
              <w:tag w:val="goog_rdk_1031"/>
              <w:id w:val="2082010168"/>
            </w:sdtPr>
            <w:sdtEndPr/>
            <w:sdtContent>
              <w:r w:rsidR="00031496">
                <w:rPr>
                  <w:rFonts w:asciiTheme="minorHAnsi" w:hAnsiTheme="minorHAnsi" w:cstheme="minorHAnsi"/>
                  <w:sz w:val="22"/>
                  <w:szCs w:val="22"/>
                </w:rPr>
                <w:t>will</w:t>
              </w:r>
            </w:sdtContent>
          </w:sdt>
          <w:sdt>
            <w:sdtPr>
              <w:rPr>
                <w:rFonts w:asciiTheme="minorHAnsi" w:hAnsiTheme="minorHAnsi" w:cstheme="minorHAnsi"/>
              </w:rPr>
              <w:tag w:val="goog_rdk_1032"/>
              <w:id w:val="-1862351595"/>
            </w:sdtPr>
            <w:sdtEndPr/>
            <w:sdtContent>
              <w:sdt>
                <w:sdtPr>
                  <w:rPr>
                    <w:rFonts w:asciiTheme="minorHAnsi" w:hAnsiTheme="minorHAnsi" w:cstheme="minorHAnsi"/>
                  </w:rPr>
                  <w:tag w:val="goog_rdk_1033"/>
                  <w:id w:val="1684706981"/>
                </w:sdtPr>
                <w:sdtEndPr/>
                <w:sdtContent>
                  <w:r w:rsidR="00031496">
                    <w:rPr>
                      <w:rFonts w:asciiTheme="minorHAnsi" w:hAnsiTheme="minorHAnsi" w:cstheme="minorHAnsi"/>
                      <w:sz w:val="22"/>
                      <w:szCs w:val="22"/>
                    </w:rPr>
                    <w:t xml:space="preserve"> provide technical support on sustainable blue economy planning.</w:t>
                  </w:r>
                </w:sdtContent>
              </w:sdt>
            </w:sdtContent>
          </w:sdt>
          <w:sdt>
            <w:sdtPr>
              <w:rPr>
                <w:rFonts w:asciiTheme="minorHAnsi" w:hAnsiTheme="minorHAnsi" w:cstheme="minorHAnsi"/>
              </w:rPr>
              <w:tag w:val="goog_rdk_1034"/>
              <w:id w:val="252243332"/>
            </w:sdtPr>
            <w:sdtEndPr/>
            <w:sdtContent/>
          </w:sdt>
        </w:p>
      </w:sdtContent>
    </w:sdt>
    <w:p w14:paraId="46A93A13" w14:textId="77777777" w:rsidR="00031496" w:rsidRPr="00031496" w:rsidRDefault="00031496" w:rsidP="00031496"/>
    <w:p w14:paraId="6525CE08" w14:textId="2DE0BD58" w:rsidR="00031496" w:rsidRDefault="00031496" w:rsidP="00031496">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4.4</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Global and regional dialogue activities to promote collaboration among LMEs, Regional Seas bodies and Regional Fisheries Management Organizations (RFMOs), Areas Beyond National Jurisdiction (ABNJ) and River Basin Organizations (RBOs), especially via the Annual LME Consultation (UNDP)</w:t>
      </w:r>
    </w:p>
    <w:p w14:paraId="34A0395F" w14:textId="77777777" w:rsidR="00031496" w:rsidRDefault="00031496" w:rsidP="00031496">
      <w:pPr>
        <w:jc w:val="both"/>
        <w:rPr>
          <w:rFonts w:asciiTheme="minorHAnsi" w:hAnsiTheme="minorHAnsi" w:cstheme="minorHAnsi"/>
          <w:b/>
          <w:sz w:val="22"/>
          <w:szCs w:val="22"/>
        </w:rPr>
      </w:pPr>
    </w:p>
    <w:p w14:paraId="01C5C67C"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Summary of outputs, outcomes and budget</w:t>
      </w:r>
    </w:p>
    <w:p w14:paraId="1B5C35C7" w14:textId="77777777" w:rsidR="00031496" w:rsidRDefault="00031496" w:rsidP="00031496">
      <w:pPr>
        <w:shd w:val="clear" w:color="auto" w:fill="E7E6E6"/>
        <w:jc w:val="both"/>
        <w:rPr>
          <w:rFonts w:asciiTheme="minorHAnsi" w:hAnsiTheme="minorHAnsi" w:cstheme="minorHAnsi"/>
          <w:sz w:val="22"/>
          <w:szCs w:val="22"/>
        </w:rPr>
      </w:pPr>
    </w:p>
    <w:p w14:paraId="3B87C5A6"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output</w:t>
      </w:r>
      <w:r>
        <w:rPr>
          <w:rFonts w:asciiTheme="minorHAnsi" w:hAnsiTheme="minorHAnsi" w:cstheme="minorHAnsi"/>
          <w:sz w:val="22"/>
          <w:szCs w:val="22"/>
        </w:rPr>
        <w:t xml:space="preserve"> from sub-component 4.4 is:</w:t>
      </w:r>
    </w:p>
    <w:p w14:paraId="62B63E2E" w14:textId="77777777" w:rsidR="00031496" w:rsidRDefault="00031496" w:rsidP="00031496">
      <w:pPr>
        <w:shd w:val="clear" w:color="auto" w:fill="E7E6E6"/>
        <w:jc w:val="both"/>
        <w:rPr>
          <w:rFonts w:asciiTheme="minorHAnsi" w:hAnsiTheme="minorHAnsi" w:cstheme="minorHAnsi"/>
          <w:sz w:val="22"/>
          <w:szCs w:val="22"/>
        </w:rPr>
      </w:pPr>
    </w:p>
    <w:p w14:paraId="047C527E"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Global and regional dialogue activities to promote collaboration among LMEs, Regional Seas bodies and Regional Fisheries Management Organizations (RFMOs), Areas Beyond National Jurisdiction (ABNJ) and River Basin Organizations (RBOs), especially via the Annual LME Consultation</w:t>
      </w:r>
    </w:p>
    <w:p w14:paraId="30754ED7" w14:textId="77777777" w:rsidR="00031496" w:rsidRDefault="00031496" w:rsidP="00031496">
      <w:pPr>
        <w:shd w:val="clear" w:color="auto" w:fill="E7E6E6"/>
        <w:jc w:val="both"/>
        <w:rPr>
          <w:rFonts w:asciiTheme="minorHAnsi" w:hAnsiTheme="minorHAnsi" w:cstheme="minorHAnsi"/>
          <w:sz w:val="22"/>
          <w:szCs w:val="22"/>
        </w:rPr>
      </w:pPr>
    </w:p>
    <w:p w14:paraId="1F5E683F"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 xml:space="preserve">The expected </w:t>
      </w:r>
      <w:r>
        <w:rPr>
          <w:rFonts w:asciiTheme="minorHAnsi" w:hAnsiTheme="minorHAnsi" w:cstheme="minorHAnsi"/>
          <w:b/>
          <w:sz w:val="22"/>
          <w:szCs w:val="22"/>
        </w:rPr>
        <w:t>outcome</w:t>
      </w:r>
      <w:r>
        <w:rPr>
          <w:rFonts w:asciiTheme="minorHAnsi" w:hAnsiTheme="minorHAnsi" w:cstheme="minorHAnsi"/>
          <w:sz w:val="22"/>
          <w:szCs w:val="22"/>
        </w:rPr>
        <w:t xml:space="preserve"> from sub-component 4.4 is:</w:t>
      </w:r>
    </w:p>
    <w:p w14:paraId="03D20013" w14:textId="77777777" w:rsidR="00031496" w:rsidRDefault="00031496" w:rsidP="00031496">
      <w:pPr>
        <w:shd w:val="clear" w:color="auto" w:fill="E7E6E6"/>
        <w:jc w:val="both"/>
        <w:rPr>
          <w:rFonts w:asciiTheme="minorHAnsi" w:hAnsiTheme="minorHAnsi" w:cstheme="minorHAnsi"/>
          <w:sz w:val="22"/>
          <w:szCs w:val="22"/>
        </w:rPr>
      </w:pPr>
    </w:p>
    <w:p w14:paraId="2A597B72"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Improved management of transboundary freshwater and marine ecosystems</w:t>
      </w:r>
    </w:p>
    <w:p w14:paraId="45E19423" w14:textId="77777777" w:rsidR="00031496" w:rsidRDefault="00031496" w:rsidP="00031496">
      <w:pPr>
        <w:shd w:val="clear" w:color="auto" w:fill="E7E6E6"/>
        <w:jc w:val="both"/>
        <w:rPr>
          <w:rFonts w:asciiTheme="minorHAnsi" w:hAnsiTheme="minorHAnsi" w:cstheme="minorHAnsi"/>
          <w:b/>
          <w:sz w:val="22"/>
          <w:szCs w:val="22"/>
        </w:rPr>
      </w:pPr>
    </w:p>
    <w:p w14:paraId="79FCE6BE" w14:textId="77777777" w:rsidR="00031496" w:rsidRDefault="00031496" w:rsidP="00031496">
      <w:pPr>
        <w:shd w:val="clear" w:color="auto" w:fill="E7E6E6"/>
        <w:jc w:val="both"/>
        <w:rPr>
          <w:rFonts w:asciiTheme="minorHAnsi" w:hAnsiTheme="minorHAnsi" w:cstheme="minorHAnsi"/>
          <w:b/>
          <w:sz w:val="22"/>
          <w:szCs w:val="22"/>
        </w:rPr>
      </w:pPr>
      <w:r>
        <w:rPr>
          <w:rFonts w:asciiTheme="minorHAnsi" w:hAnsiTheme="minorHAnsi" w:cstheme="minorHAnsi"/>
          <w:b/>
          <w:sz w:val="22"/>
          <w:szCs w:val="22"/>
        </w:rPr>
        <w:t>The overall costs for Component 4: GEF Grant USD1,278,996 (UNDP Components all except 4.3.3) 250,000 (UNEP Components 4.3.3)</w:t>
      </w:r>
    </w:p>
    <w:p w14:paraId="762CF3AB"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b/>
          <w:sz w:val="22"/>
          <w:szCs w:val="22"/>
        </w:rPr>
        <w:t>This sub-component links to the following sub-components</w:t>
      </w:r>
      <w:r>
        <w:rPr>
          <w:rFonts w:asciiTheme="minorHAnsi" w:hAnsiTheme="minorHAnsi" w:cstheme="minorHAnsi"/>
          <w:sz w:val="22"/>
          <w:szCs w:val="22"/>
        </w:rPr>
        <w:t xml:space="preserve">: </w:t>
      </w:r>
    </w:p>
    <w:p w14:paraId="358CCFA6" w14:textId="77777777" w:rsidR="00031496" w:rsidRDefault="00031496" w:rsidP="00031496">
      <w:pPr>
        <w:shd w:val="clear" w:color="auto" w:fill="E7E6E6"/>
        <w:jc w:val="both"/>
        <w:rPr>
          <w:rFonts w:asciiTheme="minorHAnsi" w:hAnsiTheme="minorHAnsi" w:cstheme="minorHAnsi"/>
          <w:b/>
          <w:sz w:val="22"/>
          <w:szCs w:val="22"/>
        </w:rPr>
      </w:pPr>
    </w:p>
    <w:p w14:paraId="7606D5C3" w14:textId="77777777" w:rsidR="00031496" w:rsidRDefault="00031496" w:rsidP="00031496">
      <w:pPr>
        <w:shd w:val="clear" w:color="auto" w:fill="E7E6E6"/>
        <w:jc w:val="both"/>
        <w:rPr>
          <w:rFonts w:asciiTheme="minorHAnsi" w:hAnsiTheme="minorHAnsi" w:cstheme="minorHAnsi"/>
          <w:sz w:val="22"/>
          <w:szCs w:val="22"/>
        </w:rPr>
      </w:pPr>
      <w:r>
        <w:rPr>
          <w:rFonts w:asciiTheme="minorHAnsi" w:hAnsiTheme="minorHAnsi" w:cstheme="minorHAnsi"/>
          <w:sz w:val="22"/>
          <w:szCs w:val="22"/>
        </w:rPr>
        <w:t>4.2: Exchanges to promote conjunctive management through governance of freshwater in GEF projects, both groundwater and surface water, as well as with coastal and ocean projects</w:t>
      </w:r>
    </w:p>
    <w:p w14:paraId="7F439E76" w14:textId="77777777" w:rsidR="00031496" w:rsidRDefault="00031496" w:rsidP="00031496">
      <w:pPr>
        <w:shd w:val="clear" w:color="auto" w:fill="E7E6E6"/>
        <w:jc w:val="both"/>
        <w:rPr>
          <w:rFonts w:asciiTheme="minorHAnsi" w:hAnsiTheme="minorHAnsi" w:cstheme="minorHAnsi"/>
          <w:sz w:val="22"/>
          <w:szCs w:val="22"/>
        </w:rPr>
      </w:pPr>
    </w:p>
    <w:p w14:paraId="60230230" w14:textId="77777777" w:rsidR="00031496" w:rsidRDefault="00031496" w:rsidP="00031496">
      <w:pPr>
        <w:shd w:val="clear" w:color="auto" w:fill="E7E6E6"/>
        <w:jc w:val="both"/>
        <w:rPr>
          <w:rFonts w:asciiTheme="minorHAnsi" w:hAnsiTheme="minorHAnsi" w:cstheme="minorHAnsi"/>
          <w:b/>
          <w:sz w:val="22"/>
          <w:szCs w:val="22"/>
        </w:rPr>
      </w:pPr>
      <w:r>
        <w:rPr>
          <w:rFonts w:asciiTheme="minorHAnsi" w:hAnsiTheme="minorHAnsi" w:cstheme="minorHAnsi"/>
          <w:sz w:val="22"/>
          <w:szCs w:val="22"/>
        </w:rPr>
        <w:t>4.3: Training and capacity building activities in support of marine spatial planning as a tool for strengthening blue economy opportunities</w:t>
      </w:r>
    </w:p>
    <w:p w14:paraId="3A17C5E0" w14:textId="77777777" w:rsidR="00031496" w:rsidRDefault="00031496" w:rsidP="00031496">
      <w:pPr>
        <w:jc w:val="both"/>
        <w:rPr>
          <w:rFonts w:asciiTheme="minorHAnsi" w:hAnsiTheme="minorHAnsi" w:cstheme="minorHAnsi"/>
          <w:sz w:val="22"/>
          <w:szCs w:val="22"/>
        </w:rPr>
      </w:pPr>
    </w:p>
    <w:p w14:paraId="3D0F056E"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Effectively managing the world’s oceans and safeguarding them for future generations is not achievable alone. Partnerships are now more important than ever to address the issues challenging the health of the ocean and threatening human well-being on a global scale. Three regional ocean governance mechanisms are closely associated with the GEF international water portfolio namely, Large Marine Ecosystem (LME) projects and </w:t>
      </w:r>
      <w:proofErr w:type="spellStart"/>
      <w:r>
        <w:rPr>
          <w:rFonts w:asciiTheme="minorHAnsi" w:hAnsiTheme="minorHAnsi" w:cstheme="minorHAnsi"/>
          <w:sz w:val="22"/>
          <w:szCs w:val="22"/>
        </w:rPr>
        <w:t>programmes</w:t>
      </w:r>
      <w:proofErr w:type="spellEnd"/>
      <w:r>
        <w:rPr>
          <w:rFonts w:asciiTheme="minorHAnsi" w:hAnsiTheme="minorHAnsi" w:cstheme="minorHAnsi"/>
          <w:sz w:val="22"/>
          <w:szCs w:val="22"/>
        </w:rPr>
        <w:t xml:space="preserve"> (and Commissions), Regional Seas Bodies and </w:t>
      </w:r>
      <w:proofErr w:type="spellStart"/>
      <w:r>
        <w:rPr>
          <w:rFonts w:asciiTheme="minorHAnsi" w:hAnsiTheme="minorHAnsi" w:cstheme="minorHAnsi"/>
          <w:sz w:val="22"/>
          <w:szCs w:val="22"/>
        </w:rPr>
        <w:t>Programmes</w:t>
      </w:r>
      <w:proofErr w:type="spellEnd"/>
      <w:r>
        <w:rPr>
          <w:rFonts w:asciiTheme="minorHAnsi" w:hAnsiTheme="minorHAnsi" w:cstheme="minorHAnsi"/>
          <w:sz w:val="22"/>
          <w:szCs w:val="22"/>
        </w:rPr>
        <w:t xml:space="preserve"> (some administered by UNEP) and Regional Fisheries Bodies (many administered or associated with the Food and Agricultural Organization of the United Nations). Improved collaboration and cooperation are critical to solving the multitude of problems facing oceans. This requires strong cross-sectoral partnerships among institutions and projects.</w:t>
      </w:r>
    </w:p>
    <w:p w14:paraId="04502BC0" w14:textId="77777777" w:rsidR="00031496" w:rsidRDefault="00031496" w:rsidP="00031496">
      <w:pPr>
        <w:jc w:val="both"/>
        <w:rPr>
          <w:rFonts w:asciiTheme="minorHAnsi" w:hAnsiTheme="minorHAnsi" w:cstheme="minorHAnsi"/>
          <w:sz w:val="22"/>
          <w:szCs w:val="22"/>
        </w:rPr>
      </w:pPr>
    </w:p>
    <w:p w14:paraId="12AB0F9D"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GEF-7 Strategy </w:t>
      </w:r>
      <w:proofErr w:type="spellStart"/>
      <w:r>
        <w:rPr>
          <w:rFonts w:asciiTheme="minorHAnsi" w:hAnsiTheme="minorHAnsi" w:cstheme="minorHAnsi"/>
          <w:sz w:val="22"/>
          <w:szCs w:val="22"/>
        </w:rPr>
        <w:t>recognises</w:t>
      </w:r>
      <w:proofErr w:type="spellEnd"/>
      <w:r>
        <w:rPr>
          <w:rFonts w:asciiTheme="minorHAnsi" w:hAnsiTheme="minorHAnsi" w:cstheme="minorHAnsi"/>
          <w:sz w:val="22"/>
          <w:szCs w:val="22"/>
        </w:rPr>
        <w:t xml:space="preserve"> the necessity to foster collaboration among LMEs, Regional Seas Conventions, and Regional Fisheries Management </w:t>
      </w:r>
      <w:proofErr w:type="spellStart"/>
      <w:r>
        <w:rPr>
          <w:rFonts w:asciiTheme="minorHAnsi" w:hAnsiTheme="minorHAnsi" w:cstheme="minorHAnsi"/>
          <w:sz w:val="22"/>
          <w:szCs w:val="22"/>
        </w:rPr>
        <w:t>Organisations</w:t>
      </w:r>
      <w:proofErr w:type="spellEnd"/>
      <w:r>
        <w:rPr>
          <w:rFonts w:asciiTheme="minorHAnsi" w:hAnsiTheme="minorHAnsi" w:cstheme="minorHAnsi"/>
          <w:sz w:val="22"/>
          <w:szCs w:val="22"/>
        </w:rPr>
        <w:t xml:space="preserve"> for a more effective ocean governance, both within countries’ exclusive economic zones (EEZs) and in areas beyond national jurisdiction (ABNJs). To achieve this aim, a coordinated policy-making process needs to be established for development and planning with a long-term vision to maximize livelihood and food security benefits while conserving the ecosystem services of the oceans and maintaining their carrying capacity, so critical to planetary security. This aligns with the requirement for regional ocean governance mechanisms to support the implementation of Agenda 2030 and in particular SDG 14.</w:t>
      </w:r>
    </w:p>
    <w:p w14:paraId="4782A99D" w14:textId="77777777" w:rsidR="00031496" w:rsidRDefault="00031496" w:rsidP="00031496">
      <w:pPr>
        <w:jc w:val="both"/>
        <w:rPr>
          <w:rFonts w:asciiTheme="minorHAnsi" w:hAnsiTheme="minorHAnsi" w:cstheme="minorHAnsi"/>
          <w:sz w:val="22"/>
          <w:szCs w:val="22"/>
        </w:rPr>
      </w:pPr>
    </w:p>
    <w:p w14:paraId="7AB1D2FC"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At the same time, freshwater resources are essential for producing food, enabling the power industry, quenching our thirst and supporting ecosystems. Besides scales, management of these water resources from their source to the sea is essential to sustainably manage the marine and coastal ecosystems (Source-to-sea management, or ridge-to-reef). In addition to that, management of these water resources has been an organizing principle of the GEF international waters focal area since its inception. The need for a closer collaboration to enhance cross-sectoral, science-based ecosystem approaches to regional ocean governance has been discussed at a number of international meetings over the years, but especially in the preceding few years, for example in annual Large Marine Ecosystem (LME) Consultation Meetings, Sustainable Ocean Initiative Dialogues, PROG Marine Regions Forum, Regional Seas Annual Meetings, etc. A major partnership-building meeting organized by the GEF LME:LEARN project took place in Cape Town (November 2017) was organized jointly by GEF, IOC-UNESCO, FAO, </w:t>
      </w:r>
      <w:sdt>
        <w:sdtPr>
          <w:rPr>
            <w:rFonts w:asciiTheme="minorHAnsi" w:hAnsiTheme="minorHAnsi" w:cstheme="minorHAnsi"/>
          </w:rPr>
          <w:tag w:val="goog_rdk_1046"/>
          <w:id w:val="-1328746172"/>
        </w:sdtPr>
        <w:sdtEndPr/>
        <w:sdtContent>
          <w:r>
            <w:rPr>
              <w:rFonts w:asciiTheme="minorHAnsi" w:hAnsiTheme="minorHAnsi" w:cstheme="minorHAnsi"/>
              <w:sz w:val="22"/>
              <w:szCs w:val="22"/>
            </w:rPr>
            <w:t>UNEP</w:t>
          </w:r>
        </w:sdtContent>
      </w:sdt>
      <w:r>
        <w:rPr>
          <w:rFonts w:asciiTheme="minorHAnsi" w:hAnsiTheme="minorHAnsi" w:cstheme="minorHAnsi"/>
          <w:sz w:val="22"/>
          <w:szCs w:val="22"/>
        </w:rPr>
        <w:t xml:space="preserve"> and UNDP. The meeting highlighted the role of science as ‘one of the best collaborative points’ to establish connectivity for regional ocean governance. Numerous side events on the topic also followed, supported by the IW:LEARN and LME:LEARN projects as well as a wide variety of partners.</w:t>
      </w:r>
    </w:p>
    <w:p w14:paraId="12F7FD6B" w14:textId="77777777" w:rsidR="00031496" w:rsidRDefault="00031496" w:rsidP="00031496">
      <w:pPr>
        <w:jc w:val="both"/>
        <w:rPr>
          <w:rFonts w:asciiTheme="minorHAnsi" w:hAnsiTheme="minorHAnsi" w:cstheme="minorHAnsi"/>
          <w:sz w:val="22"/>
          <w:szCs w:val="22"/>
        </w:rPr>
      </w:pPr>
    </w:p>
    <w:p w14:paraId="4EC1ACB0"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At the same time, the Annual LME and Coastal Partner Consultation Meetings have occurred since 2000, originally established under the auspices of IOC-UNESCO, ICES, IUCN and U.S. NOAA, but working closely in coordination with FAO and </w:t>
      </w:r>
      <w:sdt>
        <w:sdtPr>
          <w:rPr>
            <w:rFonts w:asciiTheme="minorHAnsi" w:hAnsiTheme="minorHAnsi" w:cstheme="minorHAnsi"/>
          </w:rPr>
          <w:tag w:val="goog_rdk_1048"/>
          <w:id w:val="-762610989"/>
        </w:sdtPr>
        <w:sdtEndPr/>
        <w:sdtContent>
          <w:r>
            <w:rPr>
              <w:rFonts w:asciiTheme="minorHAnsi" w:hAnsiTheme="minorHAnsi" w:cstheme="minorHAnsi"/>
              <w:sz w:val="22"/>
              <w:szCs w:val="22"/>
            </w:rPr>
            <w:t>UNEP</w:t>
          </w:r>
        </w:sdtContent>
      </w:sdt>
      <w:r>
        <w:rPr>
          <w:rFonts w:asciiTheme="minorHAnsi" w:hAnsiTheme="minorHAnsi" w:cstheme="minorHAnsi"/>
          <w:sz w:val="22"/>
          <w:szCs w:val="22"/>
        </w:rPr>
        <w:t>. Starting in 2016, these meetings were directly supported by the GEF international Waters focal area through the LME:LEARN project. The Annual Consultations have as their primary purpose to provide a global forum for GEF-funded and other marine and coastal practitioners (LME, MPA, MSP, ICM), leaders, international and national organizations and institutions, aimed at sharing experiences and lessons and forging alliances and collaboration for ecosystem-based ocean governance and management, in pursuance of the Sustainable Development Goals (SDGs), in particular the SDG14. These Meetings contribute to the development of LME-</w:t>
      </w:r>
      <w:proofErr w:type="spellStart"/>
      <w:r>
        <w:rPr>
          <w:rFonts w:asciiTheme="minorHAnsi" w:hAnsiTheme="minorHAnsi" w:cstheme="minorHAnsi"/>
          <w:sz w:val="22"/>
          <w:szCs w:val="22"/>
        </w:rPr>
        <w:t>centred</w:t>
      </w:r>
      <w:proofErr w:type="spellEnd"/>
      <w:r>
        <w:rPr>
          <w:rFonts w:asciiTheme="minorHAnsi" w:hAnsiTheme="minorHAnsi" w:cstheme="minorHAnsi"/>
          <w:sz w:val="22"/>
          <w:szCs w:val="22"/>
        </w:rPr>
        <w:t xml:space="preserve"> partnerships by engaging marine, coastal management, biodiversity and coastal climate change adaptation project leaders in meeting that objective.</w:t>
      </w:r>
    </w:p>
    <w:p w14:paraId="770ACC54" w14:textId="77777777" w:rsidR="00031496" w:rsidRDefault="00031496" w:rsidP="00031496">
      <w:pPr>
        <w:jc w:val="both"/>
        <w:rPr>
          <w:rFonts w:asciiTheme="minorHAnsi" w:hAnsiTheme="minorHAnsi" w:cstheme="minorHAnsi"/>
          <w:sz w:val="22"/>
          <w:szCs w:val="22"/>
        </w:rPr>
      </w:pPr>
    </w:p>
    <w:p w14:paraId="744D9E09"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Also, in recent years, previous iterations of the GEF IW:LEARN project have engaged in supporting the scaling up of source-to-sea continuum management consideration into the GEF International Waters focal area. Much of this work has been done in cooperation with SIWI’s Source to Sea Action Platform, </w:t>
      </w:r>
      <w:r>
        <w:rPr>
          <w:rFonts w:asciiTheme="minorHAnsi" w:hAnsiTheme="minorHAnsi" w:cstheme="minorHAnsi"/>
          <w:sz w:val="22"/>
          <w:szCs w:val="22"/>
        </w:rPr>
        <w:lastRenderedPageBreak/>
        <w:t>a partnership of dozens of international organizations, basin organizations and other entities. The 8</w:t>
      </w:r>
      <w:r>
        <w:rPr>
          <w:rFonts w:asciiTheme="minorHAnsi" w:hAnsiTheme="minorHAnsi" w:cstheme="minorHAnsi"/>
          <w:sz w:val="22"/>
          <w:szCs w:val="22"/>
          <w:vertAlign w:val="superscript"/>
        </w:rPr>
        <w:t>th</w:t>
      </w:r>
      <w:r>
        <w:rPr>
          <w:rFonts w:asciiTheme="minorHAnsi" w:hAnsiTheme="minorHAnsi" w:cstheme="minorHAnsi"/>
          <w:sz w:val="22"/>
          <w:szCs w:val="22"/>
        </w:rPr>
        <w:t xml:space="preserve"> GEF Biennial International Waters Conference had source-to-sea as a principal theme. The project has coordinated on numerous sessions at global dialogue events and also incorporated the topic at regional GEF IW workshops. </w:t>
      </w:r>
    </w:p>
    <w:p w14:paraId="60B4B248" w14:textId="77777777" w:rsidR="00031496" w:rsidRDefault="00031496" w:rsidP="00031496">
      <w:pPr>
        <w:jc w:val="both"/>
        <w:rPr>
          <w:rFonts w:asciiTheme="minorHAnsi" w:hAnsiTheme="minorHAnsi" w:cstheme="minorHAnsi"/>
          <w:sz w:val="22"/>
          <w:szCs w:val="22"/>
        </w:rPr>
      </w:pPr>
    </w:p>
    <w:p w14:paraId="0F286D78"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 xml:space="preserve">The sub-component will have the principal objectives: </w:t>
      </w:r>
    </w:p>
    <w:p w14:paraId="1CFC4AFF" w14:textId="77777777" w:rsidR="00031496" w:rsidRDefault="00031496" w:rsidP="00031496">
      <w:pPr>
        <w:jc w:val="both"/>
        <w:rPr>
          <w:rFonts w:asciiTheme="minorHAnsi" w:hAnsiTheme="minorHAnsi" w:cstheme="minorHAnsi"/>
          <w:sz w:val="22"/>
          <w:szCs w:val="22"/>
        </w:rPr>
      </w:pPr>
    </w:p>
    <w:p w14:paraId="15D5C72C" w14:textId="77777777" w:rsidR="00031496" w:rsidRDefault="00031496" w:rsidP="00031496">
      <w:pPr>
        <w:numPr>
          <w:ilvl w:val="0"/>
          <w:numId w:val="61"/>
        </w:numPr>
        <w:jc w:val="both"/>
        <w:rPr>
          <w:rFonts w:asciiTheme="minorHAnsi" w:hAnsiTheme="minorHAnsi" w:cstheme="minorHAnsi"/>
          <w:sz w:val="22"/>
          <w:szCs w:val="22"/>
        </w:rPr>
      </w:pPr>
      <w:r>
        <w:rPr>
          <w:rFonts w:asciiTheme="minorHAnsi" w:hAnsiTheme="minorHAnsi" w:cstheme="minorHAnsi"/>
          <w:sz w:val="22"/>
          <w:szCs w:val="22"/>
        </w:rPr>
        <w:t>Strengthen regional ocean governance mechanisms through enhanced collaboration between Large Marine Ecosystem (LME) programs, Regional Seas programs and Regional Fisheries Bodies (including Regional Fisheries Management Organizations), and the wider stakeholder community; and</w:t>
      </w:r>
    </w:p>
    <w:p w14:paraId="45468EBE" w14:textId="77777777" w:rsidR="00031496" w:rsidRDefault="00031496" w:rsidP="00031496">
      <w:pPr>
        <w:numPr>
          <w:ilvl w:val="0"/>
          <w:numId w:val="61"/>
        </w:numPr>
        <w:jc w:val="both"/>
        <w:rPr>
          <w:rFonts w:asciiTheme="minorHAnsi" w:hAnsiTheme="minorHAnsi" w:cstheme="minorHAnsi"/>
          <w:sz w:val="22"/>
          <w:szCs w:val="22"/>
        </w:rPr>
      </w:pPr>
      <w:r>
        <w:rPr>
          <w:rFonts w:asciiTheme="minorHAnsi" w:hAnsiTheme="minorHAnsi" w:cstheme="minorHAnsi"/>
          <w:sz w:val="22"/>
          <w:szCs w:val="22"/>
        </w:rPr>
        <w:t xml:space="preserve">Strengthen adoption of source-to-sea </w:t>
      </w:r>
      <w:sdt>
        <w:sdtPr>
          <w:rPr>
            <w:rFonts w:asciiTheme="minorHAnsi" w:hAnsiTheme="minorHAnsi" w:cstheme="minorHAnsi"/>
          </w:rPr>
          <w:tag w:val="goog_rdk_1050"/>
          <w:id w:val="2063587316"/>
        </w:sdtPr>
        <w:sdtEndPr/>
        <w:sdtContent>
          <w:r>
            <w:rPr>
              <w:rFonts w:asciiTheme="minorHAnsi" w:hAnsiTheme="minorHAnsi" w:cstheme="minorHAnsi"/>
              <w:sz w:val="22"/>
              <w:szCs w:val="22"/>
            </w:rPr>
            <w:t>management principles</w:t>
          </w:r>
        </w:sdtContent>
      </w:sdt>
      <w:r>
        <w:rPr>
          <w:rFonts w:asciiTheme="minorHAnsi" w:hAnsiTheme="minorHAnsi" w:cstheme="minorHAnsi"/>
          <w:sz w:val="22"/>
          <w:szCs w:val="22"/>
        </w:rPr>
        <w:t xml:space="preserve"> and promote coordination across linked GEF IW projects and partner organizations.</w:t>
      </w:r>
    </w:p>
    <w:p w14:paraId="3EDEEBDC" w14:textId="77777777" w:rsidR="00031496" w:rsidRDefault="00031496" w:rsidP="00031496">
      <w:pPr>
        <w:jc w:val="both"/>
        <w:rPr>
          <w:rFonts w:asciiTheme="minorHAnsi" w:hAnsiTheme="minorHAnsi" w:cstheme="minorHAnsi"/>
          <w:sz w:val="22"/>
          <w:szCs w:val="22"/>
        </w:rPr>
      </w:pPr>
    </w:p>
    <w:p w14:paraId="090B32CA"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Sub-Component will contribute to the overall outcome of the Component 4 by improving the management of both freshwater and marine ecosystems. This will be achieved by building the capacity of the project portfolio to implement the objectives of the GEF7 &amp; GEF8 strategy, particularly by fostering collaboration among LMEs, regional seas bodies and regional fisheries bodies. In addition, the Sub-Component will support the integration of freshwater management entities as a specific goal of this collaboration.</w:t>
      </w:r>
    </w:p>
    <w:p w14:paraId="0DA81706" w14:textId="77777777" w:rsidR="00031496" w:rsidRDefault="00031496" w:rsidP="00031496">
      <w:pPr>
        <w:jc w:val="both"/>
        <w:rPr>
          <w:rFonts w:asciiTheme="minorHAnsi" w:hAnsiTheme="minorHAnsi" w:cstheme="minorHAnsi"/>
          <w:sz w:val="22"/>
          <w:szCs w:val="22"/>
        </w:rPr>
      </w:pPr>
    </w:p>
    <w:p w14:paraId="0487F808"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The PCU will coordinate all dialogue events, in collaboration with the partners. This sub-component will seek to leverage further partner contributions by working with FAO, IOC-UNESCO, UNDP, UNEP, the World Bank and regional development banks, all focused on coastal and marine issues. Collaboration with SIWI’s Source to Sea Action Platform, ICPDR and UNECE will bring in the freshwater focus in the context of this complex issue. Specific gender mainstreaming issues will be brought in the project through collaboration with WWF-US and UNESCO-WWAP.</w:t>
      </w:r>
    </w:p>
    <w:p w14:paraId="6F42FCE2" w14:textId="77777777" w:rsidR="00031496" w:rsidRDefault="00031496" w:rsidP="00031496">
      <w:pPr>
        <w:jc w:val="both"/>
        <w:rPr>
          <w:rFonts w:asciiTheme="minorHAnsi" w:hAnsiTheme="minorHAnsi" w:cstheme="minorHAnsi"/>
          <w:sz w:val="22"/>
          <w:szCs w:val="22"/>
        </w:rPr>
      </w:pPr>
    </w:p>
    <w:p w14:paraId="77EC49DB" w14:textId="77777777" w:rsidR="00031496" w:rsidRDefault="00031496" w:rsidP="00031496">
      <w:pPr>
        <w:jc w:val="both"/>
        <w:rPr>
          <w:rFonts w:asciiTheme="minorHAnsi" w:hAnsiTheme="minorHAnsi" w:cstheme="minorHAnsi"/>
          <w:sz w:val="22"/>
          <w:szCs w:val="22"/>
        </w:rPr>
      </w:pPr>
      <w:r>
        <w:rPr>
          <w:rFonts w:asciiTheme="minorHAnsi" w:hAnsiTheme="minorHAnsi" w:cstheme="minorHAnsi"/>
          <w:sz w:val="22"/>
          <w:szCs w:val="22"/>
        </w:rPr>
        <w:t>Sub-component 4.4 is comprised of three activities:</w:t>
      </w:r>
    </w:p>
    <w:p w14:paraId="3EDA5C28" w14:textId="77777777" w:rsidR="00031496" w:rsidRDefault="00031496" w:rsidP="00031496">
      <w:pPr>
        <w:jc w:val="both"/>
        <w:rPr>
          <w:rFonts w:asciiTheme="minorHAnsi" w:hAnsiTheme="minorHAnsi" w:cstheme="minorHAnsi"/>
          <w:sz w:val="22"/>
          <w:szCs w:val="22"/>
        </w:rPr>
      </w:pPr>
    </w:p>
    <w:p w14:paraId="5A0E3F46" w14:textId="77777777" w:rsidR="00031496" w:rsidRDefault="00031496" w:rsidP="00031496">
      <w:pPr>
        <w:numPr>
          <w:ilvl w:val="0"/>
          <w:numId w:val="9"/>
        </w:numPr>
        <w:jc w:val="both"/>
        <w:rPr>
          <w:rFonts w:asciiTheme="minorHAnsi" w:hAnsiTheme="minorHAnsi" w:cstheme="minorHAnsi"/>
          <w:sz w:val="22"/>
          <w:szCs w:val="22"/>
        </w:rPr>
      </w:pPr>
      <w:r>
        <w:rPr>
          <w:rFonts w:asciiTheme="minorHAnsi" w:hAnsiTheme="minorHAnsi" w:cstheme="minorHAnsi"/>
          <w:sz w:val="22"/>
          <w:szCs w:val="22"/>
        </w:rPr>
        <w:t>Activity 4.4.1: Strengthened Source to Sea collaboration among LMEs, Regional Seas, Regional Fisheries Bodies, Areas Beyond National Jurisdiction and Freshwater Bodies through regional dialogues and simulations</w:t>
      </w:r>
      <w:sdt>
        <w:sdtPr>
          <w:rPr>
            <w:rFonts w:asciiTheme="minorHAnsi" w:hAnsiTheme="minorHAnsi" w:cstheme="minorHAnsi"/>
          </w:rPr>
          <w:tag w:val="goog_rdk_1051"/>
          <w:id w:val="631363032"/>
        </w:sdtPr>
        <w:sdtEndPr/>
        <w:sdtContent>
          <w:r>
            <w:rPr>
              <w:rFonts w:asciiTheme="minorHAnsi" w:hAnsiTheme="minorHAnsi" w:cstheme="minorHAnsi"/>
              <w:sz w:val="22"/>
              <w:szCs w:val="22"/>
            </w:rPr>
            <w:t>;</w:t>
          </w:r>
        </w:sdtContent>
      </w:sdt>
      <w:r>
        <w:rPr>
          <w:rFonts w:asciiTheme="minorHAnsi" w:hAnsiTheme="minorHAnsi" w:cstheme="minorHAnsi"/>
          <w:sz w:val="22"/>
          <w:szCs w:val="22"/>
        </w:rPr>
        <w:t xml:space="preserve"> </w:t>
      </w:r>
    </w:p>
    <w:p w14:paraId="6F9E4AFA" w14:textId="77777777" w:rsidR="00031496" w:rsidRDefault="00031496" w:rsidP="00031496">
      <w:pPr>
        <w:numPr>
          <w:ilvl w:val="0"/>
          <w:numId w:val="9"/>
        </w:numPr>
        <w:jc w:val="both"/>
        <w:rPr>
          <w:rFonts w:asciiTheme="minorHAnsi" w:hAnsiTheme="minorHAnsi" w:cstheme="minorHAnsi"/>
          <w:sz w:val="22"/>
          <w:szCs w:val="22"/>
        </w:rPr>
      </w:pPr>
      <w:r>
        <w:rPr>
          <w:rFonts w:asciiTheme="minorHAnsi" w:hAnsiTheme="minorHAnsi" w:cstheme="minorHAnsi"/>
          <w:sz w:val="22"/>
          <w:szCs w:val="22"/>
        </w:rPr>
        <w:t>Activity 4.4.2: Support to Regional Ocean Governance via the Annual Marine (LME) Consultation Process as well as other global dialogue events support</w:t>
      </w:r>
      <w:sdt>
        <w:sdtPr>
          <w:rPr>
            <w:rFonts w:asciiTheme="minorHAnsi" w:hAnsiTheme="minorHAnsi" w:cstheme="minorHAnsi"/>
          </w:rPr>
          <w:tag w:val="goog_rdk_1052"/>
          <w:id w:val="637072225"/>
        </w:sdtPr>
        <w:sdtEndPr/>
        <w:sdtContent>
          <w:r>
            <w:rPr>
              <w:rFonts w:asciiTheme="minorHAnsi" w:hAnsiTheme="minorHAnsi" w:cstheme="minorHAnsi"/>
              <w:sz w:val="22"/>
              <w:szCs w:val="22"/>
            </w:rPr>
            <w:t>; and</w:t>
          </w:r>
        </w:sdtContent>
      </w:sdt>
      <w:r>
        <w:rPr>
          <w:rFonts w:asciiTheme="minorHAnsi" w:hAnsiTheme="minorHAnsi" w:cstheme="minorHAnsi"/>
          <w:sz w:val="22"/>
          <w:szCs w:val="22"/>
        </w:rPr>
        <w:t xml:space="preserve"> </w:t>
      </w:r>
    </w:p>
    <w:p w14:paraId="26AF3DE7" w14:textId="77777777" w:rsidR="00031496" w:rsidRDefault="00031496" w:rsidP="00031496">
      <w:pPr>
        <w:numPr>
          <w:ilvl w:val="0"/>
          <w:numId w:val="9"/>
        </w:numPr>
        <w:jc w:val="both"/>
        <w:rPr>
          <w:rFonts w:asciiTheme="minorHAnsi" w:hAnsiTheme="minorHAnsi" w:cstheme="minorHAnsi"/>
          <w:sz w:val="22"/>
          <w:szCs w:val="22"/>
        </w:rPr>
      </w:pPr>
      <w:r>
        <w:rPr>
          <w:rFonts w:asciiTheme="minorHAnsi" w:hAnsiTheme="minorHAnsi" w:cstheme="minorHAnsi"/>
          <w:sz w:val="22"/>
          <w:szCs w:val="22"/>
        </w:rPr>
        <w:t xml:space="preserve">Activity 4.4.3 Enhancement of the TDA-SAP Methodology to integrate source-to-sea management considerations as well as gender </w:t>
      </w:r>
      <w:sdt>
        <w:sdtPr>
          <w:rPr>
            <w:rFonts w:asciiTheme="minorHAnsi" w:hAnsiTheme="minorHAnsi" w:cstheme="minorHAnsi"/>
          </w:rPr>
          <w:tag w:val="goog_rdk_1054"/>
          <w:id w:val="793947308"/>
        </w:sdtPr>
        <w:sdtEndPr/>
        <w:sdtContent>
          <w:r>
            <w:rPr>
              <w:rFonts w:asciiTheme="minorHAnsi" w:hAnsiTheme="minorHAnsi" w:cstheme="minorHAnsi"/>
              <w:sz w:val="22"/>
              <w:szCs w:val="22"/>
            </w:rPr>
            <w:t>mainstreaming.</w:t>
          </w:r>
        </w:sdtContent>
      </w:sdt>
    </w:p>
    <w:p w14:paraId="171A4B76" w14:textId="77777777" w:rsidR="00031496" w:rsidRPr="00031496" w:rsidRDefault="00031496" w:rsidP="00031496"/>
    <w:p w14:paraId="205C1540" w14:textId="3150828B" w:rsidR="00D16282" w:rsidRDefault="00D16282" w:rsidP="00D16282">
      <w:pPr>
        <w:pStyle w:val="Heading5"/>
        <w:rPr>
          <w:rFonts w:asciiTheme="minorHAnsi" w:hAnsiTheme="minorHAnsi" w:cstheme="minorHAnsi"/>
          <w:b/>
          <w:bCs/>
          <w:color w:val="000000" w:themeColor="text1"/>
          <w:sz w:val="22"/>
          <w:szCs w:val="22"/>
        </w:rPr>
      </w:pPr>
      <w:r w:rsidRPr="00D16282">
        <w:rPr>
          <w:rFonts w:asciiTheme="minorHAnsi" w:hAnsiTheme="minorHAnsi" w:cstheme="minorHAnsi"/>
          <w:b/>
          <w:bCs/>
          <w:color w:val="000000" w:themeColor="text1"/>
          <w:sz w:val="22"/>
          <w:szCs w:val="22"/>
        </w:rPr>
        <w:t>Activity 4.4.1: Strengthened source-to-sea collaboration among LMEs, Regional Seas, Regional Fisheries Bodies, Areas Beyond National Jurisdiction and Freshwater Bodies through regional dialogues and simulations</w:t>
      </w:r>
    </w:p>
    <w:p w14:paraId="58699814"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 xml:space="preserve">The project will further strengthen source-to-sea action management as well as regional ocean governance through support for three regional dialogue events. The project will collaborate at the global level with the principal GEF implementing agencies responsible for marine, coastal and freshwater projects responsible in the given regions. The three dialogue meetings will take place in Africa, Asia-Pacific, and Latin America and the Caribbean. The dialogues will feature content supporting capacity-strengthening on both regional ocean governance and source-to-sea action management.  There will be sessions on sharing experience on examples and best practice of existing collaboration in the regions, the identification of modalities to apply science-based ecosystem approaches at regional level to make policy decisions towards achieving Ecosystem Based </w:t>
      </w:r>
      <w:r>
        <w:rPr>
          <w:rFonts w:asciiTheme="minorHAnsi" w:hAnsiTheme="minorHAnsi" w:cstheme="minorHAnsi"/>
          <w:sz w:val="22"/>
          <w:szCs w:val="22"/>
        </w:rPr>
        <w:lastRenderedPageBreak/>
        <w:t xml:space="preserve">Management (EBM) for the oceans and exploring how regional institutions and projects are utilizing science to support countries implement the 2030 Agenda and the associated Sustainable Development Goals. Participants will include both global actors as well as representatives of both marine and freshwater entities. The activity will support at least one online interactive event to help set the stage for the dialogues. </w:t>
      </w:r>
    </w:p>
    <w:p w14:paraId="65FC2F73" w14:textId="77777777" w:rsidR="00D16282" w:rsidRDefault="00D16282" w:rsidP="00D16282">
      <w:pPr>
        <w:rPr>
          <w:rFonts w:asciiTheme="minorHAnsi" w:hAnsiTheme="minorHAnsi" w:cstheme="minorHAnsi"/>
          <w:sz w:val="22"/>
          <w:szCs w:val="22"/>
        </w:rPr>
      </w:pPr>
    </w:p>
    <w:p w14:paraId="16B5361B"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 xml:space="preserve">The activity will also support the preparation of a background document and supporting materials laying out the relevant source-to-sea linkages in each region to help inform each of the dialogues. An ocean governance simulation game will also be deployed during these regional dialogues. Crucially, the IW:LEARN project will ask participating organizations to commit to certain actions as a result of the dialogues, and the project will track the progress on them. The project would also attempt to </w:t>
      </w:r>
      <w:proofErr w:type="spellStart"/>
      <w:r>
        <w:rPr>
          <w:rFonts w:asciiTheme="minorHAnsi" w:hAnsiTheme="minorHAnsi" w:cstheme="minorHAnsi"/>
          <w:sz w:val="22"/>
          <w:szCs w:val="22"/>
        </w:rPr>
        <w:t>catalyse</w:t>
      </w:r>
      <w:proofErr w:type="spellEnd"/>
      <w:r>
        <w:rPr>
          <w:rFonts w:asciiTheme="minorHAnsi" w:hAnsiTheme="minorHAnsi" w:cstheme="minorHAnsi"/>
          <w:sz w:val="22"/>
          <w:szCs w:val="22"/>
        </w:rPr>
        <w:t xml:space="preserve"> a series of regional pilots in cooperation amongst different types of regional bodies on a voluntary basis. All of this will support the Component’s outcome by improving management of transboundary freshwater and marine ecosystems.</w:t>
      </w:r>
    </w:p>
    <w:p w14:paraId="40E96FCB" w14:textId="77777777" w:rsidR="00D16282" w:rsidRDefault="00D16282" w:rsidP="00D16282">
      <w:pPr>
        <w:jc w:val="both"/>
        <w:rPr>
          <w:rFonts w:asciiTheme="minorHAnsi" w:hAnsiTheme="minorHAnsi" w:cstheme="minorHAnsi"/>
          <w:sz w:val="22"/>
          <w:szCs w:val="22"/>
        </w:rPr>
      </w:pPr>
    </w:p>
    <w:p w14:paraId="56728B3F"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 xml:space="preserve">The role of the PCU will be to coordinate each of the dialogue events. The project expects to partner with the relevant GEF implementing agencies, including in particular: </w:t>
      </w:r>
    </w:p>
    <w:p w14:paraId="0354DB30" w14:textId="77777777" w:rsidR="00D16282" w:rsidRDefault="00D16282" w:rsidP="00D16282">
      <w:pPr>
        <w:jc w:val="both"/>
        <w:rPr>
          <w:rFonts w:asciiTheme="minorHAnsi" w:hAnsiTheme="minorHAnsi" w:cstheme="minorHAnsi"/>
          <w:sz w:val="22"/>
          <w:szCs w:val="22"/>
        </w:rPr>
      </w:pPr>
    </w:p>
    <w:p w14:paraId="6969781B"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FAO;</w:t>
      </w:r>
    </w:p>
    <w:p w14:paraId="0E31A271"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UNDP;</w:t>
      </w:r>
    </w:p>
    <w:p w14:paraId="2131927C"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UNEP; </w:t>
      </w:r>
    </w:p>
    <w:p w14:paraId="05CD52D4"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the World Bank and regional development banks to support the dialogues;</w:t>
      </w:r>
    </w:p>
    <w:p w14:paraId="30EF2FD6"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IOC-UNESCO</w:t>
      </w:r>
    </w:p>
    <w:p w14:paraId="630AEDA5"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Regarding the source-to-sea aspects, the project will cooperate with SIWI (Source to Sea Action Platform)</w:t>
      </w:r>
      <w:sdt>
        <w:sdtPr>
          <w:rPr>
            <w:rFonts w:asciiTheme="minorHAnsi" w:hAnsiTheme="minorHAnsi" w:cstheme="minorHAnsi"/>
          </w:rPr>
          <w:tag w:val="goog_rdk_1055"/>
          <w:id w:val="-1456786954"/>
        </w:sdtPr>
        <w:sdtEndPr/>
        <w:sdtContent>
          <w:r>
            <w:rPr>
              <w:rFonts w:asciiTheme="minorHAnsi" w:hAnsiTheme="minorHAnsi" w:cstheme="minorHAnsi"/>
              <w:color w:val="000000"/>
              <w:sz w:val="22"/>
              <w:szCs w:val="22"/>
            </w:rPr>
            <w:t>, GWP</w:t>
          </w:r>
        </w:sdtContent>
      </w:sdt>
      <w:r>
        <w:rPr>
          <w:rFonts w:asciiTheme="minorHAnsi" w:hAnsiTheme="minorHAnsi" w:cstheme="minorHAnsi"/>
          <w:color w:val="000000"/>
          <w:sz w:val="22"/>
          <w:szCs w:val="22"/>
        </w:rPr>
        <w:t xml:space="preserve"> and UNECE; and</w:t>
      </w:r>
    </w:p>
    <w:p w14:paraId="354BC908" w14:textId="77777777" w:rsidR="00D16282" w:rsidRDefault="00D16282" w:rsidP="00D16282">
      <w:pPr>
        <w:numPr>
          <w:ilvl w:val="0"/>
          <w:numId w:val="62"/>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Center for System Solutions on an ocean simulation game.  </w:t>
      </w:r>
    </w:p>
    <w:p w14:paraId="376BF593" w14:textId="77777777" w:rsidR="00D16282" w:rsidRDefault="00D16282" w:rsidP="00D16282">
      <w:pPr>
        <w:jc w:val="both"/>
        <w:rPr>
          <w:rFonts w:asciiTheme="minorHAnsi" w:hAnsiTheme="minorHAnsi" w:cstheme="minorHAnsi"/>
          <w:b/>
          <w:sz w:val="22"/>
          <w:szCs w:val="22"/>
        </w:rPr>
      </w:pPr>
    </w:p>
    <w:p w14:paraId="78ACDC32" w14:textId="5D570BFB" w:rsidR="00D16282" w:rsidRDefault="00D16282" w:rsidP="00D16282">
      <w:pPr>
        <w:rPr>
          <w:rFonts w:asciiTheme="minorHAnsi" w:hAnsiTheme="minorHAnsi" w:cstheme="minorHAnsi"/>
          <w:sz w:val="22"/>
          <w:szCs w:val="22"/>
        </w:rPr>
      </w:pPr>
      <w:r>
        <w:rPr>
          <w:rFonts w:asciiTheme="minorHAnsi" w:hAnsiTheme="minorHAnsi" w:cstheme="minorHAnsi"/>
          <w:sz w:val="22"/>
          <w:szCs w:val="22"/>
        </w:rPr>
        <w:t>Due to the COVID-19 pandemics, constraints on travel and group gatherings will affect the implementation of the activities in this sub-component during the first year of the project’s implementation. Other options are being considered, in particular for the in-person dialogues, such as on-line or remote communication options. They will be used where necessary, adjusting some of the equipment related costs to ensure equal opportunity to all beneficiaries.</w:t>
      </w:r>
    </w:p>
    <w:p w14:paraId="6F739737" w14:textId="77777777" w:rsidR="00D16282" w:rsidRPr="00D16282" w:rsidRDefault="00D16282" w:rsidP="00D16282"/>
    <w:p w14:paraId="407CFC8F" w14:textId="4A54EAC8" w:rsidR="00D16282" w:rsidRDefault="00D16282" w:rsidP="00D16282">
      <w:pPr>
        <w:pStyle w:val="Heading5"/>
        <w:rPr>
          <w:rFonts w:asciiTheme="minorHAnsi" w:hAnsiTheme="minorHAnsi" w:cstheme="minorHAnsi"/>
          <w:b/>
          <w:bCs/>
          <w:color w:val="000000" w:themeColor="text1"/>
          <w:sz w:val="22"/>
          <w:szCs w:val="22"/>
        </w:rPr>
      </w:pPr>
      <w:r w:rsidRPr="00D16282">
        <w:rPr>
          <w:rFonts w:asciiTheme="minorHAnsi" w:hAnsiTheme="minorHAnsi" w:cstheme="minorHAnsi"/>
          <w:b/>
          <w:bCs/>
          <w:color w:val="000000" w:themeColor="text1"/>
          <w:sz w:val="22"/>
          <w:szCs w:val="22"/>
        </w:rPr>
        <w:t>Activity 4.4.2: Support to Regional Ocean Governance via the Annual Marine (LME) Consultation Process as well as other global dialogue events support</w:t>
      </w:r>
    </w:p>
    <w:p w14:paraId="1A6865A9"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 xml:space="preserve">The project will provide the cornerstone event for the GEF’s LME and coastal portfolio by providing support to the Annual Large Marine Ecosystem and Coastal Partner Consultation Meeting. The Consultations will be organized in conjunction with the all the GEF implementing agencies overseeing projects in marine and coastal ecosystems, to further support regional ocean governance, through increased participation in the Consultation. </w:t>
      </w:r>
    </w:p>
    <w:p w14:paraId="3210B8D8" w14:textId="77777777" w:rsidR="00D16282" w:rsidRDefault="00D16282" w:rsidP="00D16282">
      <w:pPr>
        <w:jc w:val="both"/>
        <w:rPr>
          <w:rFonts w:asciiTheme="minorHAnsi" w:hAnsiTheme="minorHAnsi" w:cstheme="minorHAnsi"/>
          <w:sz w:val="22"/>
          <w:szCs w:val="22"/>
        </w:rPr>
      </w:pPr>
    </w:p>
    <w:p w14:paraId="46901601"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 xml:space="preserve">The project will collaborate in particular, with the IOC of UNESCO, the longstanding convener of the Annual Consultation Meetings. The project will work to ensure the participation of stakeholders of LME projects, but also Regional Seas Bodies, Regional Fisheries Bodies, Areas Beyond National Jurisdiction projects. Crucially, the Consultation will promote source-to-sea collaboration by facilitating the participation of Freshwater Basin Organizations. </w:t>
      </w:r>
    </w:p>
    <w:p w14:paraId="20A8EE8B" w14:textId="77777777" w:rsidR="00D16282" w:rsidRDefault="00D16282" w:rsidP="00D16282">
      <w:pPr>
        <w:jc w:val="both"/>
        <w:rPr>
          <w:rFonts w:asciiTheme="minorHAnsi" w:hAnsiTheme="minorHAnsi" w:cstheme="minorHAnsi"/>
          <w:sz w:val="22"/>
          <w:szCs w:val="22"/>
        </w:rPr>
      </w:pPr>
    </w:p>
    <w:p w14:paraId="0BD41D98"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 xml:space="preserve">The Consultations will build upon and help implement the LME Community Medium Term Framework Strategy as well as the UN Decade of Ocean Science for Sustainable Development. In addition, the activity will also promote both regional ocean governance and source-to-sea collaboration themed </w:t>
      </w:r>
      <w:r>
        <w:rPr>
          <w:rFonts w:asciiTheme="minorHAnsi" w:hAnsiTheme="minorHAnsi" w:cstheme="minorHAnsi"/>
          <w:sz w:val="22"/>
          <w:szCs w:val="22"/>
        </w:rPr>
        <w:lastRenderedPageBreak/>
        <w:t xml:space="preserve">side events and GEF IW portfolio representation at global dialogue process events (together with Sub-Component 1.4). Some examples would include the UN SDG14 Ocean Conference Follow-up, the IUCN World Conservation Congress or the Sustainability Research &amp; Innovation Congress 2021 (SRI2021). </w:t>
      </w:r>
    </w:p>
    <w:p w14:paraId="6380148D" w14:textId="77777777" w:rsidR="00D16282" w:rsidRDefault="00D16282" w:rsidP="00D16282">
      <w:pPr>
        <w:jc w:val="both"/>
        <w:rPr>
          <w:rFonts w:asciiTheme="minorHAnsi" w:hAnsiTheme="minorHAnsi" w:cstheme="minorHAnsi"/>
          <w:sz w:val="22"/>
          <w:szCs w:val="22"/>
        </w:rPr>
      </w:pPr>
    </w:p>
    <w:p w14:paraId="43A1583D"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The activity will support the Component 4’s outcome by strengthening the management of transboundary marine and freshwater ecosystems.</w:t>
      </w:r>
    </w:p>
    <w:p w14:paraId="1FC2EF08" w14:textId="77777777" w:rsidR="00D16282" w:rsidRDefault="00D16282" w:rsidP="00D16282">
      <w:pPr>
        <w:jc w:val="both"/>
        <w:rPr>
          <w:rFonts w:asciiTheme="minorHAnsi" w:hAnsiTheme="minorHAnsi" w:cstheme="minorHAnsi"/>
          <w:sz w:val="22"/>
          <w:szCs w:val="22"/>
        </w:rPr>
      </w:pPr>
    </w:p>
    <w:p w14:paraId="1458DBB4"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The role of the PCU will be to coordinate each of the Consultations. The project will partner with the relevant GEF implementing agencies, including in particular:</w:t>
      </w:r>
    </w:p>
    <w:p w14:paraId="2FF13B0B" w14:textId="77777777" w:rsidR="00D16282" w:rsidRDefault="00D16282" w:rsidP="00D16282">
      <w:pPr>
        <w:jc w:val="both"/>
        <w:rPr>
          <w:rFonts w:asciiTheme="minorHAnsi" w:hAnsiTheme="minorHAnsi" w:cstheme="minorHAnsi"/>
          <w:sz w:val="22"/>
          <w:szCs w:val="22"/>
        </w:rPr>
      </w:pPr>
    </w:p>
    <w:p w14:paraId="5472E6BE" w14:textId="77777777" w:rsidR="00D16282" w:rsidRDefault="00D16282" w:rsidP="00D16282">
      <w:pPr>
        <w:numPr>
          <w:ilvl w:val="0"/>
          <w:numId w:val="63"/>
        </w:numPr>
        <w:jc w:val="both"/>
        <w:rPr>
          <w:rFonts w:asciiTheme="minorHAnsi" w:hAnsiTheme="minorHAnsi" w:cstheme="minorHAnsi"/>
          <w:color w:val="000000"/>
          <w:sz w:val="22"/>
          <w:szCs w:val="22"/>
        </w:rPr>
      </w:pPr>
      <w:r>
        <w:rPr>
          <w:rFonts w:asciiTheme="minorHAnsi" w:hAnsiTheme="minorHAnsi" w:cstheme="minorHAnsi"/>
          <w:color w:val="000000"/>
          <w:sz w:val="22"/>
          <w:szCs w:val="22"/>
        </w:rPr>
        <w:t>FAO;</w:t>
      </w:r>
    </w:p>
    <w:p w14:paraId="570AE761" w14:textId="77777777" w:rsidR="00D16282" w:rsidRDefault="00D16282" w:rsidP="00D16282">
      <w:pPr>
        <w:numPr>
          <w:ilvl w:val="0"/>
          <w:numId w:val="63"/>
        </w:numPr>
        <w:jc w:val="both"/>
        <w:rPr>
          <w:rFonts w:asciiTheme="minorHAnsi" w:hAnsiTheme="minorHAnsi" w:cstheme="minorHAnsi"/>
          <w:color w:val="000000"/>
          <w:sz w:val="22"/>
          <w:szCs w:val="22"/>
        </w:rPr>
      </w:pPr>
      <w:r>
        <w:rPr>
          <w:rFonts w:asciiTheme="minorHAnsi" w:hAnsiTheme="minorHAnsi" w:cstheme="minorHAnsi"/>
          <w:color w:val="000000"/>
          <w:sz w:val="22"/>
          <w:szCs w:val="22"/>
        </w:rPr>
        <w:t>UNDP;</w:t>
      </w:r>
    </w:p>
    <w:p w14:paraId="585B64B4" w14:textId="77777777" w:rsidR="00D16282" w:rsidRDefault="00D16282" w:rsidP="00D16282">
      <w:pPr>
        <w:numPr>
          <w:ilvl w:val="0"/>
          <w:numId w:val="6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UNEP; </w:t>
      </w:r>
    </w:p>
    <w:p w14:paraId="45333FE2" w14:textId="77777777" w:rsidR="00D16282" w:rsidRDefault="00D16282" w:rsidP="00D16282">
      <w:pPr>
        <w:numPr>
          <w:ilvl w:val="0"/>
          <w:numId w:val="63"/>
        </w:num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REVOcean</w:t>
      </w:r>
      <w:proofErr w:type="spellEnd"/>
      <w:r>
        <w:rPr>
          <w:rFonts w:asciiTheme="minorHAnsi" w:hAnsiTheme="minorHAnsi" w:cstheme="minorHAnsi"/>
          <w:color w:val="000000"/>
          <w:sz w:val="22"/>
          <w:szCs w:val="22"/>
        </w:rPr>
        <w:t xml:space="preserve"> to host one LME Annual Consultation Meeting;</w:t>
      </w:r>
    </w:p>
    <w:p w14:paraId="5A26898E" w14:textId="77777777" w:rsidR="00D16282" w:rsidRDefault="00F57A55" w:rsidP="00D16282">
      <w:pPr>
        <w:numPr>
          <w:ilvl w:val="0"/>
          <w:numId w:val="63"/>
        </w:numPr>
        <w:jc w:val="both"/>
        <w:rPr>
          <w:rFonts w:asciiTheme="minorHAnsi" w:hAnsiTheme="minorHAnsi" w:cstheme="minorHAnsi"/>
          <w:color w:val="000000"/>
          <w:sz w:val="22"/>
          <w:szCs w:val="22"/>
        </w:rPr>
      </w:pPr>
      <w:sdt>
        <w:sdtPr>
          <w:rPr>
            <w:rFonts w:asciiTheme="minorHAnsi" w:hAnsiTheme="minorHAnsi" w:cstheme="minorHAnsi"/>
          </w:rPr>
          <w:tag w:val="goog_rdk_1057"/>
          <w:id w:val="176703901"/>
        </w:sdtPr>
        <w:sdtEndPr/>
        <w:sdtContent>
          <w:r w:rsidR="00D16282">
            <w:rPr>
              <w:rFonts w:asciiTheme="minorHAnsi" w:hAnsiTheme="minorHAnsi" w:cstheme="minorHAnsi"/>
              <w:color w:val="000000"/>
              <w:sz w:val="22"/>
              <w:szCs w:val="22"/>
            </w:rPr>
            <w:t>T</w:t>
          </w:r>
        </w:sdtContent>
      </w:sdt>
      <w:r w:rsidR="00D16282">
        <w:rPr>
          <w:rFonts w:asciiTheme="minorHAnsi" w:hAnsiTheme="minorHAnsi" w:cstheme="minorHAnsi"/>
          <w:color w:val="000000"/>
          <w:sz w:val="22"/>
          <w:szCs w:val="22"/>
        </w:rPr>
        <w:t>he World Bank and regional development banks to support the Consultations;</w:t>
      </w:r>
    </w:p>
    <w:p w14:paraId="1377FF3B" w14:textId="77777777" w:rsidR="00D16282" w:rsidRDefault="00D16282" w:rsidP="00D16282">
      <w:pPr>
        <w:numPr>
          <w:ilvl w:val="0"/>
          <w:numId w:val="63"/>
        </w:numPr>
        <w:jc w:val="both"/>
        <w:rPr>
          <w:rFonts w:asciiTheme="minorHAnsi" w:hAnsiTheme="minorHAnsi" w:cstheme="minorHAnsi"/>
          <w:color w:val="000000"/>
          <w:sz w:val="22"/>
          <w:szCs w:val="22"/>
        </w:rPr>
      </w:pPr>
      <w:r>
        <w:rPr>
          <w:rFonts w:asciiTheme="minorHAnsi" w:hAnsiTheme="minorHAnsi" w:cstheme="minorHAnsi"/>
          <w:color w:val="000000"/>
          <w:sz w:val="22"/>
          <w:szCs w:val="22"/>
        </w:rPr>
        <w:t>IOC-UNESCO</w:t>
      </w:r>
    </w:p>
    <w:p w14:paraId="7D872A76" w14:textId="77777777" w:rsidR="00D16282" w:rsidRDefault="00D16282" w:rsidP="00D16282">
      <w:pPr>
        <w:numPr>
          <w:ilvl w:val="0"/>
          <w:numId w:val="63"/>
        </w:numPr>
        <w:jc w:val="both"/>
        <w:rPr>
          <w:rFonts w:asciiTheme="minorHAnsi" w:hAnsiTheme="minorHAnsi" w:cstheme="minorHAnsi"/>
          <w:color w:val="000000"/>
          <w:sz w:val="22"/>
          <w:szCs w:val="22"/>
        </w:rPr>
      </w:pPr>
      <w:r>
        <w:rPr>
          <w:rFonts w:asciiTheme="minorHAnsi" w:hAnsiTheme="minorHAnsi" w:cstheme="minorHAnsi"/>
          <w:color w:val="000000"/>
          <w:sz w:val="22"/>
          <w:szCs w:val="22"/>
        </w:rPr>
        <w:t>Regarding the source-to-sea aspects, the project will cooperate with SIWI (Source to Sea Action Platform) and UNECE; and</w:t>
      </w:r>
    </w:p>
    <w:p w14:paraId="4574DB44" w14:textId="77777777" w:rsidR="00D16282" w:rsidRDefault="00D16282" w:rsidP="00D16282">
      <w:pPr>
        <w:numPr>
          <w:ilvl w:val="0"/>
          <w:numId w:val="6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ICPDR on a Black Sea/Danube case study for use in the global consultations. </w:t>
      </w:r>
    </w:p>
    <w:p w14:paraId="2F0C96D9" w14:textId="77777777" w:rsidR="00D16282" w:rsidRDefault="00D16282" w:rsidP="00D16282">
      <w:pPr>
        <w:jc w:val="both"/>
        <w:rPr>
          <w:rFonts w:asciiTheme="minorHAnsi" w:hAnsiTheme="minorHAnsi" w:cstheme="minorHAnsi"/>
          <w:b/>
          <w:sz w:val="22"/>
          <w:szCs w:val="22"/>
        </w:rPr>
      </w:pPr>
    </w:p>
    <w:p w14:paraId="36BFD5EB" w14:textId="14777D22" w:rsidR="00D16282" w:rsidRDefault="00D16282" w:rsidP="00D16282">
      <w:pPr>
        <w:rPr>
          <w:rFonts w:asciiTheme="minorHAnsi" w:hAnsiTheme="minorHAnsi" w:cstheme="minorHAnsi"/>
          <w:sz w:val="22"/>
          <w:szCs w:val="22"/>
        </w:rPr>
      </w:pPr>
      <w:r>
        <w:rPr>
          <w:rFonts w:asciiTheme="minorHAnsi" w:hAnsiTheme="minorHAnsi" w:cstheme="minorHAnsi"/>
          <w:sz w:val="22"/>
          <w:szCs w:val="22"/>
        </w:rPr>
        <w:t xml:space="preserve">In view of the COVID-19 pandemics, the 2021 LME Annual Consultation Meeting, which is by necessity a face-to-face event, may not take place as an in-person event. On-line or other communication options will be </w:t>
      </w:r>
      <w:proofErr w:type="spellStart"/>
      <w:r>
        <w:rPr>
          <w:rFonts w:asciiTheme="minorHAnsi" w:hAnsiTheme="minorHAnsi" w:cstheme="minorHAnsi"/>
          <w:sz w:val="22"/>
          <w:szCs w:val="22"/>
        </w:rPr>
        <w:t>utilised</w:t>
      </w:r>
      <w:proofErr w:type="spellEnd"/>
      <w:r>
        <w:rPr>
          <w:rFonts w:asciiTheme="minorHAnsi" w:hAnsiTheme="minorHAnsi" w:cstheme="minorHAnsi"/>
          <w:sz w:val="22"/>
          <w:szCs w:val="22"/>
        </w:rPr>
        <w:t xml:space="preserve"> where necessary, adjusting some of the equipment related costs to ensure equal opportunity to all beneficiaries.</w:t>
      </w:r>
    </w:p>
    <w:p w14:paraId="47084516" w14:textId="77777777" w:rsidR="00D16282" w:rsidRPr="00D16282" w:rsidRDefault="00D16282" w:rsidP="00D16282"/>
    <w:p w14:paraId="6907DFBD" w14:textId="32C4A416" w:rsidR="00D16282" w:rsidRDefault="00D16282" w:rsidP="00D16282">
      <w:pPr>
        <w:pStyle w:val="Heading5"/>
        <w:rPr>
          <w:rFonts w:asciiTheme="minorHAnsi" w:hAnsiTheme="minorHAnsi" w:cstheme="minorHAnsi"/>
          <w:b/>
          <w:bCs/>
          <w:color w:val="000000" w:themeColor="text1"/>
          <w:sz w:val="22"/>
          <w:szCs w:val="22"/>
        </w:rPr>
      </w:pPr>
      <w:r w:rsidRPr="00D16282">
        <w:rPr>
          <w:rFonts w:asciiTheme="minorHAnsi" w:hAnsiTheme="minorHAnsi" w:cstheme="minorHAnsi"/>
          <w:b/>
          <w:bCs/>
          <w:color w:val="000000" w:themeColor="text1"/>
          <w:sz w:val="22"/>
          <w:szCs w:val="22"/>
        </w:rPr>
        <w:t>Activity 4.4.3: Enhancement of the TDA-SAP Methodology to integrate Source-to-Sea management considerations as well as gender mainstreaming</w:t>
      </w:r>
    </w:p>
    <w:p w14:paraId="60EFC6E4" w14:textId="4453DECB" w:rsidR="00D16282" w:rsidRDefault="00D16282" w:rsidP="0071779B">
      <w:pPr>
        <w:jc w:val="both"/>
        <w:rPr>
          <w:rFonts w:asciiTheme="minorHAnsi" w:hAnsiTheme="minorHAnsi" w:cstheme="minorHAnsi"/>
          <w:sz w:val="22"/>
          <w:szCs w:val="22"/>
        </w:rPr>
      </w:pPr>
      <w:r>
        <w:rPr>
          <w:rFonts w:asciiTheme="minorHAnsi" w:hAnsiTheme="minorHAnsi" w:cstheme="minorHAnsi"/>
          <w:sz w:val="22"/>
          <w:szCs w:val="22"/>
        </w:rPr>
        <w:t>In-line with the overall sub-component’s objectives, this activity will provide essential revisions to the TDA-SAP Methodology and training course (described earlier in 4.1.2) in two key areas. Consideration of source-to-sea issues would be inherent to any TDA formulation, at least for marine and coastal projects. First, the Methodology will be strengthened with additional guidance in connection to source-to-sea issues, at least vis-à-vis the SAP chapters. Secondly, gender mainstreaming is an issue that was addressed in the previous phase of IW:LEARN. During that project, the GEF also published its official guidance on gender mainstreaming to be taken up by the portfolio implementing agencies in project design. This activity will focus on including those considerations as regards the TDA-SAP methodology. Both elements of this activity will contribute to strengthening the management of both transboundary freshwater and marine ecosystems, which is the focus of the Component 4’s outcome.</w:t>
      </w:r>
    </w:p>
    <w:p w14:paraId="69AE04DF" w14:textId="77777777" w:rsidR="00D16282" w:rsidRDefault="00D16282" w:rsidP="00D16282">
      <w:pPr>
        <w:jc w:val="both"/>
        <w:rPr>
          <w:rFonts w:asciiTheme="minorHAnsi" w:hAnsiTheme="minorHAnsi" w:cstheme="minorHAnsi"/>
          <w:sz w:val="22"/>
          <w:szCs w:val="22"/>
        </w:rPr>
      </w:pPr>
    </w:p>
    <w:p w14:paraId="53FDDC5E"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The role of the PCU will be to lead the revisions to the Methodology. The project will partner with:</w:t>
      </w:r>
    </w:p>
    <w:p w14:paraId="4CFBD791" w14:textId="77777777" w:rsidR="00D16282" w:rsidRDefault="00F57A55" w:rsidP="00D16282">
      <w:pPr>
        <w:numPr>
          <w:ilvl w:val="0"/>
          <w:numId w:val="64"/>
        </w:numPr>
        <w:jc w:val="both"/>
        <w:rPr>
          <w:rFonts w:asciiTheme="minorHAnsi" w:hAnsiTheme="minorHAnsi" w:cstheme="minorHAnsi"/>
          <w:color w:val="000000"/>
          <w:sz w:val="22"/>
          <w:szCs w:val="22"/>
        </w:rPr>
      </w:pPr>
      <w:sdt>
        <w:sdtPr>
          <w:rPr>
            <w:rFonts w:asciiTheme="minorHAnsi" w:hAnsiTheme="minorHAnsi" w:cstheme="minorHAnsi"/>
          </w:rPr>
          <w:tag w:val="goog_rdk_1061"/>
          <w:id w:val="1684556421"/>
        </w:sdtPr>
        <w:sdtEndPr/>
        <w:sdtContent>
          <w:r w:rsidR="00D16282">
            <w:rPr>
              <w:rFonts w:asciiTheme="minorHAnsi" w:hAnsiTheme="minorHAnsi" w:cstheme="minorHAnsi"/>
              <w:color w:val="000000"/>
              <w:sz w:val="22"/>
              <w:szCs w:val="22"/>
            </w:rPr>
            <w:t>Through</w:t>
          </w:r>
        </w:sdtContent>
      </w:sdt>
      <w:r w:rsidR="00D16282">
        <w:rPr>
          <w:rFonts w:asciiTheme="minorHAnsi" w:hAnsiTheme="minorHAnsi" w:cstheme="minorHAnsi"/>
          <w:color w:val="000000"/>
          <w:sz w:val="22"/>
          <w:szCs w:val="22"/>
        </w:rPr>
        <w:t xml:space="preserve"> GEF International Waters Task Force, the </w:t>
      </w:r>
      <w:sdt>
        <w:sdtPr>
          <w:rPr>
            <w:rFonts w:asciiTheme="minorHAnsi" w:hAnsiTheme="minorHAnsi" w:cstheme="minorHAnsi"/>
          </w:rPr>
          <w:tag w:val="goog_rdk_1062"/>
          <w:id w:val="295415796"/>
        </w:sdtPr>
        <w:sdtEndPr/>
        <w:sdtContent>
          <w:r w:rsidR="00D16282">
            <w:rPr>
              <w:rFonts w:asciiTheme="minorHAnsi" w:hAnsiTheme="minorHAnsi" w:cstheme="minorHAnsi"/>
              <w:color w:val="000000"/>
              <w:sz w:val="22"/>
              <w:szCs w:val="22"/>
            </w:rPr>
            <w:t>i</w:t>
          </w:r>
        </w:sdtContent>
      </w:sdt>
      <w:r w:rsidR="00D16282">
        <w:rPr>
          <w:rFonts w:asciiTheme="minorHAnsi" w:hAnsiTheme="minorHAnsi" w:cstheme="minorHAnsi"/>
          <w:color w:val="000000"/>
          <w:sz w:val="22"/>
          <w:szCs w:val="22"/>
        </w:rPr>
        <w:t>nter-agency group featuring all GEF implementing agencies with IW portfolio, as well as with technical support from WWF-US and UNESCO-WWAP on the specific gender mainstreaming aspects of the TDA-SAP Methodology; and</w:t>
      </w:r>
    </w:p>
    <w:p w14:paraId="2EE93D9C" w14:textId="77777777" w:rsidR="004E0050" w:rsidRDefault="00D16282" w:rsidP="009E30F0">
      <w:pPr>
        <w:numPr>
          <w:ilvl w:val="0"/>
          <w:numId w:val="64"/>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SIWI </w:t>
      </w:r>
      <w:sdt>
        <w:sdtPr>
          <w:rPr>
            <w:rFonts w:asciiTheme="minorHAnsi" w:hAnsiTheme="minorHAnsi" w:cstheme="minorHAnsi"/>
          </w:rPr>
          <w:tag w:val="goog_rdk_1065"/>
          <w:id w:val="-2001034778"/>
        </w:sdtPr>
        <w:sdtEndPr/>
        <w:sdtContent>
          <w:r>
            <w:rPr>
              <w:rFonts w:asciiTheme="minorHAnsi" w:hAnsiTheme="minorHAnsi" w:cstheme="minorHAnsi"/>
              <w:color w:val="000000"/>
              <w:sz w:val="22"/>
              <w:szCs w:val="22"/>
            </w:rPr>
            <w:t xml:space="preserve">and GWP </w:t>
          </w:r>
        </w:sdtContent>
      </w:sdt>
      <w:r>
        <w:rPr>
          <w:rFonts w:asciiTheme="minorHAnsi" w:hAnsiTheme="minorHAnsi" w:cstheme="minorHAnsi"/>
          <w:color w:val="000000"/>
          <w:sz w:val="22"/>
          <w:szCs w:val="22"/>
        </w:rPr>
        <w:t xml:space="preserve">on the source-to-sea modification aspects.  </w:t>
      </w:r>
      <w:bookmarkStart w:id="22" w:name="_Toc115094379"/>
    </w:p>
    <w:p w14:paraId="607CFC5E" w14:textId="77777777" w:rsidR="004E0050" w:rsidRDefault="004E0050">
      <w:pPr>
        <w:spacing w:after="16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61547EC9" w14:textId="44ED5905" w:rsidR="00D16282" w:rsidRPr="009E30F0" w:rsidRDefault="00D16282" w:rsidP="004E0050">
      <w:pPr>
        <w:jc w:val="both"/>
        <w:rPr>
          <w:rFonts w:asciiTheme="minorHAnsi" w:hAnsiTheme="minorHAnsi" w:cstheme="minorHAnsi"/>
          <w:color w:val="000000"/>
          <w:sz w:val="22"/>
          <w:szCs w:val="22"/>
        </w:rPr>
      </w:pPr>
      <w:r w:rsidRPr="009E30F0">
        <w:rPr>
          <w:rFonts w:asciiTheme="minorHAnsi" w:hAnsiTheme="minorHAnsi" w:cstheme="minorHAnsi"/>
          <w:b/>
          <w:bCs/>
          <w:color w:val="000000" w:themeColor="text1"/>
          <w:u w:val="single"/>
        </w:rPr>
        <w:lastRenderedPageBreak/>
        <w:t>Component 5</w:t>
      </w:r>
      <w:r w:rsidR="00F439E2" w:rsidRPr="009E30F0">
        <w:rPr>
          <w:rFonts w:asciiTheme="minorHAnsi" w:hAnsiTheme="minorHAnsi" w:cstheme="minorHAnsi"/>
          <w:b/>
          <w:bCs/>
          <w:color w:val="000000" w:themeColor="text1"/>
          <w:u w:val="single"/>
        </w:rPr>
        <w:t>: Mobilize Public and Private Partnership to Enhance Long-term Sustainability of Project Interventions</w:t>
      </w:r>
      <w:bookmarkEnd w:id="22"/>
    </w:p>
    <w:p w14:paraId="67F89915" w14:textId="77777777" w:rsidR="00D16282" w:rsidRDefault="00D16282" w:rsidP="00D16282">
      <w:pPr>
        <w:spacing w:before="240"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GEF7 International Water Strategy states that GEF International Waters investments will stimulate private sector investment through </w:t>
      </w:r>
      <w:proofErr w:type="gramStart"/>
      <w:r>
        <w:rPr>
          <w:rFonts w:asciiTheme="minorHAnsi" w:hAnsiTheme="minorHAnsi" w:cstheme="minorHAnsi"/>
          <w:color w:val="000000"/>
          <w:sz w:val="22"/>
          <w:szCs w:val="22"/>
        </w:rPr>
        <w:t>all of</w:t>
      </w:r>
      <w:proofErr w:type="gramEnd"/>
      <w:r>
        <w:rPr>
          <w:rFonts w:asciiTheme="minorHAnsi" w:hAnsiTheme="minorHAnsi" w:cstheme="minorHAnsi"/>
          <w:color w:val="000000"/>
          <w:sz w:val="22"/>
          <w:szCs w:val="22"/>
        </w:rPr>
        <w:t xml:space="preserve"> its three objectives. This engagement will occur through two different entry points, namely: </w:t>
      </w:r>
    </w:p>
    <w:p w14:paraId="4715B297" w14:textId="77777777" w:rsidR="00D16282" w:rsidRDefault="00D16282" w:rsidP="00D16282">
      <w:pPr>
        <w:numPr>
          <w:ilvl w:val="0"/>
          <w:numId w:val="65"/>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Stimulating engagement along the different supply chains towards reducing impacts on the freshwater and marine ecosystem environments, and </w:t>
      </w:r>
    </w:p>
    <w:p w14:paraId="26713448" w14:textId="77777777" w:rsidR="00D16282" w:rsidRDefault="00D16282" w:rsidP="00D16282">
      <w:pPr>
        <w:numPr>
          <w:ilvl w:val="0"/>
          <w:numId w:val="65"/>
        </w:numPr>
        <w:ind w:left="714"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De-risking innovative investments within the freshwater and marine sectors, through support to testing of innovative approaches and technologies. </w:t>
      </w:r>
    </w:p>
    <w:p w14:paraId="5FEF776F" w14:textId="77777777" w:rsidR="00D16282" w:rsidRDefault="00D16282" w:rsidP="00D16282">
      <w:pPr>
        <w:spacing w:before="240" w:after="240"/>
        <w:jc w:val="both"/>
        <w:rPr>
          <w:rFonts w:asciiTheme="minorHAnsi" w:hAnsiTheme="minorHAnsi" w:cstheme="minorHAnsi"/>
          <w:color w:val="000000"/>
          <w:sz w:val="22"/>
          <w:szCs w:val="22"/>
        </w:rPr>
      </w:pPr>
      <w:bookmarkStart w:id="23" w:name="_heading=h.4d34og8"/>
      <w:bookmarkEnd w:id="23"/>
      <w:r>
        <w:rPr>
          <w:rFonts w:asciiTheme="minorHAnsi" w:hAnsiTheme="minorHAnsi" w:cstheme="minorHAnsi"/>
          <w:color w:val="000000"/>
          <w:sz w:val="22"/>
          <w:szCs w:val="22"/>
        </w:rPr>
        <w:t>The IW portfolio has repeatedly expressed interest in greater support and guidance with private sector engagement. This interest was most clearly expressed during the 8</w:t>
      </w:r>
      <w:r>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GEF Biennial International Waters Conference, where a follow-on workshop on Financing Sustainable Management of Transboundary Basins outlined a clear set of actionable recommendations that a future GEF IW:LEARN project could address. These included, </w:t>
      </w:r>
      <w:r>
        <w:rPr>
          <w:rFonts w:asciiTheme="minorHAnsi" w:hAnsiTheme="minorHAnsi" w:cstheme="minorHAnsi"/>
          <w:i/>
          <w:color w:val="000000"/>
          <w:sz w:val="22"/>
          <w:szCs w:val="22"/>
        </w:rPr>
        <w:t>inter alia</w:t>
      </w:r>
      <w:r>
        <w:rPr>
          <w:rFonts w:asciiTheme="minorHAnsi" w:hAnsiTheme="minorHAnsi" w:cstheme="minorHAnsi"/>
          <w:color w:val="000000"/>
          <w:sz w:val="22"/>
          <w:szCs w:val="22"/>
        </w:rPr>
        <w:t>, strengthening GEF IW capacity, establishment of a global IW Partnerships Advisory Panel to provide advice and support partnership building, further IW dialogue awareness, communication and training. Given that the significant number of GEF IW projects are supporting the implementation of SAPs and the portfolio’s stated interest in attracting investment towards those SAPs priorities, this Component will help guide and support the portfolio with private and public partnerships. The activities in the Component are expected to leverage an enhanced number of partnerships and resources mobilized for the portfolio.</w:t>
      </w:r>
    </w:p>
    <w:p w14:paraId="00C5CFE5" w14:textId="77777777" w:rsidR="00D16282" w:rsidRDefault="00D16282" w:rsidP="00D16282">
      <w:pPr>
        <w:spacing w:before="240"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First, the Component 5 will feature the establishment and operation of a global IW Partnerships Advisory Panel to help match-make GEF IW projects and development partners with the business community in line with the draft GEF’s Private Sector Engagement Strategy</w:t>
      </w:r>
      <w:r>
        <w:rPr>
          <w:rFonts w:asciiTheme="minorHAnsi" w:hAnsiTheme="minorHAnsi" w:cstheme="minorHAnsi"/>
          <w:color w:val="000000"/>
          <w:vertAlign w:val="superscript"/>
        </w:rPr>
        <w:footnoteReference w:id="11"/>
      </w:r>
      <w:r>
        <w:rPr>
          <w:rFonts w:asciiTheme="minorHAnsi" w:hAnsiTheme="minorHAnsi" w:cstheme="minorHAnsi"/>
          <w:color w:val="000000"/>
          <w:sz w:val="22"/>
          <w:szCs w:val="22"/>
        </w:rPr>
        <w:t xml:space="preserve"> on a portfolio level. Second, the Component 5 will support further facilitation of partnerships via regional-level networking and dialogue events. And finally, this component will support the development of training materials and programmatic guidance on attracting sustainable financing to address SAP investment priorities. The activities in the Component </w:t>
      </w:r>
      <w:sdt>
        <w:sdtPr>
          <w:rPr>
            <w:rFonts w:asciiTheme="minorHAnsi" w:hAnsiTheme="minorHAnsi" w:cstheme="minorHAnsi"/>
          </w:rPr>
          <w:tag w:val="goog_rdk_1066"/>
          <w:id w:val="1313521521"/>
        </w:sdtPr>
        <w:sdtEndPr/>
        <w:sdtContent>
          <w:r>
            <w:rPr>
              <w:rFonts w:asciiTheme="minorHAnsi" w:hAnsiTheme="minorHAnsi" w:cstheme="minorHAnsi"/>
              <w:color w:val="000000"/>
              <w:sz w:val="22"/>
              <w:szCs w:val="22"/>
            </w:rPr>
            <w:t xml:space="preserve">5 </w:t>
          </w:r>
        </w:sdtContent>
      </w:sdt>
      <w:r>
        <w:rPr>
          <w:rFonts w:asciiTheme="minorHAnsi" w:hAnsiTheme="minorHAnsi" w:cstheme="minorHAnsi"/>
          <w:color w:val="000000"/>
          <w:sz w:val="22"/>
          <w:szCs w:val="22"/>
        </w:rPr>
        <w:t>are expected to leverage an enhanced number of partnerships and resources mobilized for the portfolio.</w:t>
      </w:r>
    </w:p>
    <w:p w14:paraId="3FC52D41" w14:textId="77777777" w:rsidR="00D16282" w:rsidRDefault="00D16282" w:rsidP="00D16282">
      <w:pPr>
        <w:spacing w:before="240"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Three sub‐components are foreseen under Component 5: </w:t>
      </w:r>
    </w:p>
    <w:p w14:paraId="0A65DEC6" w14:textId="77777777" w:rsidR="00D16282" w:rsidRDefault="00D16282" w:rsidP="00D16282">
      <w:pPr>
        <w:numPr>
          <w:ilvl w:val="0"/>
          <w:numId w:val="66"/>
        </w:numPr>
        <w:jc w:val="both"/>
        <w:rPr>
          <w:rFonts w:asciiTheme="minorHAnsi" w:hAnsiTheme="minorHAnsi" w:cstheme="minorHAnsi"/>
          <w:color w:val="000000"/>
          <w:sz w:val="22"/>
          <w:szCs w:val="22"/>
        </w:rPr>
      </w:pPr>
      <w:bookmarkStart w:id="24" w:name="_heading=h.2s8eyo1"/>
      <w:bookmarkEnd w:id="24"/>
      <w:r>
        <w:rPr>
          <w:rFonts w:asciiTheme="minorHAnsi" w:hAnsiTheme="minorHAnsi" w:cstheme="minorHAnsi"/>
          <w:b/>
          <w:color w:val="000000"/>
          <w:sz w:val="22"/>
          <w:szCs w:val="22"/>
        </w:rPr>
        <w:t>Sub‐component 5.1:</w:t>
      </w:r>
      <w:r>
        <w:rPr>
          <w:rFonts w:asciiTheme="minorHAnsi" w:hAnsiTheme="minorHAnsi" w:cstheme="minorHAnsi"/>
          <w:color w:val="000000"/>
          <w:sz w:val="22"/>
          <w:szCs w:val="22"/>
        </w:rPr>
        <w:t xml:space="preserve"> Support for increased mobilization of public and private financial partnerships via global IW Partnerships Advisory Panel</w:t>
      </w:r>
      <w:sdt>
        <w:sdtPr>
          <w:rPr>
            <w:rFonts w:asciiTheme="minorHAnsi" w:hAnsiTheme="minorHAnsi" w:cstheme="minorHAnsi"/>
          </w:rPr>
          <w:tag w:val="goog_rdk_1067"/>
          <w:id w:val="-938523921"/>
        </w:sdtPr>
        <w:sdtEndPr/>
        <w:sdtContent>
          <w:r>
            <w:rPr>
              <w:rFonts w:asciiTheme="minorHAnsi" w:hAnsiTheme="minorHAnsi" w:cstheme="minorHAnsi"/>
              <w:color w:val="000000"/>
              <w:sz w:val="22"/>
              <w:szCs w:val="22"/>
            </w:rPr>
            <w:t>;</w:t>
          </w:r>
        </w:sdtContent>
      </w:sdt>
      <w:sdt>
        <w:sdtPr>
          <w:rPr>
            <w:rFonts w:asciiTheme="minorHAnsi" w:hAnsiTheme="minorHAnsi" w:cstheme="minorHAnsi"/>
          </w:rPr>
          <w:tag w:val="goog_rdk_1068"/>
          <w:id w:val="665826761"/>
          <w:showingPlcHdr/>
        </w:sdtPr>
        <w:sdtEndPr/>
        <w:sdtContent>
          <w:r>
            <w:rPr>
              <w:rFonts w:asciiTheme="minorHAnsi" w:hAnsiTheme="minorHAnsi" w:cstheme="minorHAnsi"/>
            </w:rPr>
            <w:t xml:space="preserve">     </w:t>
          </w:r>
        </w:sdtContent>
      </w:sdt>
    </w:p>
    <w:p w14:paraId="01200DCD" w14:textId="77777777" w:rsidR="00D16282" w:rsidRDefault="00D16282" w:rsidP="00D16282">
      <w:pPr>
        <w:numPr>
          <w:ilvl w:val="0"/>
          <w:numId w:val="6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5.2:</w:t>
      </w:r>
      <w:r>
        <w:rPr>
          <w:rFonts w:asciiTheme="minorHAnsi" w:hAnsiTheme="minorHAnsi" w:cstheme="minorHAnsi"/>
          <w:color w:val="000000"/>
          <w:sz w:val="22"/>
          <w:szCs w:val="22"/>
        </w:rPr>
        <w:t xml:space="preserve"> Facilitation of partnerships with projects and the business community via regional-level networking</w:t>
      </w:r>
      <w:sdt>
        <w:sdtPr>
          <w:rPr>
            <w:rFonts w:asciiTheme="minorHAnsi" w:hAnsiTheme="minorHAnsi" w:cstheme="minorHAnsi"/>
          </w:rPr>
          <w:tag w:val="goog_rdk_1069"/>
          <w:id w:val="969945598"/>
        </w:sdtPr>
        <w:sdtEndPr/>
        <w:sdtContent>
          <w:r>
            <w:rPr>
              <w:rFonts w:asciiTheme="minorHAnsi" w:hAnsiTheme="minorHAnsi" w:cstheme="minorHAnsi"/>
              <w:color w:val="000000"/>
              <w:sz w:val="22"/>
              <w:szCs w:val="22"/>
            </w:rPr>
            <w:t>; and</w:t>
          </w:r>
        </w:sdtContent>
      </w:sdt>
      <w:r>
        <w:rPr>
          <w:rFonts w:asciiTheme="minorHAnsi" w:hAnsiTheme="minorHAnsi" w:cstheme="minorHAnsi"/>
          <w:color w:val="000000"/>
          <w:sz w:val="22"/>
          <w:szCs w:val="22"/>
        </w:rPr>
        <w:t xml:space="preserve"> </w:t>
      </w:r>
    </w:p>
    <w:p w14:paraId="45BE29F8" w14:textId="77777777" w:rsidR="00D16282" w:rsidRDefault="00D16282" w:rsidP="00D16282">
      <w:pPr>
        <w:numPr>
          <w:ilvl w:val="0"/>
          <w:numId w:val="66"/>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Sub‐component 5.3:</w:t>
      </w:r>
      <w:r>
        <w:rPr>
          <w:rFonts w:asciiTheme="minorHAnsi" w:hAnsiTheme="minorHAnsi" w:cstheme="minorHAnsi"/>
          <w:color w:val="000000"/>
          <w:sz w:val="22"/>
          <w:szCs w:val="22"/>
        </w:rPr>
        <w:t xml:space="preserve"> Training support to portfolio on attracting sustainable financing to address SAP investment priorities</w:t>
      </w:r>
      <w:sdt>
        <w:sdtPr>
          <w:rPr>
            <w:rFonts w:asciiTheme="minorHAnsi" w:hAnsiTheme="minorHAnsi" w:cstheme="minorHAnsi"/>
          </w:rPr>
          <w:tag w:val="goog_rdk_1070"/>
          <w:id w:val="535545706"/>
        </w:sdtPr>
        <w:sdtEndPr/>
        <w:sdtContent>
          <w:r>
            <w:rPr>
              <w:rFonts w:asciiTheme="minorHAnsi" w:hAnsiTheme="minorHAnsi" w:cstheme="minorHAnsi"/>
              <w:color w:val="000000"/>
              <w:sz w:val="22"/>
              <w:szCs w:val="22"/>
            </w:rPr>
            <w:t>.</w:t>
          </w:r>
        </w:sdtContent>
      </w:sdt>
      <w:r>
        <w:rPr>
          <w:rFonts w:asciiTheme="minorHAnsi" w:hAnsiTheme="minorHAnsi" w:cstheme="minorHAnsi"/>
          <w:color w:val="000000"/>
          <w:sz w:val="22"/>
          <w:szCs w:val="22"/>
        </w:rPr>
        <w:t xml:space="preserve"> </w:t>
      </w:r>
    </w:p>
    <w:p w14:paraId="70FE9E9E" w14:textId="77777777" w:rsidR="00D16282" w:rsidRPr="00D16282" w:rsidRDefault="00D16282" w:rsidP="00D16282"/>
    <w:p w14:paraId="0CB792FA" w14:textId="0D35A999" w:rsidR="00D16282" w:rsidRDefault="00D16282" w:rsidP="00D16282">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5.1</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Support for increased mobilization of public and private financial partnerships via Global IW Partnerships Advisory Panel (UNDP)</w:t>
      </w:r>
    </w:p>
    <w:p w14:paraId="2E1600C4" w14:textId="77777777" w:rsidR="00D16282" w:rsidRDefault="00D16282" w:rsidP="00D16282">
      <w:pPr>
        <w:shd w:val="clear" w:color="auto" w:fill="D0CECE"/>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Summary of outputs, outcomes and budget    </w:t>
      </w:r>
    </w:p>
    <w:p w14:paraId="1D28317A" w14:textId="77777777" w:rsidR="00D16282" w:rsidRDefault="00D16282" w:rsidP="00D16282">
      <w:pPr>
        <w:shd w:val="clear" w:color="auto" w:fill="D0CECE"/>
        <w:jc w:val="both"/>
        <w:rPr>
          <w:rFonts w:asciiTheme="minorHAnsi" w:hAnsiTheme="minorHAnsi" w:cstheme="minorHAnsi"/>
          <w:color w:val="000000"/>
          <w:sz w:val="22"/>
          <w:szCs w:val="22"/>
        </w:rPr>
      </w:pPr>
    </w:p>
    <w:p w14:paraId="29FED9BB"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The expected </w:t>
      </w:r>
      <w:r>
        <w:rPr>
          <w:rFonts w:asciiTheme="minorHAnsi" w:hAnsiTheme="minorHAnsi" w:cstheme="minorHAnsi"/>
          <w:b/>
          <w:color w:val="000000"/>
          <w:sz w:val="22"/>
          <w:szCs w:val="22"/>
        </w:rPr>
        <w:t>output</w:t>
      </w:r>
      <w:r>
        <w:rPr>
          <w:rFonts w:asciiTheme="minorHAnsi" w:hAnsiTheme="minorHAnsi" w:cstheme="minorHAnsi"/>
          <w:color w:val="000000"/>
          <w:sz w:val="22"/>
          <w:szCs w:val="22"/>
        </w:rPr>
        <w:t xml:space="preserve"> from sub‐component 5.1 is:  </w:t>
      </w:r>
    </w:p>
    <w:p w14:paraId="30F3AE8E" w14:textId="77777777" w:rsidR="00D16282" w:rsidRDefault="00D16282" w:rsidP="00D16282">
      <w:pPr>
        <w:shd w:val="clear" w:color="auto" w:fill="D0CECE"/>
        <w:jc w:val="both"/>
        <w:rPr>
          <w:rFonts w:asciiTheme="minorHAnsi" w:hAnsiTheme="minorHAnsi" w:cstheme="minorHAnsi"/>
          <w:color w:val="000000"/>
          <w:sz w:val="22"/>
          <w:szCs w:val="22"/>
        </w:rPr>
      </w:pPr>
    </w:p>
    <w:p w14:paraId="0F7C4C57"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Support for increased mobilization of public and private financial partnerships via Global IW Partnerships Advisory Panel</w:t>
      </w:r>
    </w:p>
    <w:p w14:paraId="2E895569" w14:textId="77777777" w:rsidR="00D16282" w:rsidRDefault="00D16282" w:rsidP="00D16282">
      <w:pPr>
        <w:shd w:val="clear" w:color="auto" w:fill="D0CECE"/>
        <w:jc w:val="both"/>
        <w:rPr>
          <w:rFonts w:asciiTheme="minorHAnsi" w:hAnsiTheme="minorHAnsi" w:cstheme="minorHAnsi"/>
          <w:color w:val="000000"/>
          <w:sz w:val="22"/>
          <w:szCs w:val="22"/>
        </w:rPr>
      </w:pPr>
    </w:p>
    <w:p w14:paraId="659E72A3"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The expected </w:t>
      </w:r>
      <w:r>
        <w:rPr>
          <w:rFonts w:asciiTheme="minorHAnsi" w:hAnsiTheme="minorHAnsi" w:cstheme="minorHAnsi"/>
          <w:b/>
          <w:color w:val="000000"/>
          <w:sz w:val="22"/>
          <w:szCs w:val="22"/>
        </w:rPr>
        <w:t>outcome</w:t>
      </w:r>
      <w:r>
        <w:rPr>
          <w:rFonts w:asciiTheme="minorHAnsi" w:hAnsiTheme="minorHAnsi" w:cstheme="minorHAnsi"/>
          <w:color w:val="000000"/>
          <w:sz w:val="22"/>
          <w:szCs w:val="22"/>
        </w:rPr>
        <w:t xml:space="preserve"> from sub‐component 5.1 is: </w:t>
      </w:r>
    </w:p>
    <w:p w14:paraId="0AA0BAB9" w14:textId="77777777" w:rsidR="00D16282" w:rsidRDefault="00D16282" w:rsidP="00D16282">
      <w:pPr>
        <w:shd w:val="clear" w:color="auto" w:fill="D0CECE"/>
        <w:jc w:val="both"/>
        <w:rPr>
          <w:rFonts w:asciiTheme="minorHAnsi" w:hAnsiTheme="minorHAnsi" w:cstheme="minorHAnsi"/>
          <w:color w:val="000000"/>
          <w:sz w:val="22"/>
          <w:szCs w:val="22"/>
        </w:rPr>
      </w:pPr>
    </w:p>
    <w:p w14:paraId="53280713"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Enhanced number of partnerships and resources mobilized for the portfolio</w:t>
      </w:r>
    </w:p>
    <w:p w14:paraId="41A442C3" w14:textId="77777777" w:rsidR="00D16282" w:rsidRDefault="00D16282" w:rsidP="00D16282">
      <w:pPr>
        <w:shd w:val="clear" w:color="auto" w:fill="D0CECE"/>
        <w:jc w:val="both"/>
        <w:rPr>
          <w:rFonts w:asciiTheme="minorHAnsi" w:hAnsiTheme="minorHAnsi" w:cstheme="minorHAnsi"/>
          <w:b/>
          <w:color w:val="000000"/>
          <w:sz w:val="22"/>
          <w:szCs w:val="22"/>
        </w:rPr>
      </w:pPr>
    </w:p>
    <w:p w14:paraId="55A20B08" w14:textId="77777777" w:rsidR="00D16282" w:rsidRDefault="00D16282" w:rsidP="00D16282">
      <w:pPr>
        <w:shd w:val="clear" w:color="auto" w:fill="D0CECE"/>
        <w:jc w:val="both"/>
        <w:rPr>
          <w:rFonts w:asciiTheme="minorHAnsi" w:hAnsiTheme="minorHAnsi" w:cstheme="minorHAnsi"/>
          <w:b/>
          <w:color w:val="000000"/>
          <w:sz w:val="22"/>
          <w:szCs w:val="22"/>
        </w:rPr>
      </w:pPr>
      <w:r>
        <w:rPr>
          <w:rFonts w:asciiTheme="minorHAnsi" w:hAnsiTheme="minorHAnsi" w:cstheme="minorHAnsi"/>
          <w:b/>
          <w:color w:val="000000"/>
          <w:sz w:val="22"/>
          <w:szCs w:val="22"/>
        </w:rPr>
        <w:t>The overall costs for Component 5: GEF Grant USD571,000</w:t>
      </w:r>
    </w:p>
    <w:p w14:paraId="448E03BA"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b/>
          <w:color w:val="000000"/>
          <w:sz w:val="22"/>
          <w:szCs w:val="22"/>
        </w:rPr>
        <w:t>This sub‐component links to the following sub‐components: </w:t>
      </w:r>
      <w:r>
        <w:rPr>
          <w:rFonts w:asciiTheme="minorHAnsi" w:hAnsiTheme="minorHAnsi" w:cstheme="minorHAnsi"/>
          <w:color w:val="000000"/>
          <w:sz w:val="22"/>
          <w:szCs w:val="22"/>
        </w:rPr>
        <w:t xml:space="preserve"> </w:t>
      </w:r>
    </w:p>
    <w:p w14:paraId="1731DDE6" w14:textId="77777777" w:rsidR="00D16282" w:rsidRDefault="00D16282" w:rsidP="00D16282">
      <w:pPr>
        <w:shd w:val="clear" w:color="auto" w:fill="D0CECE"/>
        <w:jc w:val="both"/>
        <w:rPr>
          <w:rFonts w:asciiTheme="minorHAnsi" w:hAnsiTheme="minorHAnsi" w:cstheme="minorHAnsi"/>
          <w:color w:val="000000"/>
          <w:sz w:val="22"/>
          <w:szCs w:val="22"/>
        </w:rPr>
      </w:pPr>
    </w:p>
    <w:p w14:paraId="6F1A8689"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2.1: GEF IW:LEARN website supporting improved GEF IW project snapshots and a searchable knowledge bank of project experience; Sub-component </w:t>
      </w:r>
    </w:p>
    <w:p w14:paraId="67A828A2" w14:textId="77777777" w:rsidR="00D16282" w:rsidRDefault="00D16282" w:rsidP="00D16282">
      <w:pPr>
        <w:shd w:val="clear" w:color="auto" w:fill="D0CECE"/>
        <w:jc w:val="both"/>
        <w:rPr>
          <w:rFonts w:asciiTheme="minorHAnsi" w:hAnsiTheme="minorHAnsi" w:cstheme="minorHAnsi"/>
          <w:color w:val="000000"/>
          <w:sz w:val="22"/>
          <w:szCs w:val="22"/>
        </w:rPr>
      </w:pPr>
    </w:p>
    <w:p w14:paraId="392BBA39" w14:textId="77777777" w:rsidR="00D16282" w:rsidRDefault="00D16282" w:rsidP="00D16282">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4.1: Knowledge exchanges on Water, Food, Energy and Environmental Security in transboundary basins</w:t>
      </w:r>
    </w:p>
    <w:p w14:paraId="5D9401B5" w14:textId="77777777" w:rsidR="00D16282" w:rsidRDefault="00D16282" w:rsidP="00D16282">
      <w:pPr>
        <w:jc w:val="both"/>
        <w:rPr>
          <w:rFonts w:asciiTheme="minorHAnsi" w:hAnsiTheme="minorHAnsi" w:cstheme="minorHAnsi"/>
          <w:color w:val="000000"/>
          <w:sz w:val="22"/>
          <w:szCs w:val="22"/>
        </w:rPr>
      </w:pPr>
      <w:bookmarkStart w:id="25" w:name="_heading=h.3rdcrjn"/>
      <w:bookmarkEnd w:id="25"/>
    </w:p>
    <w:p w14:paraId="12127744" w14:textId="77777777" w:rsidR="00D16282" w:rsidRDefault="00D16282" w:rsidP="00D16282">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Current engagement and partnerships with the private sector have been either on the case by case basis, or not specifically tailored towards the GEF IW context. Engaging with the GEF offers a blended social and business value and should be most effectively undertaken in public-private partnerships. Business assets and skills offer unique capabilities to address watershed and LME stewardships and risk challenges that GEF projects currently do not possess. Public-private partnerships can bring benefits across key project functions including financing, management and implementation. Structured private sector engagement specifically targeted towards GEF IW projects can add value to the GEF’s actions (with capacity, expertise, technologies and resources) and at the same time reduce the real risk that companies and the local communities face if water and/or marine resources are not protected. </w:t>
      </w:r>
    </w:p>
    <w:p w14:paraId="69761E81" w14:textId="77777777" w:rsidR="00D16282" w:rsidRDefault="00D16282" w:rsidP="00D16282">
      <w:pPr>
        <w:rPr>
          <w:rFonts w:asciiTheme="minorHAnsi" w:hAnsiTheme="minorHAnsi" w:cstheme="minorHAnsi"/>
          <w:sz w:val="22"/>
          <w:szCs w:val="22"/>
        </w:rPr>
      </w:pPr>
    </w:p>
    <w:p w14:paraId="737D1A8B"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The 8th GEF Biennial International Waters Conference (2016) with the theme “Scaling Up GEF IW Investments from Source to Sea and Beyond in the Context of Achieving the SDGs”, specifically the international roundtable “Partnering with the Private Sector for Sustainable Financing from Source to Sea”, called for: 1) Strengthening the GEF IW capacity for private sector engagement and partnership; 2) Setting up a GEF IW Advisory Panel (or Reference Group) to provide advice on engagement with the private sector; 3) Elaborating a Strategy and Action Plan on how to engage and partner with the private sector; 4) Initiating and developing an IW dialogue, awareness, communication and training Campaign with the private sector for engagement and partnership using existing channels; 5) Creating a database (indicators) to measure IW private sector partnership and sustainable financing from source-to-sea and beyond using available resources</w:t>
      </w:r>
      <w:sdt>
        <w:sdtPr>
          <w:rPr>
            <w:rFonts w:asciiTheme="minorHAnsi" w:hAnsiTheme="minorHAnsi" w:cstheme="minorHAnsi"/>
          </w:rPr>
          <w:tag w:val="goog_rdk_1071"/>
          <w:id w:val="-1804843404"/>
        </w:sdtPr>
        <w:sdtEndPr/>
        <w:sdtContent>
          <w:r>
            <w:rPr>
              <w:rFonts w:asciiTheme="minorHAnsi" w:hAnsiTheme="minorHAnsi" w:cstheme="minorHAnsi"/>
              <w:sz w:val="22"/>
              <w:szCs w:val="22"/>
            </w:rPr>
            <w:t>;</w:t>
          </w:r>
        </w:sdtContent>
      </w:sdt>
      <w:r>
        <w:rPr>
          <w:rFonts w:asciiTheme="minorHAnsi" w:hAnsiTheme="minorHAnsi" w:cstheme="minorHAnsi"/>
          <w:sz w:val="22"/>
          <w:szCs w:val="22"/>
        </w:rPr>
        <w:t xml:space="preserve"> and 6) Integrating the private sector engagement from the design phase of projects and inclusion of related considerations (as applicable) into existing projects.</w:t>
      </w:r>
    </w:p>
    <w:p w14:paraId="217044FA" w14:textId="77777777" w:rsidR="00D16282" w:rsidRDefault="00D16282" w:rsidP="00D16282">
      <w:pPr>
        <w:jc w:val="both"/>
        <w:rPr>
          <w:rFonts w:asciiTheme="minorHAnsi" w:hAnsiTheme="minorHAnsi" w:cstheme="minorHAnsi"/>
          <w:sz w:val="22"/>
          <w:szCs w:val="22"/>
        </w:rPr>
      </w:pPr>
    </w:p>
    <w:p w14:paraId="6B12F5AC" w14:textId="77777777" w:rsidR="00D16282" w:rsidRDefault="00D16282" w:rsidP="00D16282">
      <w:pPr>
        <w:jc w:val="both"/>
        <w:rPr>
          <w:rFonts w:asciiTheme="minorHAnsi" w:hAnsiTheme="minorHAnsi" w:cstheme="minorHAnsi"/>
        </w:rPr>
      </w:pPr>
      <w:r>
        <w:rPr>
          <w:rFonts w:asciiTheme="minorHAnsi" w:hAnsiTheme="minorHAnsi" w:cstheme="minorHAnsi"/>
          <w:sz w:val="22"/>
          <w:szCs w:val="22"/>
        </w:rPr>
        <w:t>The Sub-component 5.1 will also build on the activities undertaken in the context of the LME:LEARN project, notably the series of LME:LEARN Private Sector Roundtables that have taken place in three world regions: Latin America and a Caribbean, Asia and Pacific, and Africa, and the Large Marine Ecosystem (LME) Resource Mobilization Strategy. The guidance thus taken will be expanded by covering the full GEF IW portfolio.</w:t>
      </w:r>
      <w:r>
        <w:rPr>
          <w:rFonts w:asciiTheme="minorHAnsi" w:hAnsiTheme="minorHAnsi" w:cstheme="minorHAnsi"/>
        </w:rPr>
        <w:t xml:space="preserve"> </w:t>
      </w:r>
    </w:p>
    <w:p w14:paraId="5167B2EE" w14:textId="77777777" w:rsidR="00D16282" w:rsidRDefault="00F57A55" w:rsidP="00D16282">
      <w:pPr>
        <w:spacing w:before="280" w:after="280"/>
        <w:jc w:val="both"/>
        <w:rPr>
          <w:rFonts w:asciiTheme="minorHAnsi" w:eastAsia="Calibri" w:hAnsiTheme="minorHAnsi" w:cstheme="minorHAnsi"/>
        </w:rPr>
      </w:pPr>
      <w:sdt>
        <w:sdtPr>
          <w:rPr>
            <w:rFonts w:asciiTheme="minorHAnsi" w:hAnsiTheme="minorHAnsi" w:cstheme="minorHAnsi"/>
          </w:rPr>
          <w:tag w:val="goog_rdk_1080"/>
          <w:id w:val="37791504"/>
        </w:sdtPr>
        <w:sdtEndPr/>
        <w:sdtContent>
          <w:sdt>
            <w:sdtPr>
              <w:rPr>
                <w:rFonts w:asciiTheme="minorHAnsi" w:hAnsiTheme="minorHAnsi" w:cstheme="minorHAnsi"/>
              </w:rPr>
              <w:tag w:val="goog_rdk_1074"/>
              <w:id w:val="-1117831673"/>
            </w:sdtPr>
            <w:sdtEndPr/>
            <w:sdtContent>
              <w:sdt>
                <w:sdtPr>
                  <w:rPr>
                    <w:rFonts w:asciiTheme="minorHAnsi" w:hAnsiTheme="minorHAnsi" w:cstheme="minorHAnsi"/>
                  </w:rPr>
                  <w:tag w:val="goog_rdk_1075"/>
                  <w:id w:val="1047254942"/>
                </w:sdtPr>
                <w:sdtEndPr/>
                <w:sdtContent>
                  <w:r w:rsidR="00D16282">
                    <w:rPr>
                      <w:rFonts w:asciiTheme="minorHAnsi" w:hAnsiTheme="minorHAnsi" w:cstheme="minorHAnsi"/>
                      <w:color w:val="000000"/>
                      <w:sz w:val="22"/>
                      <w:szCs w:val="22"/>
                    </w:rPr>
                    <w:t xml:space="preserve">The Sub‐component 5.1 will contribute towards the overall goal of the Component 5 by establishing a structured engagement mechanism </w:t>
                  </w:r>
                </w:sdtContent>
              </w:sdt>
              <w:r w:rsidR="00D16282">
                <w:rPr>
                  <w:rFonts w:asciiTheme="minorHAnsi" w:hAnsiTheme="minorHAnsi" w:cstheme="minorHAnsi"/>
                  <w:color w:val="000000"/>
                  <w:sz w:val="22"/>
                  <w:szCs w:val="22"/>
                </w:rPr>
                <w:t xml:space="preserve">in the form of the IW Advisory Panel </w:t>
              </w:r>
              <w:sdt>
                <w:sdtPr>
                  <w:rPr>
                    <w:rFonts w:asciiTheme="minorHAnsi" w:hAnsiTheme="minorHAnsi" w:cstheme="minorHAnsi"/>
                  </w:rPr>
                  <w:tag w:val="goog_rdk_1076"/>
                  <w:id w:val="1146548268"/>
                </w:sdtPr>
                <w:sdtEndPr/>
                <w:sdtContent>
                  <w:r w:rsidR="00D16282">
                    <w:rPr>
                      <w:rFonts w:asciiTheme="minorHAnsi" w:hAnsiTheme="minorHAnsi" w:cstheme="minorHAnsi"/>
                      <w:color w:val="000000"/>
                      <w:sz w:val="22"/>
                      <w:szCs w:val="22"/>
                    </w:rPr>
                    <w:t xml:space="preserve">that </w:t>
                  </w:r>
                </w:sdtContent>
              </w:sdt>
              <w:r w:rsidR="00D16282">
                <w:rPr>
                  <w:rFonts w:asciiTheme="minorHAnsi" w:hAnsiTheme="minorHAnsi" w:cstheme="minorHAnsi"/>
                  <w:color w:val="000000"/>
                  <w:sz w:val="22"/>
                  <w:szCs w:val="22"/>
                </w:rPr>
                <w:t>will</w:t>
              </w:r>
              <w:sdt>
                <w:sdtPr>
                  <w:rPr>
                    <w:rFonts w:asciiTheme="minorHAnsi" w:hAnsiTheme="minorHAnsi" w:cstheme="minorHAnsi"/>
                  </w:rPr>
                  <w:tag w:val="goog_rdk_1077"/>
                  <w:id w:val="975487554"/>
                </w:sdtPr>
                <w:sdtEndPr/>
                <w:sdtContent>
                  <w:r w:rsidR="00D16282">
                    <w:rPr>
                      <w:rFonts w:asciiTheme="minorHAnsi" w:hAnsiTheme="minorHAnsi" w:cstheme="minorHAnsi"/>
                      <w:color w:val="000000"/>
                      <w:sz w:val="22"/>
                      <w:szCs w:val="22"/>
                    </w:rPr>
                    <w:t xml:space="preserve"> assist specific GEF IW projects in developing private and public partnerships within their context.  This targeted approach will enable GEF IW:LEARN to work with the identified GEF IW SAP projects and leverage their </w:t>
                  </w:r>
                  <w:r w:rsidR="00D16282">
                    <w:rPr>
                      <w:rFonts w:asciiTheme="minorHAnsi" w:hAnsiTheme="minorHAnsi" w:cstheme="minorHAnsi"/>
                      <w:color w:val="000000"/>
                      <w:sz w:val="22"/>
                      <w:szCs w:val="22"/>
                    </w:rPr>
                    <w:lastRenderedPageBreak/>
                    <w:t>workplans and efforts</w:t>
                  </w:r>
                </w:sdtContent>
              </w:sdt>
            </w:sdtContent>
          </w:sdt>
          <w:r w:rsidR="00D16282">
            <w:rPr>
              <w:rFonts w:asciiTheme="minorHAnsi" w:hAnsiTheme="minorHAnsi" w:cstheme="minorHAnsi"/>
              <w:color w:val="000000"/>
              <w:sz w:val="22"/>
              <w:szCs w:val="22"/>
            </w:rPr>
            <w:t xml:space="preserve">. </w:t>
          </w:r>
          <w:sdt>
            <w:sdtPr>
              <w:rPr>
                <w:rFonts w:asciiTheme="minorHAnsi" w:hAnsiTheme="minorHAnsi" w:cstheme="minorHAnsi"/>
              </w:rPr>
              <w:tag w:val="goog_rdk_1079"/>
              <w:id w:val="1976098531"/>
            </w:sdtPr>
            <w:sdtEndPr/>
            <w:sdtContent/>
          </w:sdt>
        </w:sdtContent>
      </w:sdt>
      <w:sdt>
        <w:sdtPr>
          <w:rPr>
            <w:rFonts w:asciiTheme="minorHAnsi" w:hAnsiTheme="minorHAnsi" w:cstheme="minorHAnsi"/>
          </w:rPr>
          <w:tag w:val="goog_rdk_1084"/>
          <w:id w:val="-264541893"/>
        </w:sdtPr>
        <w:sdtEndPr/>
        <w:sdtContent>
          <w:sdt>
            <w:sdtPr>
              <w:rPr>
                <w:rFonts w:asciiTheme="minorHAnsi" w:hAnsiTheme="minorHAnsi" w:cstheme="minorHAnsi"/>
              </w:rPr>
              <w:tag w:val="goog_rdk_1082"/>
              <w:id w:val="-1964100223"/>
            </w:sdtPr>
            <w:sdtEndPr/>
            <w:sdtContent>
              <w:r w:rsidR="00D16282">
                <w:rPr>
                  <w:rFonts w:asciiTheme="minorHAnsi" w:hAnsiTheme="minorHAnsi" w:cstheme="minorHAnsi"/>
                  <w:color w:val="000000"/>
                  <w:sz w:val="22"/>
                  <w:szCs w:val="22"/>
                </w:rPr>
                <w:t xml:space="preserve">The purpose of the GEF IW Advisory Panel is to </w:t>
              </w:r>
              <w:sdt>
                <w:sdtPr>
                  <w:rPr>
                    <w:rFonts w:asciiTheme="minorHAnsi" w:hAnsiTheme="minorHAnsi" w:cstheme="minorHAnsi"/>
                  </w:rPr>
                  <w:tag w:val="goog_rdk_1083"/>
                  <w:id w:val="1860244894"/>
                </w:sdtPr>
                <w:sdtEndPr/>
                <w:sdtContent>
                  <w:r w:rsidR="00D16282">
                    <w:rPr>
                      <w:rFonts w:asciiTheme="minorHAnsi" w:hAnsiTheme="minorHAnsi" w:cstheme="minorHAnsi"/>
                      <w:color w:val="000000"/>
                      <w:sz w:val="22"/>
                      <w:szCs w:val="22"/>
                    </w:rPr>
                    <w:t xml:space="preserve">Identify collaborative opportunities between businesses and GEF IW projects implementing or preparing a Strategic Action </w:t>
                  </w:r>
                  <w:proofErr w:type="spellStart"/>
                  <w:r w:rsidR="00D16282">
                    <w:rPr>
                      <w:rFonts w:asciiTheme="minorHAnsi" w:hAnsiTheme="minorHAnsi" w:cstheme="minorHAnsi"/>
                      <w:color w:val="000000"/>
                      <w:sz w:val="22"/>
                      <w:szCs w:val="22"/>
                    </w:rPr>
                    <w:t>Programme</w:t>
                  </w:r>
                  <w:proofErr w:type="spellEnd"/>
                </w:sdtContent>
              </w:sdt>
              <w:r w:rsidR="00D16282">
                <w:rPr>
                  <w:rFonts w:asciiTheme="minorHAnsi" w:hAnsiTheme="minorHAnsi" w:cstheme="minorHAnsi"/>
                  <w:color w:val="000000"/>
                  <w:sz w:val="22"/>
                  <w:szCs w:val="22"/>
                </w:rPr>
                <w:t>.</w:t>
              </w:r>
            </w:sdtContent>
          </w:sdt>
        </w:sdtContent>
      </w:sdt>
    </w:p>
    <w:p w14:paraId="12484096" w14:textId="77777777" w:rsidR="00D16282" w:rsidRDefault="00D16282" w:rsidP="00D16282">
      <w:pPr>
        <w:spacing w:before="280" w:after="28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sub‐component will seek to leverage partner experience and expertise with </w:t>
      </w:r>
      <w:proofErr w:type="spellStart"/>
      <w:r>
        <w:rPr>
          <w:rFonts w:asciiTheme="minorHAnsi" w:hAnsiTheme="minorHAnsi" w:cstheme="minorHAnsi"/>
          <w:color w:val="000000"/>
          <w:sz w:val="22"/>
          <w:szCs w:val="22"/>
        </w:rPr>
        <w:t>organisations</w:t>
      </w:r>
      <w:proofErr w:type="spellEnd"/>
      <w:r>
        <w:rPr>
          <w:rFonts w:asciiTheme="minorHAnsi" w:hAnsiTheme="minorHAnsi" w:cstheme="minorHAnsi"/>
          <w:color w:val="000000"/>
          <w:sz w:val="22"/>
          <w:szCs w:val="22"/>
        </w:rPr>
        <w:t xml:space="preserve"> and intermediaries such as the UN Global Compact CEO Water Mandate initiative and the Sustainable Ocean Business Action Platform, the World Wildlife Fund, </w:t>
      </w:r>
      <w:r>
        <w:rPr>
          <w:rFonts w:asciiTheme="minorHAnsi" w:hAnsiTheme="minorHAnsi" w:cstheme="minorHAnsi"/>
          <w:sz w:val="22"/>
          <w:szCs w:val="22"/>
        </w:rPr>
        <w:t xml:space="preserve">the Inter-American Development Bank (IDB) </w:t>
      </w:r>
      <w:r>
        <w:rPr>
          <w:rFonts w:asciiTheme="minorHAnsi" w:hAnsiTheme="minorHAnsi" w:cstheme="minorHAnsi"/>
          <w:color w:val="000000"/>
          <w:sz w:val="22"/>
          <w:szCs w:val="22"/>
        </w:rPr>
        <w:t xml:space="preserve">and others.   </w:t>
      </w:r>
    </w:p>
    <w:p w14:paraId="78E27216" w14:textId="77777777" w:rsidR="00D16282" w:rsidRDefault="00F57A55" w:rsidP="00D16282">
      <w:pPr>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tag w:val="goog_rdk_1089"/>
          <w:id w:val="1094508718"/>
        </w:sdtPr>
        <w:sdtEndPr/>
        <w:sdtContent>
          <w:r w:rsidR="00D16282">
            <w:rPr>
              <w:rFonts w:asciiTheme="minorHAnsi" w:hAnsiTheme="minorHAnsi" w:cstheme="minorHAnsi"/>
              <w:color w:val="000000" w:themeColor="text1"/>
              <w:sz w:val="22"/>
              <w:szCs w:val="22"/>
            </w:rPr>
            <w:t xml:space="preserve">The UN Global Compact's CEO Water Mandate is a global network of businesses committed to water stewardship. Countries of </w:t>
          </w:r>
        </w:sdtContent>
      </w:sdt>
      <w:sdt>
        <w:sdtPr>
          <w:rPr>
            <w:rFonts w:asciiTheme="minorHAnsi" w:hAnsiTheme="minorHAnsi" w:cstheme="minorHAnsi"/>
            <w:color w:val="000000" w:themeColor="text1"/>
            <w:sz w:val="22"/>
            <w:szCs w:val="22"/>
          </w:rPr>
          <w:tag w:val="goog_rdk_1091"/>
          <w:id w:val="-849401778"/>
        </w:sdtPr>
        <w:sdtEndPr/>
        <w:sdtContent>
          <w:r w:rsidR="00D16282">
            <w:rPr>
              <w:rFonts w:asciiTheme="minorHAnsi" w:hAnsiTheme="minorHAnsi" w:cstheme="minorHAnsi"/>
              <w:color w:val="000000" w:themeColor="text1"/>
              <w:sz w:val="22"/>
              <w:szCs w:val="22"/>
            </w:rPr>
            <w:t>current</w:t>
          </w:r>
        </w:sdtContent>
      </w:sdt>
      <w:sdt>
        <w:sdtPr>
          <w:rPr>
            <w:rFonts w:asciiTheme="minorHAnsi" w:hAnsiTheme="minorHAnsi" w:cstheme="minorHAnsi"/>
            <w:color w:val="000000" w:themeColor="text1"/>
            <w:sz w:val="22"/>
            <w:szCs w:val="22"/>
          </w:rPr>
          <w:tag w:val="goog_rdk_1092"/>
          <w:id w:val="-1744862251"/>
        </w:sdtPr>
        <w:sdtEndPr/>
        <w:sdtContent>
          <w:r w:rsidR="00D16282">
            <w:rPr>
              <w:rFonts w:asciiTheme="minorHAnsi" w:hAnsiTheme="minorHAnsi" w:cstheme="minorHAnsi"/>
              <w:color w:val="000000" w:themeColor="text1"/>
              <w:sz w:val="22"/>
              <w:szCs w:val="22"/>
            </w:rPr>
            <w:t xml:space="preserve"> interest to the Mandate include India, South Africa, Brazil, and Mexico.  GEF IW projects which would be of interest to the Mandate could include Orange-</w:t>
          </w:r>
          <w:proofErr w:type="spellStart"/>
          <w:r w:rsidR="00D16282">
            <w:rPr>
              <w:rFonts w:asciiTheme="minorHAnsi" w:hAnsiTheme="minorHAnsi" w:cstheme="minorHAnsi"/>
              <w:color w:val="000000" w:themeColor="text1"/>
              <w:sz w:val="22"/>
              <w:szCs w:val="22"/>
            </w:rPr>
            <w:t>Senqu</w:t>
          </w:r>
          <w:proofErr w:type="spellEnd"/>
          <w:r w:rsidR="00D16282">
            <w:rPr>
              <w:rFonts w:asciiTheme="minorHAnsi" w:hAnsiTheme="minorHAnsi" w:cstheme="minorHAnsi"/>
              <w:color w:val="000000" w:themeColor="text1"/>
              <w:sz w:val="22"/>
              <w:szCs w:val="22"/>
            </w:rPr>
            <w:t xml:space="preserve">, Limpopo River Basin, Amazon River Basin, and La Plata Basin. It would be of strategic value for both GEF IW:LEARN and the Mandate to find common interest and the potential areas of work to match projects in the GEF IW portfolio and river basin </w:t>
          </w:r>
          <w:proofErr w:type="spellStart"/>
          <w:r w:rsidR="00D16282">
            <w:rPr>
              <w:rFonts w:asciiTheme="minorHAnsi" w:hAnsiTheme="minorHAnsi" w:cstheme="minorHAnsi"/>
              <w:color w:val="000000" w:themeColor="text1"/>
              <w:sz w:val="22"/>
              <w:szCs w:val="22"/>
            </w:rPr>
            <w:t>organisations</w:t>
          </w:r>
          <w:proofErr w:type="spellEnd"/>
          <w:r w:rsidR="00D16282">
            <w:rPr>
              <w:rFonts w:asciiTheme="minorHAnsi" w:hAnsiTheme="minorHAnsi" w:cstheme="minorHAnsi"/>
              <w:color w:val="000000" w:themeColor="text1"/>
              <w:sz w:val="22"/>
              <w:szCs w:val="22"/>
            </w:rPr>
            <w:t xml:space="preserve"> with these committed businesses. In addition, GEF IW:LEARN will coordinate with the Mandate to showcase GEF IW SAP implementation projects on the Water Action Hub. </w:t>
          </w:r>
        </w:sdtContent>
      </w:sdt>
      <w:r w:rsidR="00D16282">
        <w:rPr>
          <w:rFonts w:asciiTheme="minorHAnsi" w:hAnsiTheme="minorHAnsi" w:cstheme="minorHAnsi"/>
          <w:color w:val="000000" w:themeColor="text1"/>
          <w:sz w:val="22"/>
          <w:szCs w:val="22"/>
          <w:shd w:val="clear" w:color="auto" w:fill="FFFFFF"/>
        </w:rPr>
        <w:t xml:space="preserve"> The </w:t>
      </w:r>
      <w:r w:rsidR="00D16282">
        <w:rPr>
          <w:rFonts w:asciiTheme="minorHAnsi" w:hAnsiTheme="minorHAnsi" w:cstheme="minorHAnsi"/>
          <w:color w:val="000000" w:themeColor="text1"/>
          <w:sz w:val="22"/>
          <w:szCs w:val="22"/>
          <w:shd w:val="clear" w:color="auto" w:fill="FFFFFF"/>
          <w:lang w:val="hr-HR"/>
        </w:rPr>
        <w:t xml:space="preserve">UN Global Compact's </w:t>
      </w:r>
      <w:r w:rsidR="00D16282">
        <w:rPr>
          <w:rFonts w:asciiTheme="minorHAnsi" w:hAnsiTheme="minorHAnsi" w:cstheme="minorHAnsi"/>
          <w:color w:val="000000" w:themeColor="text1"/>
          <w:sz w:val="22"/>
          <w:szCs w:val="22"/>
          <w:shd w:val="clear" w:color="auto" w:fill="FFFFFF"/>
        </w:rPr>
        <w:t>Sustainable Ocean Business Action Platform convenes leading actors from business, academia and Government institutions to determine how ocean industries can advance progress towards the Sustainable Development Goals (SDGs). </w:t>
      </w:r>
    </w:p>
    <w:p w14:paraId="223FADA8" w14:textId="77777777" w:rsidR="00D16282" w:rsidRDefault="00D16282" w:rsidP="00D16282">
      <w:pPr>
        <w:jc w:val="both"/>
        <w:rPr>
          <w:rFonts w:asciiTheme="minorHAnsi" w:hAnsiTheme="minorHAnsi" w:cstheme="minorHAnsi"/>
          <w:color w:val="000000" w:themeColor="text1"/>
          <w:sz w:val="22"/>
          <w:szCs w:val="22"/>
        </w:rPr>
      </w:pPr>
    </w:p>
    <w:sdt>
      <w:sdtPr>
        <w:rPr>
          <w:rFonts w:asciiTheme="minorHAnsi" w:hAnsiTheme="minorHAnsi" w:cstheme="minorHAnsi"/>
        </w:rPr>
        <w:tag w:val="goog_rdk_1095"/>
        <w:id w:val="109329075"/>
      </w:sdtPr>
      <w:sdtEndPr/>
      <w:sdtContent>
        <w:p w14:paraId="7FF5BCA7" w14:textId="77777777" w:rsidR="00D16282" w:rsidRDefault="00F57A55" w:rsidP="00D16282">
          <w:pPr>
            <w:jc w:val="both"/>
            <w:rPr>
              <w:rFonts w:asciiTheme="minorHAnsi" w:hAnsiTheme="minorHAnsi" w:cstheme="minorHAnsi"/>
              <w:color w:val="000000"/>
              <w:sz w:val="22"/>
              <w:szCs w:val="22"/>
            </w:rPr>
          </w:pPr>
          <w:sdt>
            <w:sdtPr>
              <w:rPr>
                <w:rFonts w:asciiTheme="minorHAnsi" w:hAnsiTheme="minorHAnsi" w:cstheme="minorHAnsi"/>
              </w:rPr>
              <w:tag w:val="goog_rdk_1094"/>
              <w:id w:val="1558670693"/>
            </w:sdtPr>
            <w:sdtEndPr/>
            <w:sdtContent>
              <w:r w:rsidR="00D16282">
                <w:rPr>
                  <w:rFonts w:asciiTheme="minorHAnsi" w:hAnsiTheme="minorHAnsi" w:cstheme="minorHAnsi"/>
                  <w:color w:val="000000"/>
                  <w:sz w:val="22"/>
                  <w:szCs w:val="22"/>
                </w:rPr>
                <w:t xml:space="preserve">The World Wildlife Fund (WWF) has existing basin level conservation planning and private sector networks in Central America (with emphasis on </w:t>
              </w:r>
              <w:proofErr w:type="spellStart"/>
              <w:r w:rsidR="00D16282">
                <w:rPr>
                  <w:rFonts w:asciiTheme="minorHAnsi" w:hAnsiTheme="minorHAnsi" w:cstheme="minorHAnsi"/>
                  <w:color w:val="000000"/>
                  <w:sz w:val="22"/>
                  <w:szCs w:val="22"/>
                </w:rPr>
                <w:t>Meso</w:t>
              </w:r>
              <w:proofErr w:type="spellEnd"/>
              <w:r w:rsidR="00D16282">
                <w:rPr>
                  <w:rFonts w:asciiTheme="minorHAnsi" w:hAnsiTheme="minorHAnsi" w:cstheme="minorHAnsi"/>
                  <w:color w:val="000000"/>
                  <w:sz w:val="22"/>
                  <w:szCs w:val="22"/>
                </w:rPr>
                <w:t xml:space="preserve"> American Reef countries), Pantanal region of South America (including the La Plata, Parana, and Paraguay river basins), the KAZA region of Africa (including the Okavango river and broader Zambezi), and China (with emphasis on Yangtze river basin). GEF IW projects that could benefit from WWF’s private sector networks include the </w:t>
              </w:r>
              <w:proofErr w:type="spellStart"/>
              <w:r w:rsidR="00D16282">
                <w:rPr>
                  <w:rFonts w:asciiTheme="minorHAnsi" w:hAnsiTheme="minorHAnsi" w:cstheme="minorHAnsi"/>
                  <w:color w:val="000000"/>
                  <w:sz w:val="22"/>
                  <w:szCs w:val="22"/>
                </w:rPr>
                <w:t>Lempa</w:t>
              </w:r>
              <w:proofErr w:type="spellEnd"/>
              <w:r w:rsidR="00D16282">
                <w:rPr>
                  <w:rFonts w:asciiTheme="minorHAnsi" w:hAnsiTheme="minorHAnsi" w:cstheme="minorHAnsi"/>
                  <w:color w:val="000000"/>
                  <w:sz w:val="22"/>
                  <w:szCs w:val="22"/>
                </w:rPr>
                <w:t xml:space="preserve"> River Basin, the La Plata, </w:t>
              </w:r>
              <w:proofErr w:type="spellStart"/>
              <w:r w:rsidR="00D16282">
                <w:rPr>
                  <w:rFonts w:asciiTheme="minorHAnsi" w:hAnsiTheme="minorHAnsi" w:cstheme="minorHAnsi"/>
                  <w:color w:val="000000"/>
                  <w:sz w:val="22"/>
                  <w:szCs w:val="22"/>
                </w:rPr>
                <w:t>Cubango</w:t>
              </w:r>
              <w:proofErr w:type="spellEnd"/>
              <w:r w:rsidR="00D16282">
                <w:rPr>
                  <w:rFonts w:asciiTheme="minorHAnsi" w:hAnsiTheme="minorHAnsi" w:cstheme="minorHAnsi"/>
                  <w:color w:val="000000"/>
                  <w:sz w:val="22"/>
                  <w:szCs w:val="22"/>
                </w:rPr>
                <w:t>-Okavango, and Orange-</w:t>
              </w:r>
              <w:proofErr w:type="spellStart"/>
              <w:r w:rsidR="00D16282">
                <w:rPr>
                  <w:rFonts w:asciiTheme="minorHAnsi" w:hAnsiTheme="minorHAnsi" w:cstheme="minorHAnsi"/>
                  <w:color w:val="000000"/>
                  <w:sz w:val="22"/>
                  <w:szCs w:val="22"/>
                </w:rPr>
                <w:t>Senqu</w:t>
              </w:r>
              <w:proofErr w:type="spellEnd"/>
              <w:r w:rsidR="00D16282">
                <w:rPr>
                  <w:rFonts w:asciiTheme="minorHAnsi" w:hAnsiTheme="minorHAnsi" w:cstheme="minorHAnsi"/>
                  <w:color w:val="000000"/>
                  <w:sz w:val="22"/>
                  <w:szCs w:val="22"/>
                </w:rPr>
                <w:t xml:space="preserve">. </w:t>
              </w:r>
            </w:sdtContent>
          </w:sdt>
        </w:p>
      </w:sdtContent>
    </w:sdt>
    <w:sdt>
      <w:sdtPr>
        <w:rPr>
          <w:rFonts w:asciiTheme="minorHAnsi" w:hAnsiTheme="minorHAnsi" w:cstheme="minorHAnsi"/>
        </w:rPr>
        <w:tag w:val="goog_rdk_1097"/>
        <w:id w:val="-2045588459"/>
      </w:sdtPr>
      <w:sdtEndPr/>
      <w:sdtContent>
        <w:p w14:paraId="11533C78" w14:textId="77777777" w:rsidR="00D16282" w:rsidRDefault="00F57A55" w:rsidP="00D16282">
          <w:pPr>
            <w:spacing w:before="280" w:after="280"/>
            <w:jc w:val="both"/>
            <w:rPr>
              <w:rFonts w:asciiTheme="minorHAnsi" w:hAnsiTheme="minorHAnsi" w:cstheme="minorHAnsi"/>
              <w:color w:val="000000"/>
              <w:sz w:val="22"/>
              <w:szCs w:val="22"/>
            </w:rPr>
          </w:pPr>
          <w:sdt>
            <w:sdtPr>
              <w:rPr>
                <w:rFonts w:asciiTheme="minorHAnsi" w:hAnsiTheme="minorHAnsi" w:cstheme="minorHAnsi"/>
              </w:rPr>
              <w:tag w:val="goog_rdk_1096"/>
              <w:id w:val="880983720"/>
            </w:sdtPr>
            <w:sdtEndPr/>
            <w:sdtContent>
              <w:r w:rsidR="00D16282">
                <w:rPr>
                  <w:rFonts w:asciiTheme="minorHAnsi" w:hAnsiTheme="minorHAnsi" w:cstheme="minorHAnsi"/>
                  <w:sz w:val="22"/>
                  <w:szCs w:val="22"/>
                </w:rPr>
                <w:t>The Inter-American Development Bank (IDB) helps member countries address environmental challenges and the demands for growth by financing activities to improve the management of protected areas, generate income opportunities for communities that depend on ecosystem services, manage coastal and marine resources, and support climate change and disaster risk management initiatives in critical watersheds. The IDB will bring in their experience and networks from Latin America and the Caribbean to the Advisory Panel.</w:t>
              </w:r>
            </w:sdtContent>
          </w:sdt>
        </w:p>
      </w:sdtContent>
    </w:sdt>
    <w:bookmarkStart w:id="26" w:name="_heading=h.26in1rg"/>
    <w:bookmarkEnd w:id="26"/>
    <w:p w14:paraId="41438D5A" w14:textId="77777777" w:rsidR="00D16282" w:rsidRDefault="00F57A55" w:rsidP="00D16282">
      <w:pPr>
        <w:spacing w:before="280" w:after="280"/>
        <w:jc w:val="both"/>
        <w:rPr>
          <w:rFonts w:asciiTheme="minorHAnsi" w:hAnsiTheme="minorHAnsi" w:cstheme="minorHAnsi"/>
        </w:rPr>
      </w:pPr>
      <w:sdt>
        <w:sdtPr>
          <w:rPr>
            <w:rFonts w:asciiTheme="minorHAnsi" w:hAnsiTheme="minorHAnsi" w:cstheme="minorHAnsi"/>
          </w:rPr>
          <w:tag w:val="goog_rdk_1107"/>
          <w:id w:val="991064710"/>
        </w:sdtPr>
        <w:sdtEndPr/>
        <w:sdtContent>
          <w:r w:rsidR="00D16282">
            <w:rPr>
              <w:rFonts w:asciiTheme="minorHAnsi" w:hAnsiTheme="minorHAnsi" w:cstheme="minorHAnsi"/>
              <w:color w:val="000000"/>
              <w:sz w:val="22"/>
              <w:szCs w:val="22"/>
            </w:rPr>
            <w:t xml:space="preserve">The role of the PCU will be to coordinate all activities related to the establishment and operation of the Advisory Panel. </w:t>
          </w:r>
        </w:sdtContent>
      </w:sdt>
    </w:p>
    <w:p w14:paraId="579293A7" w14:textId="77777777" w:rsidR="00D16282" w:rsidRDefault="00F57A55" w:rsidP="00D16282">
      <w:pPr>
        <w:jc w:val="both"/>
        <w:rPr>
          <w:rFonts w:asciiTheme="minorHAnsi" w:hAnsiTheme="minorHAnsi" w:cstheme="minorHAnsi"/>
          <w:color w:val="000000"/>
          <w:sz w:val="22"/>
          <w:szCs w:val="22"/>
        </w:rPr>
      </w:pPr>
      <w:sdt>
        <w:sdtPr>
          <w:rPr>
            <w:rFonts w:asciiTheme="minorHAnsi" w:hAnsiTheme="minorHAnsi" w:cstheme="minorHAnsi"/>
          </w:rPr>
          <w:tag w:val="goog_rdk_1110"/>
          <w:id w:val="701206803"/>
        </w:sdtPr>
        <w:sdtEndPr/>
        <w:sdtContent>
          <w:sdt>
            <w:sdtPr>
              <w:rPr>
                <w:rFonts w:asciiTheme="minorHAnsi" w:hAnsiTheme="minorHAnsi" w:cstheme="minorHAnsi"/>
              </w:rPr>
              <w:tag w:val="goog_rdk_1109"/>
              <w:id w:val="-336382269"/>
            </w:sdtPr>
            <w:sdtEndPr/>
            <w:sdtContent/>
          </w:sdt>
        </w:sdtContent>
      </w:sdt>
      <w:r w:rsidR="00D16282">
        <w:rPr>
          <w:rFonts w:asciiTheme="minorHAnsi" w:hAnsiTheme="minorHAnsi" w:cstheme="minorHAnsi"/>
          <w:color w:val="000000"/>
          <w:sz w:val="22"/>
          <w:szCs w:val="22"/>
        </w:rPr>
        <w:t>Sub‐component 5.1 is comprised of the following </w:t>
      </w:r>
      <w:sdt>
        <w:sdtPr>
          <w:rPr>
            <w:rFonts w:asciiTheme="minorHAnsi" w:hAnsiTheme="minorHAnsi" w:cstheme="minorHAnsi"/>
          </w:rPr>
          <w:tag w:val="goog_rdk_1111"/>
          <w:id w:val="-455951540"/>
        </w:sdtPr>
        <w:sdtEndPr/>
        <w:sdtContent>
          <w:r w:rsidR="00D16282">
            <w:rPr>
              <w:rFonts w:asciiTheme="minorHAnsi" w:hAnsiTheme="minorHAnsi" w:cstheme="minorHAnsi"/>
              <w:color w:val="000000"/>
              <w:sz w:val="22"/>
              <w:szCs w:val="22"/>
            </w:rPr>
            <w:t xml:space="preserve">two </w:t>
          </w:r>
        </w:sdtContent>
      </w:sdt>
      <w:r w:rsidR="00D16282">
        <w:rPr>
          <w:rFonts w:asciiTheme="minorHAnsi" w:hAnsiTheme="minorHAnsi" w:cstheme="minorHAnsi"/>
          <w:color w:val="000000"/>
          <w:sz w:val="22"/>
          <w:szCs w:val="22"/>
        </w:rPr>
        <w:t>activities: </w:t>
      </w:r>
    </w:p>
    <w:p w14:paraId="2D376554" w14:textId="77777777" w:rsidR="00D16282" w:rsidRDefault="00D16282" w:rsidP="00D16282">
      <w:pPr>
        <w:jc w:val="both"/>
        <w:rPr>
          <w:rFonts w:asciiTheme="minorHAnsi" w:hAnsiTheme="minorHAnsi" w:cstheme="minorHAnsi"/>
          <w:color w:val="000000"/>
          <w:sz w:val="22"/>
          <w:szCs w:val="22"/>
        </w:rPr>
      </w:pPr>
    </w:p>
    <w:p w14:paraId="4137246D" w14:textId="77777777" w:rsidR="00D16282" w:rsidRDefault="00D16282" w:rsidP="00D16282">
      <w:pPr>
        <w:numPr>
          <w:ilvl w:val="0"/>
          <w:numId w:val="67"/>
        </w:numPr>
        <w:ind w:left="714" w:hanging="357"/>
        <w:jc w:val="both"/>
        <w:rPr>
          <w:rFonts w:asciiTheme="minorHAnsi" w:hAnsiTheme="minorHAnsi" w:cstheme="minorHAnsi"/>
          <w:color w:val="000000"/>
          <w:sz w:val="22"/>
          <w:szCs w:val="22"/>
        </w:rPr>
      </w:pPr>
      <w:bookmarkStart w:id="27" w:name="_heading=h.lnxbz9"/>
      <w:bookmarkEnd w:id="27"/>
      <w:r>
        <w:rPr>
          <w:rFonts w:asciiTheme="minorHAnsi" w:hAnsiTheme="minorHAnsi" w:cstheme="minorHAnsi"/>
          <w:color w:val="000000"/>
          <w:sz w:val="22"/>
          <w:szCs w:val="22"/>
        </w:rPr>
        <w:t>Activity 5.1.1: Establishment of the Global IW Partnerships Advisory Panel to support increased mobilization of public and private financial partnerships</w:t>
      </w:r>
      <w:sdt>
        <w:sdtPr>
          <w:rPr>
            <w:rFonts w:asciiTheme="minorHAnsi" w:hAnsiTheme="minorHAnsi" w:cstheme="minorHAnsi"/>
          </w:rPr>
          <w:tag w:val="goog_rdk_1112"/>
          <w:id w:val="-1524859962"/>
        </w:sdtPr>
        <w:sdtEndPr/>
        <w:sdtContent>
          <w:r>
            <w:rPr>
              <w:rFonts w:asciiTheme="minorHAnsi" w:hAnsiTheme="minorHAnsi" w:cstheme="minorHAnsi"/>
              <w:color w:val="000000"/>
              <w:sz w:val="22"/>
              <w:szCs w:val="22"/>
            </w:rPr>
            <w:t>; and</w:t>
          </w:r>
        </w:sdtContent>
      </w:sdt>
    </w:p>
    <w:p w14:paraId="7B7D4C6D" w14:textId="77777777" w:rsidR="00D16282" w:rsidRDefault="00D16282" w:rsidP="00D16282">
      <w:pPr>
        <w:numPr>
          <w:ilvl w:val="0"/>
          <w:numId w:val="67"/>
        </w:numPr>
        <w:ind w:left="714" w:hanging="357"/>
        <w:jc w:val="both"/>
        <w:rPr>
          <w:rFonts w:asciiTheme="minorHAnsi" w:hAnsiTheme="minorHAnsi" w:cstheme="minorHAnsi"/>
          <w:color w:val="000000"/>
          <w:sz w:val="22"/>
          <w:szCs w:val="22"/>
        </w:rPr>
      </w:pPr>
      <w:bookmarkStart w:id="28" w:name="_heading=h.35nkun2"/>
      <w:bookmarkEnd w:id="28"/>
      <w:r>
        <w:rPr>
          <w:rFonts w:asciiTheme="minorHAnsi" w:hAnsiTheme="minorHAnsi" w:cstheme="minorHAnsi"/>
          <w:color w:val="000000"/>
          <w:sz w:val="22"/>
          <w:szCs w:val="22"/>
        </w:rPr>
        <w:t>Activity 5.1.2: Creation of the Strategy and an Action Plan for International Waters on how to engage and partner with the private and public sector through advice of the Global IW Partnerships Advisory Panel</w:t>
      </w:r>
      <w:sdt>
        <w:sdtPr>
          <w:rPr>
            <w:rFonts w:asciiTheme="minorHAnsi" w:hAnsiTheme="minorHAnsi" w:cstheme="minorHAnsi"/>
          </w:rPr>
          <w:tag w:val="goog_rdk_1113"/>
          <w:id w:val="-1419250092"/>
        </w:sdtPr>
        <w:sdtEndPr/>
        <w:sdtContent>
          <w:r>
            <w:rPr>
              <w:rFonts w:asciiTheme="minorHAnsi" w:hAnsiTheme="minorHAnsi" w:cstheme="minorHAnsi"/>
              <w:color w:val="000000"/>
              <w:sz w:val="22"/>
              <w:szCs w:val="22"/>
            </w:rPr>
            <w:t>.</w:t>
          </w:r>
        </w:sdtContent>
      </w:sdt>
    </w:p>
    <w:p w14:paraId="10E9E1D8" w14:textId="77777777" w:rsidR="00D16282" w:rsidRDefault="00D16282" w:rsidP="00D16282">
      <w:pPr>
        <w:pStyle w:val="SESPbodynumbered"/>
        <w:numPr>
          <w:ilvl w:val="0"/>
          <w:numId w:val="0"/>
        </w:numPr>
        <w:spacing w:before="0" w:after="0" w:line="240" w:lineRule="auto"/>
        <w:contextualSpacing/>
        <w:jc w:val="both"/>
        <w:rPr>
          <w:rFonts w:asciiTheme="minorHAnsi" w:hAnsiTheme="minorHAnsi"/>
          <w:sz w:val="22"/>
          <w:szCs w:val="22"/>
        </w:rPr>
      </w:pPr>
    </w:p>
    <w:p w14:paraId="6D32EE9F" w14:textId="396D1DA5" w:rsidR="00D16282" w:rsidRDefault="00D16282" w:rsidP="0071779B">
      <w:pPr>
        <w:jc w:val="both"/>
        <w:rPr>
          <w:rFonts w:asciiTheme="minorHAnsi" w:hAnsiTheme="minorHAnsi"/>
          <w:sz w:val="22"/>
          <w:szCs w:val="22"/>
        </w:rPr>
      </w:pPr>
      <w:r>
        <w:rPr>
          <w:rFonts w:asciiTheme="minorHAnsi" w:hAnsiTheme="minorHAnsi"/>
          <w:sz w:val="22"/>
          <w:szCs w:val="22"/>
        </w:rPr>
        <w:t>Due to the COVID-19 pandemics, constraints on travel and group gatherings will affect the implementation of the activities in this sub-component during the first year of the project’s implementation. Other options are being considered such as on-line or remote communication options. They will be used where necessary, adjusting some of the equipment related costs to ensure equal opportunity to all beneficiaries.</w:t>
      </w:r>
    </w:p>
    <w:p w14:paraId="2A1722A0" w14:textId="77777777" w:rsidR="00D16282" w:rsidRPr="00D16282" w:rsidRDefault="00D16282" w:rsidP="00D16282"/>
    <w:p w14:paraId="404EB591" w14:textId="6ED9F4D9" w:rsidR="00D16282" w:rsidRDefault="00D16282" w:rsidP="00D16282">
      <w:pPr>
        <w:pStyle w:val="Heading5"/>
        <w:rPr>
          <w:rFonts w:asciiTheme="minorHAnsi" w:hAnsiTheme="minorHAnsi" w:cstheme="minorHAnsi"/>
          <w:b/>
          <w:bCs/>
          <w:color w:val="000000" w:themeColor="text1"/>
          <w:sz w:val="22"/>
          <w:szCs w:val="22"/>
        </w:rPr>
      </w:pPr>
      <w:r w:rsidRPr="00D16282">
        <w:rPr>
          <w:rFonts w:asciiTheme="minorHAnsi" w:hAnsiTheme="minorHAnsi" w:cstheme="minorHAnsi"/>
          <w:b/>
          <w:bCs/>
          <w:color w:val="000000" w:themeColor="text1"/>
          <w:sz w:val="22"/>
          <w:szCs w:val="22"/>
        </w:rPr>
        <w:t>Activity 5.1.1: Establishment the Global IW Partnerships Advisory Panel to support increased mobilization of public and private financial partnerships</w:t>
      </w:r>
    </w:p>
    <w:sdt>
      <w:sdtPr>
        <w:rPr>
          <w:rFonts w:asciiTheme="minorHAnsi" w:hAnsiTheme="minorHAnsi" w:cstheme="minorHAnsi"/>
        </w:rPr>
        <w:tag w:val="goog_rdk_1116"/>
        <w:id w:val="-825510846"/>
      </w:sdtPr>
      <w:sdtEndPr/>
      <w:sdtContent>
        <w:p w14:paraId="6E4DA772" w14:textId="77777777" w:rsidR="00D16282" w:rsidRDefault="00F57A55" w:rsidP="00D16282">
          <w:pPr>
            <w:spacing w:before="240" w:after="240"/>
            <w:jc w:val="both"/>
            <w:rPr>
              <w:rFonts w:asciiTheme="minorHAnsi" w:hAnsiTheme="minorHAnsi" w:cstheme="minorHAnsi"/>
              <w:color w:val="000000"/>
              <w:sz w:val="22"/>
              <w:szCs w:val="22"/>
            </w:rPr>
          </w:pPr>
          <w:sdt>
            <w:sdtPr>
              <w:rPr>
                <w:rFonts w:asciiTheme="minorHAnsi" w:hAnsiTheme="minorHAnsi" w:cstheme="minorHAnsi"/>
              </w:rPr>
              <w:tag w:val="goog_rdk_1115"/>
              <w:id w:val="1545408764"/>
            </w:sdtPr>
            <w:sdtEndPr/>
            <w:sdtContent>
              <w:r w:rsidR="00D16282">
                <w:rPr>
                  <w:rFonts w:asciiTheme="minorHAnsi" w:hAnsiTheme="minorHAnsi" w:cstheme="minorHAnsi"/>
                  <w:color w:val="000000"/>
                  <w:sz w:val="22"/>
                  <w:szCs w:val="22"/>
                </w:rPr>
                <w:t xml:space="preserve">This activity will focus on the creation of the Advisory Panel, which will serve to provide advice and identify opportunities for partnership building between the business community and GEF IW SAP implementation projects. </w:t>
              </w:r>
              <w:r w:rsidR="00D16282">
                <w:rPr>
                  <w:rFonts w:asciiTheme="minorHAnsi" w:hAnsiTheme="minorHAnsi" w:cstheme="minorHAnsi"/>
                  <w:sz w:val="22"/>
                  <w:szCs w:val="22"/>
                </w:rPr>
                <w:t xml:space="preserve">Based on mapping of the selected GEF IW SAP projects and their engagement with the private sector, GEF IW:LEARN will utilize the insight to address the gaps, challenges and opportunities through the Advisory Panel.  </w:t>
              </w:r>
            </w:sdtContent>
          </w:sdt>
        </w:p>
      </w:sdtContent>
    </w:sdt>
    <w:bookmarkStart w:id="29" w:name="_heading=h.2u6wntf" w:displacedByCustomXml="next"/>
    <w:bookmarkEnd w:id="29" w:displacedByCustomXml="next"/>
    <w:sdt>
      <w:sdtPr>
        <w:rPr>
          <w:rFonts w:asciiTheme="minorHAnsi" w:hAnsiTheme="minorHAnsi" w:cstheme="minorHAnsi"/>
        </w:rPr>
        <w:tag w:val="goog_rdk_1118"/>
        <w:id w:val="-170031180"/>
      </w:sdtPr>
      <w:sdtEndPr/>
      <w:sdtContent>
        <w:p w14:paraId="341DC257" w14:textId="77777777" w:rsidR="00D16282" w:rsidRDefault="00F57A55" w:rsidP="00D16282">
          <w:pPr>
            <w:jc w:val="both"/>
            <w:rPr>
              <w:rFonts w:asciiTheme="minorHAnsi" w:hAnsiTheme="minorHAnsi" w:cstheme="minorHAnsi"/>
              <w:szCs w:val="20"/>
            </w:rPr>
          </w:pPr>
          <w:sdt>
            <w:sdtPr>
              <w:rPr>
                <w:rFonts w:asciiTheme="minorHAnsi" w:hAnsiTheme="minorHAnsi" w:cstheme="minorHAnsi"/>
              </w:rPr>
              <w:tag w:val="goog_rdk_1117"/>
              <w:id w:val="-1135948023"/>
            </w:sdtPr>
            <w:sdtEndPr/>
            <w:sdtContent>
              <w:r w:rsidR="00D16282">
                <w:rPr>
                  <w:rFonts w:asciiTheme="minorHAnsi" w:hAnsiTheme="minorHAnsi" w:cstheme="minorHAnsi"/>
                  <w:color w:val="000000"/>
                  <w:sz w:val="22"/>
                  <w:szCs w:val="22"/>
                </w:rPr>
                <w:t xml:space="preserve">The first meeting of the Panel will focus on finalizing its </w:t>
              </w:r>
              <w:proofErr w:type="spellStart"/>
              <w:r w:rsidR="00D16282">
                <w:rPr>
                  <w:rFonts w:asciiTheme="minorHAnsi" w:hAnsiTheme="minorHAnsi" w:cstheme="minorHAnsi"/>
                  <w:color w:val="000000"/>
                  <w:sz w:val="22"/>
                  <w:szCs w:val="22"/>
                </w:rPr>
                <w:t>ToR</w:t>
              </w:r>
              <w:proofErr w:type="spellEnd"/>
              <w:r w:rsidR="00D16282">
                <w:rPr>
                  <w:rFonts w:asciiTheme="minorHAnsi" w:hAnsiTheme="minorHAnsi" w:cstheme="minorHAnsi"/>
                  <w:color w:val="000000"/>
                  <w:sz w:val="22"/>
                  <w:szCs w:val="22"/>
                </w:rPr>
                <w:t xml:space="preserve">, and for GEF IW:LEARN to present the analysis of private sector engagement progress of the GEF IW SAP projects, their priority private sector matches, and to brainstorm mutually beneficial opportunities for collaboration/engagement with the Advisory Panel respective networks. The output of this meeting will become the basis for the creation of the Strategy and Action Plan outlined in activity 5.1.2. The subsequent meetings of the Panel will focus on evaluation of the progress and continue to build upon momentum generated.   </w:t>
              </w:r>
            </w:sdtContent>
          </w:sdt>
        </w:p>
      </w:sdtContent>
    </w:sdt>
    <w:p w14:paraId="3A931A59" w14:textId="76EFDB65" w:rsidR="00D16282" w:rsidRDefault="00F57A55" w:rsidP="00D16282">
      <w:pPr>
        <w:rPr>
          <w:rFonts w:asciiTheme="minorHAnsi" w:hAnsiTheme="minorHAnsi" w:cstheme="minorHAnsi"/>
        </w:rPr>
      </w:pPr>
      <w:sdt>
        <w:sdtPr>
          <w:rPr>
            <w:rFonts w:asciiTheme="minorHAnsi" w:hAnsiTheme="minorHAnsi" w:cstheme="minorHAnsi"/>
          </w:rPr>
          <w:tag w:val="goog_rdk_1119"/>
          <w:id w:val="1716010160"/>
        </w:sdtPr>
        <w:sdtEndPr/>
        <w:sdtContent>
          <w:r w:rsidR="00D16282">
            <w:rPr>
              <w:rFonts w:asciiTheme="minorHAnsi" w:hAnsiTheme="minorHAnsi" w:cstheme="minorHAnsi"/>
              <w:color w:val="000000"/>
              <w:sz w:val="22"/>
              <w:szCs w:val="22"/>
            </w:rPr>
            <w:t>The PCU will lead the IW Partnerships Advisory Panel establishment (in coordination with the GEF Secretariat and in collaboration with the partners), and follow up on the non-binding strategic advice of the Panel to ensure its smooth functioning.</w:t>
          </w:r>
        </w:sdtContent>
      </w:sdt>
    </w:p>
    <w:p w14:paraId="6AC0B497" w14:textId="77777777" w:rsidR="00D16282" w:rsidRPr="00D16282" w:rsidRDefault="00D16282" w:rsidP="00D16282"/>
    <w:p w14:paraId="1EB44B4F" w14:textId="14D23801" w:rsidR="00D16282" w:rsidRDefault="00D16282" w:rsidP="00D16282">
      <w:pPr>
        <w:pStyle w:val="Heading5"/>
        <w:rPr>
          <w:rFonts w:asciiTheme="minorHAnsi" w:hAnsiTheme="minorHAnsi" w:cstheme="minorHAnsi"/>
          <w:b/>
          <w:bCs/>
          <w:color w:val="000000" w:themeColor="text1"/>
          <w:sz w:val="22"/>
          <w:szCs w:val="22"/>
        </w:rPr>
      </w:pPr>
      <w:r w:rsidRPr="00D16282">
        <w:rPr>
          <w:rFonts w:asciiTheme="minorHAnsi" w:hAnsiTheme="minorHAnsi" w:cstheme="minorHAnsi"/>
          <w:b/>
          <w:bCs/>
          <w:color w:val="000000" w:themeColor="text1"/>
          <w:sz w:val="22"/>
          <w:szCs w:val="22"/>
        </w:rPr>
        <w:t>Activity 5.1.2: Creation of the Strategy and an Action Plan for International Waters on how to engage and partner with the private and public sector through advice of the Global IW Partnerships Advisory Panel</w:t>
      </w:r>
    </w:p>
    <w:p w14:paraId="2B80D388" w14:textId="77777777" w:rsidR="00D16282" w:rsidRDefault="00D16282" w:rsidP="00D16282">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Strategy will be an overall resource mobilization document that will build on the previously created LME Resource Mobilization Strategy adding additional examples and approaches and targeting additional </w:t>
      </w:r>
      <w:sdt>
        <w:sdtPr>
          <w:rPr>
            <w:rFonts w:asciiTheme="minorHAnsi" w:hAnsiTheme="minorHAnsi" w:cstheme="minorHAnsi"/>
          </w:rPr>
          <w:tag w:val="goog_rdk_1141"/>
          <w:id w:val="197283629"/>
        </w:sdtPr>
        <w:sdtEndPr/>
        <w:sdtContent>
          <w:r>
            <w:rPr>
              <w:rFonts w:asciiTheme="minorHAnsi" w:hAnsiTheme="minorHAnsi" w:cstheme="minorHAnsi"/>
              <w:color w:val="000000"/>
              <w:sz w:val="22"/>
              <w:szCs w:val="22"/>
            </w:rPr>
            <w:t xml:space="preserve">water </w:t>
          </w:r>
        </w:sdtContent>
      </w:sdt>
      <w:r>
        <w:rPr>
          <w:rFonts w:asciiTheme="minorHAnsi" w:hAnsiTheme="minorHAnsi" w:cstheme="minorHAnsi"/>
          <w:color w:val="000000"/>
          <w:sz w:val="22"/>
          <w:szCs w:val="22"/>
        </w:rPr>
        <w:t>eco-systems (groundwater, rivers, lakes). Appropriately creating the Strategy and Action Plan involves an in-depth analysis of the private sector and other actors</w:t>
      </w:r>
      <w:sdt>
        <w:sdtPr>
          <w:rPr>
            <w:rFonts w:asciiTheme="minorHAnsi" w:hAnsiTheme="minorHAnsi" w:cstheme="minorHAnsi"/>
          </w:rPr>
          <w:tag w:val="goog_rdk_1144"/>
          <w:id w:val="1970319876"/>
        </w:sdtPr>
        <w:sdtEndPr/>
        <w:sdtContent>
          <w:r>
            <w:rPr>
              <w:rFonts w:asciiTheme="minorHAnsi" w:hAnsiTheme="minorHAnsi" w:cstheme="minorHAnsi"/>
              <w:color w:val="000000"/>
              <w:sz w:val="22"/>
              <w:szCs w:val="22"/>
            </w:rPr>
            <w:t>, including</w:t>
          </w:r>
        </w:sdtContent>
      </w:sdt>
      <w:r>
        <w:rPr>
          <w:rFonts w:asciiTheme="minorHAnsi" w:hAnsiTheme="minorHAnsi" w:cstheme="minorHAnsi"/>
          <w:color w:val="000000"/>
          <w:sz w:val="22"/>
          <w:szCs w:val="22"/>
        </w:rPr>
        <w:t xml:space="preserve"> the prevailing aid and resource environment interested in international waters </w:t>
      </w:r>
      <w:sdt>
        <w:sdtPr>
          <w:rPr>
            <w:rFonts w:asciiTheme="minorHAnsi" w:hAnsiTheme="minorHAnsi" w:cstheme="minorHAnsi"/>
          </w:rPr>
          <w:tag w:val="goog_rdk_1147"/>
          <w:id w:val="2017656880"/>
        </w:sdtPr>
        <w:sdtEndPr/>
        <w:sdtContent>
          <w:r>
            <w:rPr>
              <w:rFonts w:asciiTheme="minorHAnsi" w:hAnsiTheme="minorHAnsi" w:cstheme="minorHAnsi"/>
              <w:color w:val="000000"/>
              <w:sz w:val="22"/>
              <w:szCs w:val="22"/>
            </w:rPr>
            <w:t>with</w:t>
          </w:r>
        </w:sdtContent>
      </w:sdt>
      <w:r>
        <w:rPr>
          <w:rFonts w:asciiTheme="minorHAnsi" w:hAnsiTheme="minorHAnsi" w:cstheme="minorHAnsi"/>
          <w:color w:val="000000"/>
          <w:sz w:val="22"/>
          <w:szCs w:val="22"/>
        </w:rPr>
        <w:t xml:space="preserve"> specific topics to match potential resource partner interests. </w:t>
      </w:r>
    </w:p>
    <w:p w14:paraId="083FC879" w14:textId="77777777" w:rsidR="00D16282" w:rsidRDefault="00F57A55" w:rsidP="00D16282">
      <w:pPr>
        <w:jc w:val="both"/>
        <w:rPr>
          <w:rFonts w:asciiTheme="minorHAnsi" w:hAnsiTheme="minorHAnsi" w:cstheme="minorHAnsi"/>
          <w:color w:val="000000"/>
          <w:sz w:val="22"/>
          <w:szCs w:val="22"/>
        </w:rPr>
      </w:pPr>
      <w:sdt>
        <w:sdtPr>
          <w:rPr>
            <w:rFonts w:asciiTheme="minorHAnsi" w:hAnsiTheme="minorHAnsi" w:cstheme="minorHAnsi"/>
          </w:rPr>
          <w:tag w:val="goog_rdk_1152"/>
          <w:id w:val="494454100"/>
        </w:sdtPr>
        <w:sdtEndPr/>
        <w:sdtContent>
          <w:sdt>
            <w:sdtPr>
              <w:rPr>
                <w:rFonts w:asciiTheme="minorHAnsi" w:hAnsiTheme="minorHAnsi" w:cstheme="minorHAnsi"/>
              </w:rPr>
              <w:tag w:val="goog_rdk_1151"/>
              <w:id w:val="-373999426"/>
            </w:sdtPr>
            <w:sdtEndPr/>
            <w:sdtContent/>
          </w:sdt>
        </w:sdtContent>
      </w:sdt>
      <w:sdt>
        <w:sdtPr>
          <w:rPr>
            <w:rFonts w:asciiTheme="minorHAnsi" w:hAnsiTheme="minorHAnsi" w:cstheme="minorHAnsi"/>
          </w:rPr>
          <w:tag w:val="goog_rdk_1158"/>
          <w:id w:val="285861053"/>
        </w:sdtPr>
        <w:sdtEndPr/>
        <w:sdtContent>
          <w:r w:rsidR="00D16282">
            <w:rPr>
              <w:rFonts w:asciiTheme="minorHAnsi" w:hAnsiTheme="minorHAnsi" w:cstheme="minorHAnsi"/>
              <w:color w:val="000000"/>
              <w:sz w:val="22"/>
              <w:szCs w:val="22"/>
            </w:rPr>
            <w:t xml:space="preserve">The Strategy will identify different public-private modalities to guide partner institutions and projects on possible engagements. This activity should include a dialogue with IW private sector actors to </w:t>
          </w:r>
          <w:sdt>
            <w:sdtPr>
              <w:rPr>
                <w:rFonts w:asciiTheme="minorHAnsi" w:hAnsiTheme="minorHAnsi" w:cstheme="minorHAnsi"/>
              </w:rPr>
              <w:tag w:val="goog_rdk_1153"/>
              <w:id w:val="-2045974042"/>
            </w:sdtPr>
            <w:sdtEndPr/>
            <w:sdtContent>
              <w:r w:rsidR="00D16282">
                <w:rPr>
                  <w:rFonts w:asciiTheme="minorHAnsi" w:hAnsiTheme="minorHAnsi" w:cstheme="minorHAnsi"/>
                  <w:color w:val="000000"/>
                  <w:sz w:val="22"/>
                  <w:szCs w:val="22"/>
                </w:rPr>
                <w:t xml:space="preserve">better understand project components necessary to enable private sector participation, </w:t>
              </w:r>
            </w:sdtContent>
          </w:sdt>
          <w:r w:rsidR="00D16282">
            <w:rPr>
              <w:rFonts w:asciiTheme="minorHAnsi" w:hAnsiTheme="minorHAnsi" w:cstheme="minorHAnsi"/>
              <w:color w:val="000000"/>
              <w:sz w:val="22"/>
              <w:szCs w:val="22"/>
            </w:rPr>
            <w:t xml:space="preserve">expand the resource base </w:t>
          </w:r>
          <w:sdt>
            <w:sdtPr>
              <w:rPr>
                <w:rFonts w:asciiTheme="minorHAnsi" w:hAnsiTheme="minorHAnsi" w:cstheme="minorHAnsi"/>
              </w:rPr>
              <w:tag w:val="goog_rdk_1156"/>
              <w:id w:val="-279187205"/>
            </w:sdtPr>
            <w:sdtEndPr/>
            <w:sdtContent>
              <w:r w:rsidR="00D16282">
                <w:rPr>
                  <w:rFonts w:asciiTheme="minorHAnsi" w:hAnsiTheme="minorHAnsi" w:cstheme="minorHAnsi"/>
                  <w:color w:val="000000"/>
                  <w:sz w:val="22"/>
                  <w:szCs w:val="22"/>
                </w:rPr>
                <w:t>and</w:t>
              </w:r>
            </w:sdtContent>
          </w:sdt>
          <w:r w:rsidR="00D16282">
            <w:rPr>
              <w:rFonts w:asciiTheme="minorHAnsi" w:hAnsiTheme="minorHAnsi" w:cstheme="minorHAnsi"/>
              <w:color w:val="000000"/>
              <w:sz w:val="22"/>
              <w:szCs w:val="22"/>
            </w:rPr>
            <w:t xml:space="preserve"> consider additional public resource partners. </w:t>
          </w:r>
          <w:sdt>
            <w:sdtPr>
              <w:rPr>
                <w:rFonts w:asciiTheme="minorHAnsi" w:hAnsiTheme="minorHAnsi" w:cstheme="minorHAnsi"/>
              </w:rPr>
              <w:tag w:val="goog_rdk_1157"/>
              <w:id w:val="1240515587"/>
            </w:sdtPr>
            <w:sdtEndPr/>
            <w:sdtContent/>
          </w:sdt>
        </w:sdtContent>
      </w:sdt>
    </w:p>
    <w:sdt>
      <w:sdtPr>
        <w:rPr>
          <w:rFonts w:asciiTheme="minorHAnsi" w:hAnsiTheme="minorHAnsi" w:cstheme="minorHAnsi"/>
        </w:rPr>
        <w:tag w:val="goog_rdk_1160"/>
        <w:id w:val="252943647"/>
      </w:sdtPr>
      <w:sdtEndPr/>
      <w:sdtContent>
        <w:p w14:paraId="11FA890D" w14:textId="77777777" w:rsidR="00D16282" w:rsidRDefault="00F57A55" w:rsidP="00D16282">
          <w:pPr>
            <w:jc w:val="both"/>
            <w:rPr>
              <w:rFonts w:asciiTheme="minorHAnsi" w:hAnsiTheme="minorHAnsi" w:cstheme="minorHAnsi"/>
              <w:color w:val="000000"/>
              <w:sz w:val="22"/>
              <w:szCs w:val="22"/>
            </w:rPr>
          </w:pPr>
          <w:sdt>
            <w:sdtPr>
              <w:rPr>
                <w:rFonts w:asciiTheme="minorHAnsi" w:hAnsiTheme="minorHAnsi" w:cstheme="minorHAnsi"/>
              </w:rPr>
              <w:tag w:val="goog_rdk_1159"/>
              <w:id w:val="-1934431682"/>
              <w:showingPlcHdr/>
            </w:sdtPr>
            <w:sdtEndPr/>
            <w:sdtContent>
              <w:r w:rsidR="00D16282">
                <w:rPr>
                  <w:rFonts w:asciiTheme="minorHAnsi" w:hAnsiTheme="minorHAnsi" w:cstheme="minorHAnsi"/>
                </w:rPr>
                <w:t xml:space="preserve">     </w:t>
              </w:r>
            </w:sdtContent>
          </w:sdt>
        </w:p>
      </w:sdtContent>
    </w:sdt>
    <w:sdt>
      <w:sdtPr>
        <w:rPr>
          <w:rFonts w:asciiTheme="minorHAnsi" w:hAnsiTheme="minorHAnsi" w:cstheme="minorHAnsi"/>
        </w:rPr>
        <w:tag w:val="goog_rdk_1162"/>
        <w:id w:val="-1127081089"/>
      </w:sdtPr>
      <w:sdtEndPr/>
      <w:sdtContent>
        <w:p w14:paraId="536868F3" w14:textId="77777777" w:rsidR="00D16282" w:rsidRDefault="00F57A55" w:rsidP="00D16282">
          <w:pPr>
            <w:jc w:val="both"/>
            <w:rPr>
              <w:rFonts w:asciiTheme="minorHAnsi" w:hAnsiTheme="minorHAnsi" w:cstheme="minorHAnsi"/>
              <w:color w:val="8496B0"/>
              <w:sz w:val="22"/>
              <w:szCs w:val="22"/>
            </w:rPr>
          </w:pPr>
          <w:sdt>
            <w:sdtPr>
              <w:rPr>
                <w:rFonts w:asciiTheme="minorHAnsi" w:hAnsiTheme="minorHAnsi" w:cstheme="minorHAnsi"/>
              </w:rPr>
              <w:tag w:val="goog_rdk_1161"/>
              <w:id w:val="-48611787"/>
            </w:sdtPr>
            <w:sdtEndPr/>
            <w:sdtContent>
              <w:r w:rsidR="00D16282">
                <w:rPr>
                  <w:rFonts w:asciiTheme="minorHAnsi" w:hAnsiTheme="minorHAnsi" w:cstheme="minorHAnsi"/>
                  <w:sz w:val="22"/>
                  <w:szCs w:val="22"/>
                </w:rPr>
                <w:t>Each GEF IW SAP implementation project engaged in the activity will become a case study that documents the best practices, lessons learned, and achievements in collaborating with the private sector.  Through this collection, a business case for the portfolio can be developed following the example from the</w:t>
              </w:r>
              <w:r w:rsidR="00D16282">
                <w:rPr>
                  <w:rFonts w:asciiTheme="minorHAnsi" w:hAnsiTheme="minorHAnsi" w:cstheme="minorHAnsi"/>
                  <w:color w:val="8496B0"/>
                  <w:sz w:val="22"/>
                  <w:szCs w:val="22"/>
                </w:rPr>
                <w:t xml:space="preserve"> </w:t>
              </w:r>
              <w:hyperlink r:id="rId22" w:history="1">
                <w:r w:rsidR="00D16282">
                  <w:rPr>
                    <w:rStyle w:val="Hyperlink"/>
                    <w:rFonts w:asciiTheme="minorHAnsi" w:hAnsiTheme="minorHAnsi" w:cstheme="minorHAnsi"/>
                    <w:color w:val="8496B0"/>
                    <w:sz w:val="22"/>
                    <w:szCs w:val="22"/>
                  </w:rPr>
                  <w:t>GEF IW Private-Public Partnership (PPP) Guidebook</w:t>
                </w:r>
              </w:hyperlink>
              <w:r w:rsidR="00D16282">
                <w:rPr>
                  <w:rFonts w:asciiTheme="minorHAnsi" w:hAnsiTheme="minorHAnsi" w:cstheme="minorHAnsi"/>
                  <w:color w:val="8496B0"/>
                  <w:sz w:val="22"/>
                  <w:szCs w:val="22"/>
                  <w:u w:val="single"/>
                </w:rPr>
                <w:t xml:space="preserve"> </w:t>
              </w:r>
              <w:r w:rsidR="00D16282">
                <w:rPr>
                  <w:rFonts w:asciiTheme="minorHAnsi" w:hAnsiTheme="minorHAnsi" w:cstheme="minorHAnsi"/>
                  <w:color w:val="8496B0"/>
                  <w:sz w:val="22"/>
                  <w:szCs w:val="22"/>
                </w:rPr>
                <w:t xml:space="preserve"> </w:t>
              </w:r>
              <w:r w:rsidR="00D16282">
                <w:rPr>
                  <w:rFonts w:asciiTheme="minorHAnsi" w:hAnsiTheme="minorHAnsi" w:cstheme="minorHAnsi"/>
                  <w:sz w:val="22"/>
                  <w:szCs w:val="22"/>
                </w:rPr>
                <w:t xml:space="preserve">business case initial draft (page 31-39 Appendix on The Business Case for Private Sector Engagement of GEF IW Projects.  </w:t>
              </w:r>
            </w:sdtContent>
          </w:sdt>
        </w:p>
      </w:sdtContent>
    </w:sdt>
    <w:sdt>
      <w:sdtPr>
        <w:rPr>
          <w:rFonts w:asciiTheme="minorHAnsi" w:hAnsiTheme="minorHAnsi" w:cstheme="minorHAnsi"/>
        </w:rPr>
        <w:tag w:val="goog_rdk_1165"/>
        <w:id w:val="-1595075263"/>
      </w:sdtPr>
      <w:sdtEndPr/>
      <w:sdtContent>
        <w:p w14:paraId="678F1914" w14:textId="77777777" w:rsidR="00D16282" w:rsidRDefault="00F57A55" w:rsidP="00D16282">
          <w:pPr>
            <w:jc w:val="both"/>
            <w:rPr>
              <w:rFonts w:asciiTheme="minorHAnsi" w:hAnsiTheme="minorHAnsi" w:cstheme="minorHAnsi"/>
              <w:color w:val="000000"/>
              <w:sz w:val="22"/>
              <w:szCs w:val="22"/>
            </w:rPr>
          </w:pPr>
          <w:sdt>
            <w:sdtPr>
              <w:rPr>
                <w:rFonts w:asciiTheme="minorHAnsi" w:hAnsiTheme="minorHAnsi" w:cstheme="minorHAnsi"/>
              </w:rPr>
              <w:tag w:val="goog_rdk_1164"/>
              <w:id w:val="557289085"/>
            </w:sdtPr>
            <w:sdtEndPr/>
            <w:sdtContent/>
          </w:sdt>
        </w:p>
      </w:sdtContent>
    </w:sdt>
    <w:p w14:paraId="77C1F632" w14:textId="77777777" w:rsidR="00D16282" w:rsidRDefault="00D16282" w:rsidP="00D16282">
      <w:pPr>
        <w:jc w:val="both"/>
        <w:rPr>
          <w:rFonts w:asciiTheme="minorHAnsi" w:hAnsiTheme="minorHAnsi" w:cstheme="minorHAnsi"/>
          <w:color w:val="000000"/>
          <w:sz w:val="22"/>
          <w:szCs w:val="22"/>
        </w:rPr>
      </w:pPr>
      <w:r>
        <w:rPr>
          <w:rFonts w:asciiTheme="minorHAnsi" w:hAnsiTheme="minorHAnsi" w:cstheme="minorHAnsi"/>
          <w:color w:val="000000"/>
          <w:sz w:val="22"/>
          <w:szCs w:val="22"/>
        </w:rPr>
        <w:t>The parallel Action Plan will identify potential resource partners and develop the roadmap that includes their information and specific alignment/interest relevant to the project for effective matchmaking with the potential private and public sector partners. In addition, a private sector management tool could be created to include: (a) a private sector information database; (b) a marketing tool; and (c) a monitoring and evaluation tool.</w:t>
      </w:r>
    </w:p>
    <w:p w14:paraId="670EC583" w14:textId="77777777" w:rsidR="00D16282" w:rsidRDefault="00F57A55" w:rsidP="00D16282">
      <w:pPr>
        <w:jc w:val="both"/>
        <w:rPr>
          <w:rFonts w:asciiTheme="minorHAnsi" w:hAnsiTheme="minorHAnsi" w:cstheme="minorHAnsi"/>
          <w:sz w:val="22"/>
          <w:szCs w:val="22"/>
        </w:rPr>
      </w:pPr>
      <w:sdt>
        <w:sdtPr>
          <w:rPr>
            <w:rFonts w:asciiTheme="minorHAnsi" w:hAnsiTheme="minorHAnsi" w:cstheme="minorHAnsi"/>
          </w:rPr>
          <w:tag w:val="goog_rdk_1168"/>
          <w:id w:val="-1248731423"/>
        </w:sdtPr>
        <w:sdtEndPr/>
        <w:sdtContent>
          <w:sdt>
            <w:sdtPr>
              <w:rPr>
                <w:rFonts w:asciiTheme="minorHAnsi" w:hAnsiTheme="minorHAnsi" w:cstheme="minorHAnsi"/>
              </w:rPr>
              <w:tag w:val="goog_rdk_1167"/>
              <w:id w:val="-1643415026"/>
            </w:sdtPr>
            <w:sdtEndPr/>
            <w:sdtContent/>
          </w:sdt>
        </w:sdtContent>
      </w:sdt>
      <w:sdt>
        <w:sdtPr>
          <w:rPr>
            <w:rFonts w:asciiTheme="minorHAnsi" w:hAnsiTheme="minorHAnsi" w:cstheme="minorHAnsi"/>
          </w:rPr>
          <w:tag w:val="goog_rdk_1171"/>
          <w:id w:val="-284823957"/>
        </w:sdtPr>
        <w:sdtEndPr/>
        <w:sdtContent>
          <w:sdt>
            <w:sdtPr>
              <w:rPr>
                <w:rFonts w:asciiTheme="minorHAnsi" w:hAnsiTheme="minorHAnsi" w:cstheme="minorHAnsi"/>
              </w:rPr>
              <w:tag w:val="goog_rdk_1170"/>
              <w:id w:val="-734163536"/>
            </w:sdtPr>
            <w:sdtEndPr/>
            <w:sdtContent/>
          </w:sdt>
        </w:sdtContent>
      </w:sdt>
    </w:p>
    <w:p w14:paraId="3CBC1B6A" w14:textId="77777777" w:rsidR="00D16282" w:rsidRDefault="00D16282" w:rsidP="00D16282">
      <w:pPr>
        <w:jc w:val="both"/>
        <w:rPr>
          <w:rFonts w:asciiTheme="minorHAnsi" w:hAnsiTheme="minorHAnsi" w:cstheme="minorHAnsi"/>
          <w:sz w:val="22"/>
          <w:szCs w:val="22"/>
        </w:rPr>
      </w:pPr>
      <w:r>
        <w:rPr>
          <w:rFonts w:asciiTheme="minorHAnsi" w:hAnsiTheme="minorHAnsi" w:cstheme="minorHAnsi"/>
          <w:sz w:val="22"/>
          <w:szCs w:val="22"/>
        </w:rPr>
        <w:t>Following the non-binding advice of the Panel, the PCU will lead and coordinate the creation of the Strategy and an Action Plan.</w:t>
      </w:r>
    </w:p>
    <w:p w14:paraId="5FBB3715" w14:textId="5A437578" w:rsidR="00D16282" w:rsidRDefault="00D16282" w:rsidP="00D16282"/>
    <w:p w14:paraId="68FE5754" w14:textId="77777777" w:rsidR="0071779B" w:rsidRPr="00D16282" w:rsidRDefault="0071779B" w:rsidP="00D16282"/>
    <w:p w14:paraId="5E7453B6" w14:textId="62C1C919" w:rsidR="0071779B" w:rsidRDefault="0071779B" w:rsidP="0071779B">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lastRenderedPageBreak/>
        <w:t xml:space="preserve">Sub-component </w:t>
      </w:r>
      <w:r>
        <w:rPr>
          <w:rFonts w:asciiTheme="minorHAnsi" w:hAnsiTheme="minorHAnsi" w:cstheme="minorHAnsi"/>
          <w:b/>
          <w:bCs/>
          <w:i w:val="0"/>
          <w:iCs w:val="0"/>
          <w:color w:val="000000" w:themeColor="text1"/>
        </w:rPr>
        <w:t>5.2</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Facilitation of partnerships with projects and the business community via regional-level networking (UNDP)</w:t>
      </w:r>
    </w:p>
    <w:p w14:paraId="023246EB" w14:textId="77777777" w:rsidR="0071779B" w:rsidRDefault="0071779B" w:rsidP="0071779B">
      <w:pPr>
        <w:shd w:val="clear" w:color="auto" w:fill="D0CECE"/>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Summary of outputs, outcomes and budget    </w:t>
      </w:r>
    </w:p>
    <w:p w14:paraId="5DD76369" w14:textId="77777777" w:rsidR="0071779B" w:rsidRDefault="0071779B" w:rsidP="0071779B">
      <w:pPr>
        <w:shd w:val="clear" w:color="auto" w:fill="D0CECE"/>
        <w:jc w:val="both"/>
        <w:rPr>
          <w:rFonts w:asciiTheme="minorHAnsi" w:hAnsiTheme="minorHAnsi" w:cstheme="minorHAnsi"/>
          <w:color w:val="000000"/>
          <w:sz w:val="22"/>
          <w:szCs w:val="22"/>
        </w:rPr>
      </w:pPr>
    </w:p>
    <w:p w14:paraId="2B0D9C46"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The expected </w:t>
      </w:r>
      <w:r>
        <w:rPr>
          <w:rFonts w:asciiTheme="minorHAnsi" w:hAnsiTheme="minorHAnsi" w:cstheme="minorHAnsi"/>
          <w:b/>
          <w:color w:val="000000"/>
          <w:sz w:val="22"/>
          <w:szCs w:val="22"/>
        </w:rPr>
        <w:t>output</w:t>
      </w:r>
      <w:r>
        <w:rPr>
          <w:rFonts w:asciiTheme="minorHAnsi" w:hAnsiTheme="minorHAnsi" w:cstheme="minorHAnsi"/>
          <w:color w:val="000000"/>
          <w:sz w:val="22"/>
          <w:szCs w:val="22"/>
        </w:rPr>
        <w:t xml:space="preserve"> from sub‐component 5.2 is: </w:t>
      </w:r>
    </w:p>
    <w:p w14:paraId="4430EDD7" w14:textId="77777777" w:rsidR="0071779B" w:rsidRDefault="0071779B" w:rsidP="0071779B">
      <w:pPr>
        <w:shd w:val="clear" w:color="auto" w:fill="D0CECE"/>
        <w:jc w:val="both"/>
        <w:rPr>
          <w:rFonts w:asciiTheme="minorHAnsi" w:hAnsiTheme="minorHAnsi" w:cstheme="minorHAnsi"/>
          <w:color w:val="000000"/>
          <w:sz w:val="22"/>
          <w:szCs w:val="22"/>
        </w:rPr>
      </w:pPr>
    </w:p>
    <w:p w14:paraId="242124BA" w14:textId="77777777" w:rsidR="0071779B" w:rsidRDefault="0071779B" w:rsidP="0071779B">
      <w:pPr>
        <w:shd w:val="clear" w:color="auto" w:fill="D0CECE"/>
        <w:jc w:val="both"/>
        <w:rPr>
          <w:rFonts w:asciiTheme="minorHAnsi" w:hAnsiTheme="minorHAnsi" w:cstheme="minorHAnsi"/>
          <w:color w:val="000000"/>
        </w:rPr>
      </w:pPr>
      <w:r>
        <w:rPr>
          <w:rFonts w:asciiTheme="minorHAnsi" w:hAnsiTheme="minorHAnsi" w:cstheme="minorHAnsi"/>
          <w:color w:val="000000"/>
          <w:sz w:val="22"/>
          <w:szCs w:val="22"/>
        </w:rPr>
        <w:t>Facilitation of partnerships with projects and the business community via regional-level networking</w:t>
      </w:r>
      <w:r>
        <w:rPr>
          <w:rFonts w:asciiTheme="minorHAnsi" w:hAnsiTheme="minorHAnsi" w:cstheme="minorHAnsi"/>
          <w:color w:val="000000"/>
        </w:rPr>
        <w:t xml:space="preserve"> </w:t>
      </w:r>
    </w:p>
    <w:p w14:paraId="268AC252" w14:textId="77777777" w:rsidR="0071779B" w:rsidRDefault="0071779B" w:rsidP="0071779B">
      <w:pPr>
        <w:shd w:val="clear" w:color="auto" w:fill="D0CECE"/>
        <w:jc w:val="both"/>
        <w:rPr>
          <w:rFonts w:asciiTheme="minorHAnsi" w:hAnsiTheme="minorHAnsi" w:cstheme="minorHAnsi"/>
          <w:color w:val="000000"/>
          <w:sz w:val="22"/>
          <w:szCs w:val="22"/>
        </w:rPr>
      </w:pPr>
    </w:p>
    <w:p w14:paraId="344D99F5"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The expected </w:t>
      </w:r>
      <w:r>
        <w:rPr>
          <w:rFonts w:asciiTheme="minorHAnsi" w:hAnsiTheme="minorHAnsi" w:cstheme="minorHAnsi"/>
          <w:b/>
          <w:color w:val="000000"/>
          <w:sz w:val="22"/>
          <w:szCs w:val="22"/>
        </w:rPr>
        <w:t>outcome</w:t>
      </w:r>
      <w:r>
        <w:rPr>
          <w:rFonts w:asciiTheme="minorHAnsi" w:hAnsiTheme="minorHAnsi" w:cstheme="minorHAnsi"/>
          <w:color w:val="000000"/>
          <w:sz w:val="22"/>
          <w:szCs w:val="22"/>
        </w:rPr>
        <w:t xml:space="preserve"> from sub‐component 5.2 is: </w:t>
      </w:r>
    </w:p>
    <w:p w14:paraId="20182180" w14:textId="77777777" w:rsidR="0071779B" w:rsidRDefault="0071779B" w:rsidP="0071779B">
      <w:pPr>
        <w:shd w:val="clear" w:color="auto" w:fill="D0CECE"/>
        <w:jc w:val="both"/>
        <w:rPr>
          <w:rFonts w:asciiTheme="minorHAnsi" w:hAnsiTheme="minorHAnsi" w:cstheme="minorHAnsi"/>
          <w:color w:val="000000"/>
          <w:sz w:val="22"/>
          <w:szCs w:val="22"/>
        </w:rPr>
      </w:pPr>
    </w:p>
    <w:p w14:paraId="58C9E8A4"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Enhanced number of regional resource partnerships</w:t>
      </w:r>
    </w:p>
    <w:p w14:paraId="54EEBDCF" w14:textId="77777777" w:rsidR="0071779B" w:rsidRDefault="0071779B" w:rsidP="0071779B">
      <w:pPr>
        <w:shd w:val="clear" w:color="auto" w:fill="D0CECE"/>
        <w:jc w:val="both"/>
        <w:rPr>
          <w:rFonts w:asciiTheme="minorHAnsi" w:hAnsiTheme="minorHAnsi" w:cstheme="minorHAnsi"/>
          <w:b/>
          <w:color w:val="000000"/>
          <w:sz w:val="22"/>
          <w:szCs w:val="22"/>
        </w:rPr>
      </w:pPr>
    </w:p>
    <w:p w14:paraId="65F48D0E" w14:textId="77777777" w:rsidR="0071779B" w:rsidRDefault="0071779B" w:rsidP="0071779B">
      <w:pPr>
        <w:shd w:val="clear" w:color="auto" w:fill="D0CECE"/>
        <w:jc w:val="both"/>
        <w:rPr>
          <w:rFonts w:asciiTheme="minorHAnsi" w:hAnsiTheme="minorHAnsi" w:cstheme="minorHAnsi"/>
          <w:b/>
          <w:color w:val="000000"/>
          <w:sz w:val="22"/>
          <w:szCs w:val="22"/>
        </w:rPr>
      </w:pPr>
      <w:r>
        <w:rPr>
          <w:rFonts w:asciiTheme="minorHAnsi" w:hAnsiTheme="minorHAnsi" w:cstheme="minorHAnsi"/>
          <w:b/>
          <w:color w:val="000000"/>
          <w:sz w:val="22"/>
          <w:szCs w:val="22"/>
        </w:rPr>
        <w:t>The overall costs for Component 5: GEF Grant USD571,000</w:t>
      </w:r>
    </w:p>
    <w:p w14:paraId="71D450A3" w14:textId="77777777" w:rsidR="0071779B" w:rsidRDefault="0071779B" w:rsidP="0071779B">
      <w:pPr>
        <w:shd w:val="clear" w:color="auto" w:fill="D0CECE"/>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This sub‐component links to the following sub‐components: </w:t>
      </w:r>
    </w:p>
    <w:p w14:paraId="79267566" w14:textId="77777777" w:rsidR="0071779B" w:rsidRDefault="0071779B" w:rsidP="0071779B">
      <w:pPr>
        <w:shd w:val="clear" w:color="auto" w:fill="D0CECE"/>
        <w:jc w:val="both"/>
        <w:rPr>
          <w:rFonts w:asciiTheme="minorHAnsi" w:hAnsiTheme="minorHAnsi" w:cstheme="minorHAnsi"/>
          <w:color w:val="000000"/>
          <w:sz w:val="22"/>
          <w:szCs w:val="22"/>
        </w:rPr>
      </w:pPr>
    </w:p>
    <w:p w14:paraId="5372B161"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1.1: GEF Biennial International Waters Conferences 10 and 11 for GEF wide portfolio of IW projects and other relevant partners</w:t>
      </w:r>
    </w:p>
    <w:p w14:paraId="720BC2A8" w14:textId="77777777" w:rsidR="0071779B" w:rsidRDefault="0071779B" w:rsidP="0071779B">
      <w:pPr>
        <w:shd w:val="clear" w:color="auto" w:fill="D0CECE"/>
        <w:jc w:val="both"/>
        <w:rPr>
          <w:rFonts w:asciiTheme="minorHAnsi" w:hAnsiTheme="minorHAnsi" w:cstheme="minorHAnsi"/>
          <w:color w:val="000000"/>
          <w:sz w:val="22"/>
          <w:szCs w:val="22"/>
        </w:rPr>
      </w:pPr>
    </w:p>
    <w:sdt>
      <w:sdtPr>
        <w:rPr>
          <w:rFonts w:asciiTheme="minorHAnsi" w:hAnsiTheme="minorHAnsi" w:cstheme="minorHAnsi"/>
        </w:rPr>
        <w:tag w:val="goog_rdk_1174"/>
        <w:id w:val="-493113868"/>
      </w:sdtPr>
      <w:sdtEndPr/>
      <w:sdtContent>
        <w:p w14:paraId="4837A0DD"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1.4: Participation in key global and regional dialogue processes to showcase GEF IW results, build partnerships and facilitate cooperation </w:t>
          </w:r>
          <w:sdt>
            <w:sdtPr>
              <w:rPr>
                <w:rFonts w:asciiTheme="minorHAnsi" w:hAnsiTheme="minorHAnsi" w:cstheme="minorHAnsi"/>
              </w:rPr>
              <w:tag w:val="goog_rdk_1173"/>
              <w:id w:val="-967200010"/>
              <w:showingPlcHdr/>
            </w:sdtPr>
            <w:sdtEndPr/>
            <w:sdtContent>
              <w:r>
                <w:rPr>
                  <w:rFonts w:asciiTheme="minorHAnsi" w:hAnsiTheme="minorHAnsi" w:cstheme="minorHAnsi"/>
                </w:rPr>
                <w:t xml:space="preserve">     </w:t>
              </w:r>
            </w:sdtContent>
          </w:sdt>
        </w:p>
      </w:sdtContent>
    </w:sdt>
    <w:sdt>
      <w:sdtPr>
        <w:rPr>
          <w:rFonts w:asciiTheme="minorHAnsi" w:hAnsiTheme="minorHAnsi" w:cstheme="minorHAnsi"/>
        </w:rPr>
        <w:tag w:val="goog_rdk_1176"/>
        <w:id w:val="-838070168"/>
      </w:sdtPr>
      <w:sdtEndPr/>
      <w:sdtContent>
        <w:p w14:paraId="1923259D" w14:textId="77777777" w:rsidR="0071779B" w:rsidRDefault="00F57A55" w:rsidP="0071779B">
          <w:pPr>
            <w:shd w:val="clear" w:color="auto" w:fill="D0CECE"/>
            <w:jc w:val="both"/>
            <w:rPr>
              <w:rFonts w:asciiTheme="minorHAnsi" w:hAnsiTheme="minorHAnsi" w:cstheme="minorHAnsi"/>
              <w:color w:val="000000"/>
              <w:sz w:val="22"/>
              <w:szCs w:val="22"/>
            </w:rPr>
          </w:pPr>
          <w:sdt>
            <w:sdtPr>
              <w:rPr>
                <w:rFonts w:asciiTheme="minorHAnsi" w:hAnsiTheme="minorHAnsi" w:cstheme="minorHAnsi"/>
              </w:rPr>
              <w:tag w:val="goog_rdk_1175"/>
              <w:id w:val="-914082925"/>
              <w:showingPlcHdr/>
            </w:sdtPr>
            <w:sdtEndPr/>
            <w:sdtContent>
              <w:r w:rsidR="0071779B">
                <w:rPr>
                  <w:rFonts w:asciiTheme="minorHAnsi" w:hAnsiTheme="minorHAnsi" w:cstheme="minorHAnsi"/>
                </w:rPr>
                <w:t xml:space="preserve">     </w:t>
              </w:r>
            </w:sdtContent>
          </w:sdt>
        </w:p>
      </w:sdtContent>
    </w:sdt>
    <w:sdt>
      <w:sdtPr>
        <w:rPr>
          <w:rFonts w:asciiTheme="minorHAnsi" w:hAnsiTheme="minorHAnsi" w:cstheme="minorHAnsi"/>
        </w:rPr>
        <w:tag w:val="goog_rdk_1180"/>
        <w:id w:val="290561468"/>
      </w:sdtPr>
      <w:sdtEndPr/>
      <w:sdtContent>
        <w:p w14:paraId="7466BE04" w14:textId="77777777" w:rsidR="0071779B" w:rsidRDefault="00F57A55" w:rsidP="0071779B">
          <w:pPr>
            <w:shd w:val="clear" w:color="auto" w:fill="D0CECE"/>
            <w:jc w:val="both"/>
            <w:rPr>
              <w:rFonts w:asciiTheme="minorHAnsi" w:hAnsiTheme="minorHAnsi" w:cstheme="minorHAnsi"/>
            </w:rPr>
          </w:pPr>
          <w:sdt>
            <w:sdtPr>
              <w:rPr>
                <w:rFonts w:asciiTheme="minorHAnsi" w:hAnsiTheme="minorHAnsi" w:cstheme="minorHAnsi"/>
              </w:rPr>
              <w:tag w:val="goog_rdk_1179"/>
              <w:id w:val="2091883193"/>
            </w:sdtPr>
            <w:sdtEndPr/>
            <w:sdtContent>
              <w:r w:rsidR="0071779B">
                <w:rPr>
                  <w:rFonts w:asciiTheme="minorHAnsi" w:hAnsiTheme="minorHAnsi" w:cstheme="minorHAnsi"/>
                  <w:color w:val="000000"/>
                  <w:sz w:val="22"/>
                  <w:szCs w:val="22"/>
                </w:rPr>
                <w:t>4.4: Global and regional dialogue activities to promote collaboration among</w:t>
              </w:r>
            </w:sdtContent>
          </w:sdt>
        </w:p>
      </w:sdtContent>
    </w:sdt>
    <w:sdt>
      <w:sdtPr>
        <w:rPr>
          <w:rFonts w:asciiTheme="minorHAnsi" w:hAnsiTheme="minorHAnsi" w:cstheme="minorHAnsi"/>
        </w:rPr>
        <w:tag w:val="goog_rdk_1182"/>
        <w:id w:val="597839207"/>
      </w:sdtPr>
      <w:sdtEndPr/>
      <w:sdtContent>
        <w:p w14:paraId="24949252" w14:textId="77777777" w:rsidR="0071779B" w:rsidRDefault="00F57A55" w:rsidP="0071779B">
          <w:pPr>
            <w:shd w:val="clear" w:color="auto" w:fill="D0CECE"/>
            <w:jc w:val="both"/>
            <w:rPr>
              <w:rFonts w:asciiTheme="minorHAnsi" w:hAnsiTheme="minorHAnsi" w:cstheme="minorHAnsi"/>
            </w:rPr>
          </w:pPr>
          <w:sdt>
            <w:sdtPr>
              <w:rPr>
                <w:rFonts w:asciiTheme="minorHAnsi" w:hAnsiTheme="minorHAnsi" w:cstheme="minorHAnsi"/>
              </w:rPr>
              <w:tag w:val="goog_rdk_1181"/>
              <w:id w:val="-2043196041"/>
            </w:sdtPr>
            <w:sdtEndPr/>
            <w:sdtContent>
              <w:r w:rsidR="0071779B">
                <w:rPr>
                  <w:rFonts w:asciiTheme="minorHAnsi" w:hAnsiTheme="minorHAnsi" w:cstheme="minorHAnsi"/>
                  <w:color w:val="000000"/>
                  <w:sz w:val="22"/>
                  <w:szCs w:val="22"/>
                </w:rPr>
                <w:t>LMEs, Regional Seas bodies and Regional Fisheries Management Organizations (RFMOs),</w:t>
              </w:r>
            </w:sdtContent>
          </w:sdt>
        </w:p>
      </w:sdtContent>
    </w:sdt>
    <w:sdt>
      <w:sdtPr>
        <w:rPr>
          <w:rFonts w:asciiTheme="minorHAnsi" w:hAnsiTheme="minorHAnsi" w:cstheme="minorHAnsi"/>
        </w:rPr>
        <w:tag w:val="goog_rdk_1184"/>
        <w:id w:val="1972640762"/>
      </w:sdtPr>
      <w:sdtEndPr/>
      <w:sdtContent>
        <w:p w14:paraId="72BE18CC" w14:textId="77777777" w:rsidR="0071779B" w:rsidRDefault="00F57A55" w:rsidP="0071779B">
          <w:pPr>
            <w:shd w:val="clear" w:color="auto" w:fill="D0CECE"/>
            <w:jc w:val="both"/>
            <w:rPr>
              <w:rFonts w:asciiTheme="minorHAnsi" w:hAnsiTheme="minorHAnsi" w:cstheme="minorHAnsi"/>
            </w:rPr>
          </w:pPr>
          <w:sdt>
            <w:sdtPr>
              <w:rPr>
                <w:rFonts w:asciiTheme="minorHAnsi" w:hAnsiTheme="minorHAnsi" w:cstheme="minorHAnsi"/>
              </w:rPr>
              <w:tag w:val="goog_rdk_1183"/>
              <w:id w:val="-1197693415"/>
            </w:sdtPr>
            <w:sdtEndPr/>
            <w:sdtContent>
              <w:r w:rsidR="0071779B">
                <w:rPr>
                  <w:rFonts w:asciiTheme="minorHAnsi" w:hAnsiTheme="minorHAnsi" w:cstheme="minorHAnsi"/>
                  <w:color w:val="000000"/>
                  <w:sz w:val="22"/>
                  <w:szCs w:val="22"/>
                </w:rPr>
                <w:t>Areas Beyond National Jurisdiction (ABNJ) and River Basin Organizations (RBOs), especially</w:t>
              </w:r>
            </w:sdtContent>
          </w:sdt>
        </w:p>
      </w:sdtContent>
    </w:sdt>
    <w:sdt>
      <w:sdtPr>
        <w:rPr>
          <w:rFonts w:asciiTheme="minorHAnsi" w:hAnsiTheme="minorHAnsi" w:cstheme="minorHAnsi"/>
        </w:rPr>
        <w:tag w:val="goog_rdk_1186"/>
        <w:id w:val="-619530433"/>
      </w:sdtPr>
      <w:sdtEndPr/>
      <w:sdtContent>
        <w:p w14:paraId="01CA2F1E" w14:textId="77777777" w:rsidR="0071779B" w:rsidRDefault="00F57A55" w:rsidP="0071779B">
          <w:pPr>
            <w:shd w:val="clear" w:color="auto" w:fill="D0CECE"/>
            <w:jc w:val="both"/>
            <w:rPr>
              <w:rFonts w:asciiTheme="minorHAnsi" w:hAnsiTheme="minorHAnsi" w:cstheme="minorHAnsi"/>
            </w:rPr>
          </w:pPr>
          <w:sdt>
            <w:sdtPr>
              <w:rPr>
                <w:rFonts w:asciiTheme="minorHAnsi" w:hAnsiTheme="minorHAnsi" w:cstheme="minorHAnsi"/>
              </w:rPr>
              <w:tag w:val="goog_rdk_1185"/>
              <w:id w:val="-1777857588"/>
            </w:sdtPr>
            <w:sdtEndPr/>
            <w:sdtContent>
              <w:r w:rsidR="0071779B">
                <w:rPr>
                  <w:rFonts w:asciiTheme="minorHAnsi" w:hAnsiTheme="minorHAnsi" w:cstheme="minorHAnsi"/>
                  <w:color w:val="000000"/>
                  <w:sz w:val="22"/>
                  <w:szCs w:val="22"/>
                </w:rPr>
                <w:t>via the Annual LME Consultation</w:t>
              </w:r>
            </w:sdtContent>
          </w:sdt>
        </w:p>
      </w:sdtContent>
    </w:sdt>
    <w:p w14:paraId="447E3FAE" w14:textId="77777777" w:rsidR="0071779B" w:rsidRDefault="0071779B" w:rsidP="0071779B">
      <w:pPr>
        <w:jc w:val="both"/>
        <w:rPr>
          <w:rFonts w:asciiTheme="minorHAnsi" w:hAnsiTheme="minorHAnsi" w:cstheme="minorHAnsi"/>
          <w:color w:val="000000"/>
          <w:sz w:val="22"/>
          <w:szCs w:val="22"/>
        </w:rPr>
      </w:pPr>
    </w:p>
    <w:sdt>
      <w:sdtPr>
        <w:rPr>
          <w:rFonts w:asciiTheme="minorHAnsi" w:hAnsiTheme="minorHAnsi" w:cstheme="minorHAnsi"/>
        </w:rPr>
        <w:tag w:val="goog_rdk_1204"/>
        <w:id w:val="-1436053621"/>
      </w:sdtPr>
      <w:sdtEndPr/>
      <w:sdtContent>
        <w:p w14:paraId="3A5DCF61" w14:textId="77777777" w:rsidR="0071779B" w:rsidRDefault="0071779B" w:rsidP="0071779B">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sub‐component will convene public and private sector entities together with GEF IW projects and development partners at the regional level with a specific focus on interactive networking, as well as effective dialogue. </w:t>
          </w:r>
          <w:sdt>
            <w:sdtPr>
              <w:rPr>
                <w:rFonts w:asciiTheme="minorHAnsi" w:hAnsiTheme="minorHAnsi" w:cstheme="minorHAnsi"/>
              </w:rPr>
              <w:tag w:val="goog_rdk_1187"/>
              <w:id w:val="1473707171"/>
            </w:sdtPr>
            <w:sdtEndPr/>
            <w:sdtContent>
              <w:r>
                <w:rPr>
                  <w:rFonts w:asciiTheme="minorHAnsi" w:hAnsiTheme="minorHAnsi" w:cstheme="minorHAnsi"/>
                  <w:color w:val="000000"/>
                  <w:sz w:val="22"/>
                  <w:szCs w:val="22"/>
                </w:rPr>
                <w:t xml:space="preserve">In agreement with the identified partners </w:t>
              </w:r>
            </w:sdtContent>
          </w:sdt>
          <w:sdt>
            <w:sdtPr>
              <w:rPr>
                <w:rFonts w:asciiTheme="minorHAnsi" w:hAnsiTheme="minorHAnsi" w:cstheme="minorHAnsi"/>
              </w:rPr>
              <w:tag w:val="goog_rdk_1188"/>
              <w:id w:val="941873094"/>
            </w:sdtPr>
            <w:sdtEndPr/>
            <w:sdtContent>
              <w:sdt>
                <w:sdtPr>
                  <w:rPr>
                    <w:rFonts w:asciiTheme="minorHAnsi" w:hAnsiTheme="minorHAnsi" w:cstheme="minorHAnsi"/>
                  </w:rPr>
                  <w:tag w:val="goog_rdk_1189"/>
                  <w:id w:val="1578860500"/>
                </w:sdtPr>
                <w:sdtEndPr/>
                <w:sdtContent>
                  <w:r>
                    <w:rPr>
                      <w:rFonts w:asciiTheme="minorHAnsi" w:hAnsiTheme="minorHAnsi" w:cstheme="minorHAnsi"/>
                      <w:color w:val="000000"/>
                      <w:sz w:val="22"/>
                      <w:szCs w:val="22"/>
                    </w:rPr>
                    <w:t>(</w:t>
                  </w:r>
                </w:sdtContent>
              </w:sdt>
              <w:r>
                <w:rPr>
                  <w:rFonts w:asciiTheme="minorHAnsi" w:hAnsiTheme="minorHAnsi" w:cstheme="minorHAnsi"/>
                </w:rPr>
                <w:t>including</w:t>
              </w:r>
            </w:sdtContent>
          </w:sdt>
          <w:sdt>
            <w:sdtPr>
              <w:rPr>
                <w:rFonts w:asciiTheme="minorHAnsi" w:hAnsiTheme="minorHAnsi" w:cstheme="minorHAnsi"/>
              </w:rPr>
              <w:tag w:val="goog_rdk_1190"/>
              <w:id w:val="997846373"/>
            </w:sdtPr>
            <w:sdtEndPr/>
            <w:sdtContent>
              <w:r>
                <w:rPr>
                  <w:rFonts w:asciiTheme="minorHAnsi" w:hAnsiTheme="minorHAnsi" w:cstheme="minorHAnsi"/>
                  <w:color w:val="000000"/>
                  <w:sz w:val="22"/>
                  <w:szCs w:val="22"/>
                </w:rPr>
                <w:t xml:space="preserve"> UNECE, Inter-American Development Bank, TNC, GWP, Rev Ocean, </w:t>
              </w:r>
            </w:sdtContent>
          </w:sdt>
          <w:sdt>
            <w:sdtPr>
              <w:rPr>
                <w:rFonts w:asciiTheme="minorHAnsi" w:hAnsiTheme="minorHAnsi" w:cstheme="minorHAnsi"/>
              </w:rPr>
              <w:tag w:val="goog_rdk_1191"/>
              <w:id w:val="1192412097"/>
            </w:sdtPr>
            <w:sdtEndPr/>
            <w:sdtContent>
              <w:sdt>
                <w:sdtPr>
                  <w:rPr>
                    <w:rFonts w:asciiTheme="minorHAnsi" w:hAnsiTheme="minorHAnsi" w:cstheme="minorHAnsi"/>
                  </w:rPr>
                  <w:tag w:val="goog_rdk_1192"/>
                  <w:id w:val="-1280945923"/>
                </w:sdtPr>
                <w:sdtEndPr/>
                <w:sdtContent>
                  <w:r>
                    <w:rPr>
                      <w:rFonts w:asciiTheme="minorHAnsi" w:hAnsiTheme="minorHAnsi" w:cstheme="minorHAnsi"/>
                      <w:color w:val="000000"/>
                      <w:sz w:val="22"/>
                      <w:szCs w:val="22"/>
                    </w:rPr>
                    <w:t xml:space="preserve">WWF and </w:t>
                  </w:r>
                </w:sdtContent>
              </w:sdt>
            </w:sdtContent>
          </w:sdt>
          <w:sdt>
            <w:sdtPr>
              <w:rPr>
                <w:rFonts w:asciiTheme="minorHAnsi" w:hAnsiTheme="minorHAnsi" w:cstheme="minorHAnsi"/>
              </w:rPr>
              <w:tag w:val="goog_rdk_1193"/>
              <w:id w:val="658663552"/>
            </w:sdtPr>
            <w:sdtEndPr/>
            <w:sdtContent>
              <w:r>
                <w:rPr>
                  <w:rFonts w:asciiTheme="minorHAnsi" w:hAnsiTheme="minorHAnsi" w:cstheme="minorHAnsi"/>
                  <w:color w:val="000000"/>
                  <w:sz w:val="22"/>
                  <w:szCs w:val="22"/>
                </w:rPr>
                <w:t xml:space="preserve">the </w:t>
              </w:r>
              <w:r>
                <w:rPr>
                  <w:rFonts w:asciiTheme="minorHAnsi" w:hAnsiTheme="minorHAnsi" w:cstheme="minorHAnsi"/>
                  <w:color w:val="000000"/>
                  <w:sz w:val="22"/>
                  <w:szCs w:val="22"/>
                  <w:lang w:val="hr-HR"/>
                </w:rPr>
                <w:t xml:space="preserve">UN Global </w:t>
              </w:r>
              <w:r>
                <w:rPr>
                  <w:rFonts w:asciiTheme="minorHAnsi" w:hAnsiTheme="minorHAnsi" w:cstheme="minorHAnsi"/>
                  <w:color w:val="000000"/>
                  <w:sz w:val="22"/>
                  <w:szCs w:val="22"/>
                  <w:lang w:val="en-GB"/>
                </w:rPr>
                <w:t xml:space="preserve">Compact's </w:t>
              </w:r>
              <w:r>
                <w:rPr>
                  <w:rFonts w:asciiTheme="minorHAnsi" w:hAnsiTheme="minorHAnsi" w:cstheme="minorHAnsi"/>
                  <w:color w:val="000000"/>
                  <w:sz w:val="22"/>
                  <w:szCs w:val="22"/>
                </w:rPr>
                <w:t>CEO Water Mandate</w:t>
              </w:r>
            </w:sdtContent>
          </w:sdt>
          <w:r>
            <w:rPr>
              <w:rFonts w:asciiTheme="minorHAnsi" w:hAnsiTheme="minorHAnsi" w:cstheme="minorHAnsi"/>
              <w:lang w:val="hr-HR"/>
            </w:rPr>
            <w:t xml:space="preserve"> </w:t>
          </w:r>
          <w:r>
            <w:rPr>
              <w:rFonts w:asciiTheme="minorHAnsi" w:hAnsiTheme="minorHAnsi" w:cstheme="minorHAnsi"/>
              <w:lang w:val="en-GB"/>
            </w:rPr>
            <w:t>and the</w:t>
          </w:r>
          <w:r>
            <w:rPr>
              <w:rFonts w:asciiTheme="minorHAnsi" w:hAnsiTheme="minorHAnsi" w:cstheme="minorHAnsi"/>
              <w:lang w:val="hr-HR"/>
            </w:rPr>
            <w:t xml:space="preserve"> </w:t>
          </w:r>
          <w:r>
            <w:rPr>
              <w:rFonts w:asciiTheme="minorHAnsi" w:hAnsiTheme="minorHAnsi" w:cstheme="minorHAnsi"/>
              <w:color w:val="000000"/>
              <w:sz w:val="22"/>
              <w:szCs w:val="22"/>
            </w:rPr>
            <w:t>Sustainable Ocean Business Action Platform,</w:t>
          </w:r>
          <w:sdt>
            <w:sdtPr>
              <w:rPr>
                <w:rFonts w:asciiTheme="minorHAnsi" w:hAnsiTheme="minorHAnsi" w:cstheme="minorHAnsi"/>
              </w:rPr>
              <w:tag w:val="goog_rdk_1198"/>
              <w:id w:val="627208534"/>
            </w:sdtPr>
            <w:sdtEndPr/>
            <w:sdtContent>
              <w:r>
                <w:rPr>
                  <w:rFonts w:asciiTheme="minorHAnsi" w:hAnsiTheme="minorHAnsi" w:cstheme="minorHAnsi"/>
                  <w:color w:val="000000"/>
                  <w:sz w:val="22"/>
                  <w:szCs w:val="22"/>
                </w:rPr>
                <w:t xml:space="preserve"> among others</w:t>
              </w:r>
            </w:sdtContent>
          </w:sdt>
          <w:sdt>
            <w:sdtPr>
              <w:rPr>
                <w:rFonts w:asciiTheme="minorHAnsi" w:hAnsiTheme="minorHAnsi" w:cstheme="minorHAnsi"/>
              </w:rPr>
              <w:tag w:val="goog_rdk_1199"/>
              <w:id w:val="-614145239"/>
            </w:sdtPr>
            <w:sdtEndPr/>
            <w:sdtContent>
              <w:sdt>
                <w:sdtPr>
                  <w:rPr>
                    <w:rFonts w:asciiTheme="minorHAnsi" w:hAnsiTheme="minorHAnsi" w:cstheme="minorHAnsi"/>
                  </w:rPr>
                  <w:tag w:val="goog_rdk_1200"/>
                  <w:id w:val="1017430341"/>
                </w:sdtPr>
                <w:sdtEndPr/>
                <w:sdtContent>
                  <w:r>
                    <w:rPr>
                      <w:rFonts w:asciiTheme="minorHAnsi" w:hAnsiTheme="minorHAnsi" w:cstheme="minorHAnsi"/>
                      <w:color w:val="000000"/>
                      <w:sz w:val="22"/>
                      <w:szCs w:val="22"/>
                    </w:rPr>
                    <w:t>)</w:t>
                  </w:r>
                </w:sdtContent>
              </w:sdt>
            </w:sdtContent>
          </w:sdt>
          <w:sdt>
            <w:sdtPr>
              <w:rPr>
                <w:rFonts w:asciiTheme="minorHAnsi" w:hAnsiTheme="minorHAnsi" w:cstheme="minorHAnsi"/>
              </w:rPr>
              <w:tag w:val="goog_rdk_1203"/>
              <w:id w:val="963230873"/>
            </w:sdtPr>
            <w:sdtEndPr/>
            <w:sdtContent>
              <w:r>
                <w:rPr>
                  <w:rFonts w:asciiTheme="minorHAnsi" w:hAnsiTheme="minorHAnsi" w:cstheme="minorHAnsi"/>
                  <w:color w:val="000000"/>
                  <w:sz w:val="22"/>
                  <w:szCs w:val="22"/>
                </w:rPr>
                <w:t xml:space="preserve"> interactive networking and effective dialogues will also take place at their already planned and identified regional and international meetings, with stakeholders and companies already vetted towards their commitment in water stewardship and sustainable ocean governance, to further engage and create new regional networking and dialogue opportunities and in the long term new regional partnerships. </w:t>
              </w:r>
            </w:sdtContent>
          </w:sdt>
        </w:p>
      </w:sdtContent>
    </w:sdt>
    <w:p w14:paraId="3BE98C90" w14:textId="77777777" w:rsidR="0071779B" w:rsidRDefault="0071779B" w:rsidP="0071779B">
      <w:pPr>
        <w:spacing w:before="280" w:after="280"/>
        <w:jc w:val="both"/>
        <w:rPr>
          <w:rFonts w:asciiTheme="minorHAnsi" w:hAnsiTheme="minorHAnsi" w:cstheme="minorHAnsi"/>
          <w:color w:val="000000"/>
          <w:sz w:val="22"/>
          <w:szCs w:val="22"/>
        </w:rPr>
      </w:pPr>
      <w:bookmarkStart w:id="30" w:name="_heading=h.z337ya"/>
      <w:bookmarkEnd w:id="30"/>
      <w:r>
        <w:rPr>
          <w:rFonts w:asciiTheme="minorHAnsi" w:hAnsiTheme="minorHAnsi" w:cstheme="minorHAnsi"/>
          <w:color w:val="000000"/>
          <w:sz w:val="22"/>
          <w:szCs w:val="22"/>
        </w:rPr>
        <w:t xml:space="preserve">The Sub‐component 5.2 will contribute towards the overall goal of the Component 5 by supporting further facilitation of partnerships via regional-level networking and dialogue events. </w:t>
      </w:r>
    </w:p>
    <w:p w14:paraId="09C23F5E"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The project PCU will work in close cooperation with the project’s partners, GEF Agencies, and the GEF IW portfolio projects to deliver and coordinate regional-level consultative processes and dialogues, including IW Investment Forums.</w:t>
      </w:r>
    </w:p>
    <w:p w14:paraId="7C059E76" w14:textId="77777777" w:rsidR="0071779B" w:rsidRDefault="0071779B" w:rsidP="0071779B">
      <w:pPr>
        <w:jc w:val="both"/>
        <w:rPr>
          <w:rFonts w:asciiTheme="minorHAnsi" w:hAnsiTheme="minorHAnsi" w:cstheme="minorHAnsi"/>
          <w:color w:val="000000"/>
          <w:sz w:val="22"/>
          <w:szCs w:val="22"/>
        </w:rPr>
      </w:pPr>
    </w:p>
    <w:p w14:paraId="7E9D003C" w14:textId="77777777" w:rsidR="0071779B" w:rsidRDefault="0071779B" w:rsidP="0071779B">
      <w:pPr>
        <w:jc w:val="both"/>
        <w:rPr>
          <w:rFonts w:asciiTheme="minorHAnsi" w:hAnsiTheme="minorHAnsi" w:cstheme="minorHAnsi"/>
          <w:color w:val="000000"/>
          <w:sz w:val="22"/>
          <w:szCs w:val="22"/>
        </w:rPr>
      </w:pPr>
      <w:r>
        <w:rPr>
          <w:rFonts w:asciiTheme="minorHAnsi" w:hAnsiTheme="minorHAnsi" w:cstheme="minorHAnsi"/>
          <w:color w:val="000000"/>
          <w:sz w:val="22"/>
          <w:szCs w:val="22"/>
        </w:rPr>
        <w:t>Sub‐component 5.2 is comprised of </w:t>
      </w:r>
      <w:sdt>
        <w:sdtPr>
          <w:rPr>
            <w:rFonts w:asciiTheme="minorHAnsi" w:hAnsiTheme="minorHAnsi" w:cstheme="minorHAnsi"/>
          </w:rPr>
          <w:tag w:val="goog_rdk_1206"/>
          <w:id w:val="-557785066"/>
        </w:sdtPr>
        <w:sdtEndPr/>
        <w:sdtContent>
          <w:r>
            <w:rPr>
              <w:rFonts w:asciiTheme="minorHAnsi" w:hAnsiTheme="minorHAnsi" w:cstheme="minorHAnsi"/>
              <w:color w:val="000000"/>
              <w:sz w:val="22"/>
              <w:szCs w:val="22"/>
            </w:rPr>
            <w:t>one </w:t>
          </w:r>
        </w:sdtContent>
      </w:sdt>
      <w:r>
        <w:rPr>
          <w:rFonts w:asciiTheme="minorHAnsi" w:hAnsiTheme="minorHAnsi" w:cstheme="minorHAnsi"/>
          <w:color w:val="000000"/>
          <w:sz w:val="22"/>
          <w:szCs w:val="22"/>
        </w:rPr>
        <w:t>activit</w:t>
      </w:r>
      <w:sdt>
        <w:sdtPr>
          <w:rPr>
            <w:rFonts w:asciiTheme="minorHAnsi" w:hAnsiTheme="minorHAnsi" w:cstheme="minorHAnsi"/>
          </w:rPr>
          <w:tag w:val="goog_rdk_1207"/>
          <w:id w:val="697590744"/>
        </w:sdtPr>
        <w:sdtEndPr/>
        <w:sdtContent>
          <w:r>
            <w:rPr>
              <w:rFonts w:asciiTheme="minorHAnsi" w:hAnsiTheme="minorHAnsi" w:cstheme="minorHAnsi"/>
              <w:color w:val="000000"/>
              <w:sz w:val="22"/>
              <w:szCs w:val="22"/>
            </w:rPr>
            <w:t>y</w:t>
          </w:r>
        </w:sdtContent>
      </w:sdt>
      <w:r>
        <w:rPr>
          <w:rFonts w:asciiTheme="minorHAnsi" w:hAnsiTheme="minorHAnsi" w:cstheme="minorHAnsi"/>
          <w:color w:val="000000"/>
          <w:sz w:val="22"/>
          <w:szCs w:val="22"/>
        </w:rPr>
        <w:t>: </w:t>
      </w:r>
    </w:p>
    <w:p w14:paraId="681F093C" w14:textId="77777777" w:rsidR="0071779B" w:rsidRDefault="0071779B" w:rsidP="0071779B">
      <w:pPr>
        <w:jc w:val="both"/>
        <w:rPr>
          <w:rFonts w:asciiTheme="minorHAnsi" w:hAnsiTheme="minorHAnsi" w:cstheme="minorHAnsi"/>
          <w:color w:val="000000"/>
          <w:sz w:val="22"/>
          <w:szCs w:val="22"/>
        </w:rPr>
      </w:pPr>
    </w:p>
    <w:p w14:paraId="09B2445A" w14:textId="77777777" w:rsidR="0071779B" w:rsidRDefault="0071779B" w:rsidP="0071779B">
      <w:pPr>
        <w:numPr>
          <w:ilvl w:val="0"/>
          <w:numId w:val="68"/>
        </w:numPr>
        <w:ind w:left="709" w:hanging="35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Activity 5.2.1: </w:t>
      </w:r>
      <w:sdt>
        <w:sdtPr>
          <w:rPr>
            <w:rFonts w:asciiTheme="minorHAnsi" w:hAnsiTheme="minorHAnsi" w:cstheme="minorHAnsi"/>
          </w:rPr>
          <w:tag w:val="goog_rdk_1209"/>
          <w:id w:val="-1496251613"/>
        </w:sdtPr>
        <w:sdtEndPr/>
        <w:sdtContent>
          <w:sdt>
            <w:sdtPr>
              <w:rPr>
                <w:rFonts w:asciiTheme="minorHAnsi" w:hAnsiTheme="minorHAnsi" w:cstheme="minorHAnsi"/>
              </w:rPr>
              <w:tag w:val="goog_rdk_1210"/>
              <w:id w:val="1827703117"/>
            </w:sdtPr>
            <w:sdtEndPr/>
            <w:sdtContent>
              <w:r>
                <w:rPr>
                  <w:rFonts w:asciiTheme="minorHAnsi" w:hAnsiTheme="minorHAnsi" w:cstheme="minorHAnsi"/>
                  <w:color w:val="000000"/>
                  <w:sz w:val="22"/>
                  <w:szCs w:val="22"/>
                </w:rPr>
                <w:t>Organization of regional IW Investment Forums and dialogues to potentially expand investment and partnership opportunities geared towards different regions</w:t>
              </w:r>
            </w:sdtContent>
          </w:sdt>
        </w:sdtContent>
      </w:sdt>
      <w:sdt>
        <w:sdtPr>
          <w:rPr>
            <w:rFonts w:asciiTheme="minorHAnsi" w:hAnsiTheme="minorHAnsi" w:cstheme="minorHAnsi"/>
          </w:rPr>
          <w:tag w:val="goog_rdk_1211"/>
          <w:id w:val="-1757045120"/>
          <w:showingPlcHdr/>
        </w:sdtPr>
        <w:sdtEndPr/>
        <w:sdtContent>
          <w:r>
            <w:rPr>
              <w:rFonts w:asciiTheme="minorHAnsi" w:hAnsiTheme="minorHAnsi" w:cstheme="minorHAnsi"/>
            </w:rPr>
            <w:t xml:space="preserve">     </w:t>
          </w:r>
        </w:sdtContent>
      </w:sdt>
      <w:sdt>
        <w:sdtPr>
          <w:rPr>
            <w:rFonts w:asciiTheme="minorHAnsi" w:hAnsiTheme="minorHAnsi" w:cstheme="minorHAnsi"/>
          </w:rPr>
          <w:tag w:val="goog_rdk_1212"/>
          <w:id w:val="1205829091"/>
        </w:sdtPr>
        <w:sdtEndPr/>
        <w:sdtContent>
          <w:sdt>
            <w:sdtPr>
              <w:rPr>
                <w:rFonts w:asciiTheme="minorHAnsi" w:hAnsiTheme="minorHAnsi" w:cstheme="minorHAnsi"/>
              </w:rPr>
              <w:tag w:val="goog_rdk_1213"/>
              <w:id w:val="-308394940"/>
              <w:showingPlcHdr/>
            </w:sdtPr>
            <w:sdtEndPr/>
            <w:sdtContent>
              <w:r>
                <w:rPr>
                  <w:rFonts w:asciiTheme="minorHAnsi" w:hAnsiTheme="minorHAnsi" w:cstheme="minorHAnsi"/>
                </w:rPr>
                <w:t xml:space="preserve">     </w:t>
              </w:r>
            </w:sdtContent>
          </w:sdt>
        </w:sdtContent>
      </w:sdt>
      <w:r>
        <w:rPr>
          <w:rFonts w:asciiTheme="minorHAnsi" w:hAnsiTheme="minorHAnsi" w:cstheme="minorHAnsi"/>
          <w:color w:val="000000"/>
          <w:sz w:val="22"/>
          <w:szCs w:val="22"/>
        </w:rPr>
        <w:t xml:space="preserve"> </w:t>
      </w:r>
    </w:p>
    <w:p w14:paraId="19A44ACB" w14:textId="3F4CBAFE" w:rsidR="0071779B" w:rsidRPr="00F439E2" w:rsidRDefault="0071779B" w:rsidP="00F439E2">
      <w:pPr>
        <w:spacing w:before="280" w:after="280"/>
        <w:jc w:val="both"/>
        <w:rPr>
          <w:rFonts w:asciiTheme="minorHAnsi" w:hAnsiTheme="minorHAnsi" w:cstheme="minorHAnsi"/>
          <w:b/>
          <w:color w:val="000000"/>
          <w:sz w:val="22"/>
          <w:szCs w:val="22"/>
        </w:rPr>
      </w:pPr>
      <w:bookmarkStart w:id="31" w:name="_heading=h.3j2qqm3"/>
      <w:bookmarkEnd w:id="31"/>
      <w:r>
        <w:rPr>
          <w:rFonts w:asciiTheme="minorHAnsi" w:hAnsiTheme="minorHAnsi"/>
          <w:sz w:val="22"/>
          <w:szCs w:val="22"/>
        </w:rPr>
        <w:t xml:space="preserve">Due to the COVID-19 pandemics, constraints on travel and group gatherings will affect the implementation of the activities in this sub-component during the first year of the project’s </w:t>
      </w:r>
      <w:r>
        <w:rPr>
          <w:rFonts w:asciiTheme="minorHAnsi" w:hAnsiTheme="minorHAnsi"/>
          <w:sz w:val="22"/>
          <w:szCs w:val="22"/>
        </w:rPr>
        <w:lastRenderedPageBreak/>
        <w:t>implementation. Other options are being considered such as on-line or remote communication options. They will be used where necessary, adjusting some of the equipment related costs to ensure equal opportunity to all beneficiaries.</w:t>
      </w:r>
    </w:p>
    <w:p w14:paraId="1C284E4A" w14:textId="4F00F62F" w:rsidR="0071779B" w:rsidRDefault="0071779B" w:rsidP="0071779B">
      <w:pPr>
        <w:pStyle w:val="Heading5"/>
        <w:rPr>
          <w:rFonts w:asciiTheme="minorHAnsi" w:hAnsiTheme="minorHAnsi" w:cstheme="minorHAnsi"/>
          <w:b/>
          <w:bCs/>
          <w:color w:val="000000" w:themeColor="text1"/>
          <w:sz w:val="22"/>
          <w:szCs w:val="22"/>
        </w:rPr>
      </w:pPr>
      <w:r w:rsidRPr="0071779B">
        <w:rPr>
          <w:rFonts w:asciiTheme="minorHAnsi" w:hAnsiTheme="minorHAnsi" w:cstheme="minorHAnsi"/>
          <w:b/>
          <w:bCs/>
          <w:color w:val="000000" w:themeColor="text1"/>
          <w:sz w:val="22"/>
          <w:szCs w:val="22"/>
        </w:rPr>
        <w:t>Activity 5.2.1: Organization of regional IW Investment Forums and dialogues to potentially expand investment and partnership opportunities geared towards different regions</w:t>
      </w:r>
    </w:p>
    <w:p w14:paraId="7954E3DD" w14:textId="77777777" w:rsidR="0071779B" w:rsidRDefault="0071779B" w:rsidP="0071779B">
      <w:pPr>
        <w:jc w:val="both"/>
        <w:rPr>
          <w:rFonts w:asciiTheme="minorHAnsi" w:hAnsiTheme="minorHAnsi" w:cstheme="minorHAnsi"/>
          <w:color w:val="000000"/>
        </w:rPr>
      </w:pPr>
      <w:r>
        <w:rPr>
          <w:rFonts w:asciiTheme="minorHAnsi" w:hAnsiTheme="minorHAnsi" w:cstheme="minorHAnsi"/>
          <w:color w:val="000000"/>
          <w:sz w:val="22"/>
          <w:szCs w:val="22"/>
        </w:rPr>
        <w:t xml:space="preserve">Targeted consultative processes and dialogues, both at national and regional levels, are a continuation of processes and dialogues between the projects and business community to present the projects to businesses and stimulate the interest for the sharing of success stories, limitations (on the regional or national context) and opportunities for private and public sector engagement and partnerships. </w:t>
      </w:r>
    </w:p>
    <w:p w14:paraId="48B6902B" w14:textId="77777777" w:rsidR="0071779B" w:rsidRDefault="0071779B" w:rsidP="0071779B">
      <w:pPr>
        <w:spacing w:before="280" w:after="280"/>
        <w:jc w:val="both"/>
        <w:rPr>
          <w:rFonts w:asciiTheme="minorHAnsi" w:hAnsiTheme="minorHAnsi" w:cstheme="minorHAnsi"/>
          <w:color w:val="000000"/>
          <w:sz w:val="22"/>
          <w:szCs w:val="22"/>
        </w:rPr>
      </w:pPr>
      <w:r>
        <w:rPr>
          <w:rFonts w:asciiTheme="minorHAnsi" w:hAnsiTheme="minorHAnsi" w:cstheme="minorHAnsi"/>
          <w:color w:val="000000"/>
          <w:sz w:val="22"/>
          <w:szCs w:val="22"/>
        </w:rPr>
        <w:t>Regional engagement with the private sector should be the starting point through small</w:t>
      </w:r>
      <w:r>
        <w:rPr>
          <w:rFonts w:asciiTheme="minorHAnsi" w:hAnsiTheme="minorHAnsi" w:cstheme="minorHAnsi"/>
          <w:sz w:val="22"/>
          <w:szCs w:val="22"/>
        </w:rPr>
        <w:t xml:space="preserve"> </w:t>
      </w:r>
      <w:r>
        <w:rPr>
          <w:rFonts w:asciiTheme="minorHAnsi" w:hAnsiTheme="minorHAnsi" w:cstheme="minorHAnsi"/>
          <w:color w:val="000000"/>
          <w:sz w:val="22"/>
          <w:szCs w:val="22"/>
        </w:rPr>
        <w:t>consultations. Exchange of information is needed among projects even if not within the same region to share opportunities and best practices.</w:t>
      </w:r>
    </w:p>
    <w:p w14:paraId="1EC59744"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The PCU will coordinate and organize regional-level consultative processes and dialogues, in close cooperation with the following partners:</w:t>
      </w:r>
    </w:p>
    <w:sdt>
      <w:sdtPr>
        <w:rPr>
          <w:rFonts w:asciiTheme="minorHAnsi" w:hAnsiTheme="minorHAnsi" w:cstheme="minorHAnsi"/>
        </w:rPr>
        <w:tag w:val="goog_rdk_1224"/>
        <w:id w:val="-2046357650"/>
      </w:sdtPr>
      <w:sdtEndPr/>
      <w:sdtContent>
        <w:p w14:paraId="1D48D6C9" w14:textId="77777777" w:rsidR="0071779B" w:rsidRDefault="00F57A55" w:rsidP="0071779B">
          <w:pPr>
            <w:spacing w:before="280" w:after="280"/>
            <w:jc w:val="both"/>
            <w:rPr>
              <w:rFonts w:asciiTheme="minorHAnsi" w:hAnsiTheme="minorHAnsi" w:cstheme="minorHAnsi"/>
              <w:sz w:val="22"/>
              <w:szCs w:val="22"/>
            </w:rPr>
          </w:pPr>
          <w:sdt>
            <w:sdtPr>
              <w:rPr>
                <w:rFonts w:asciiTheme="minorHAnsi" w:hAnsiTheme="minorHAnsi" w:cstheme="minorHAnsi"/>
              </w:rPr>
              <w:tag w:val="goog_rdk_1223"/>
              <w:id w:val="-68576860"/>
            </w:sdtPr>
            <w:sdtEndPr/>
            <w:sdtContent>
              <w:r w:rsidR="0071779B">
                <w:rPr>
                  <w:rFonts w:asciiTheme="minorHAnsi" w:hAnsiTheme="minorHAnsi" w:cstheme="minorHAnsi"/>
                  <w:color w:val="000000"/>
                  <w:sz w:val="22"/>
                  <w:szCs w:val="22"/>
                </w:rPr>
                <w:t xml:space="preserve">GEF IW:LEARN will work with the Advisory Panel to identify company representatives and Local Network Managers to attend regional IW Investment Forums or dialogues (virtually or face-to-face) arranged by the project and/or its partners. These are intended to be mutually beneficial opportunities for engagement between the business community and the GEF IW portfolio of projects. To maximize efficiency, the IW investment Forums would also take advantage of </w:t>
              </w:r>
              <w:r w:rsidR="0071779B">
                <w:rPr>
                  <w:rFonts w:asciiTheme="minorHAnsi" w:hAnsiTheme="minorHAnsi" w:cstheme="minorHAnsi"/>
                  <w:sz w:val="22"/>
                  <w:szCs w:val="22"/>
                </w:rPr>
                <w:t xml:space="preserve">the GEF Biennial International Waters Conference; Regional Workshops; and the Annual Large Marine Ecosystem Consultation Meetings as opportunities for targeted private sector engagement. </w:t>
              </w:r>
            </w:sdtContent>
          </w:sdt>
        </w:p>
      </w:sdtContent>
    </w:sdt>
    <w:sdt>
      <w:sdtPr>
        <w:rPr>
          <w:rFonts w:asciiTheme="minorHAnsi" w:hAnsiTheme="minorHAnsi" w:cstheme="minorHAnsi"/>
        </w:rPr>
        <w:tag w:val="goog_rdk_1228"/>
        <w:id w:val="-1602954847"/>
      </w:sdtPr>
      <w:sdtEndPr/>
      <w:sdtContent>
        <w:p w14:paraId="0E6490A6" w14:textId="77777777" w:rsidR="0071779B" w:rsidRDefault="00F57A55" w:rsidP="0071779B">
          <w:pPr>
            <w:spacing w:before="280" w:after="280"/>
            <w:jc w:val="both"/>
            <w:rPr>
              <w:rFonts w:asciiTheme="minorHAnsi" w:hAnsiTheme="minorHAnsi" w:cstheme="minorHAnsi"/>
              <w:sz w:val="22"/>
              <w:szCs w:val="22"/>
            </w:rPr>
          </w:pPr>
          <w:sdt>
            <w:sdtPr>
              <w:rPr>
                <w:rFonts w:asciiTheme="minorHAnsi" w:hAnsiTheme="minorHAnsi" w:cstheme="minorHAnsi"/>
              </w:rPr>
              <w:tag w:val="goog_rdk_1225"/>
              <w:id w:val="1194495358"/>
            </w:sdtPr>
            <w:sdtEndPr/>
            <w:sdtContent>
              <w:r w:rsidR="0071779B">
                <w:rPr>
                  <w:rFonts w:asciiTheme="minorHAnsi" w:hAnsiTheme="minorHAnsi" w:cstheme="minorHAnsi"/>
                  <w:sz w:val="22"/>
                  <w:szCs w:val="22"/>
                </w:rPr>
                <w:t>The PCU will coordinate and organize the IW Investment Forums and dialogues, in close co-operation with the following partners</w:t>
              </w:r>
            </w:sdtContent>
          </w:sdt>
          <w:sdt>
            <w:sdtPr>
              <w:rPr>
                <w:rFonts w:asciiTheme="minorHAnsi" w:hAnsiTheme="minorHAnsi" w:cstheme="minorHAnsi"/>
              </w:rPr>
              <w:tag w:val="goog_rdk_1226"/>
              <w:id w:val="-2076662501"/>
            </w:sdtPr>
            <w:sdtEndPr/>
            <w:sdtContent>
              <w:r w:rsidR="0071779B">
                <w:rPr>
                  <w:rFonts w:asciiTheme="minorHAnsi" w:hAnsiTheme="minorHAnsi" w:cstheme="minorHAnsi"/>
                  <w:sz w:val="22"/>
                  <w:szCs w:val="22"/>
                </w:rPr>
                <w:t>, where relevant and possible</w:t>
              </w:r>
            </w:sdtContent>
          </w:sdt>
          <w:sdt>
            <w:sdtPr>
              <w:rPr>
                <w:rFonts w:asciiTheme="minorHAnsi" w:hAnsiTheme="minorHAnsi" w:cstheme="minorHAnsi"/>
              </w:rPr>
              <w:tag w:val="goog_rdk_1227"/>
              <w:id w:val="1319923329"/>
            </w:sdtPr>
            <w:sdtEndPr/>
            <w:sdtContent>
              <w:r w:rsidR="0071779B">
                <w:rPr>
                  <w:rFonts w:asciiTheme="minorHAnsi" w:hAnsiTheme="minorHAnsi" w:cstheme="minorHAnsi"/>
                  <w:sz w:val="22"/>
                  <w:szCs w:val="22"/>
                </w:rPr>
                <w:t>:</w:t>
              </w:r>
            </w:sdtContent>
          </w:sdt>
        </w:p>
      </w:sdtContent>
    </w:sdt>
    <w:sdt>
      <w:sdtPr>
        <w:rPr>
          <w:rFonts w:asciiTheme="minorHAnsi" w:hAnsiTheme="minorHAnsi" w:cstheme="minorHAnsi"/>
        </w:rPr>
        <w:tag w:val="goog_rdk_1230"/>
        <w:id w:val="-585149721"/>
      </w:sdtPr>
      <w:sdtEndPr/>
      <w:sdtContent>
        <w:p w14:paraId="430DE98D" w14:textId="77777777" w:rsidR="0071779B" w:rsidRDefault="00F57A55" w:rsidP="0071779B">
          <w:pPr>
            <w:numPr>
              <w:ilvl w:val="0"/>
              <w:numId w:val="69"/>
            </w:numPr>
            <w:jc w:val="both"/>
            <w:rPr>
              <w:rFonts w:asciiTheme="minorHAnsi" w:hAnsiTheme="minorHAnsi" w:cstheme="minorHAnsi"/>
              <w:color w:val="000000"/>
              <w:sz w:val="22"/>
              <w:szCs w:val="22"/>
            </w:rPr>
          </w:pPr>
          <w:sdt>
            <w:sdtPr>
              <w:rPr>
                <w:rFonts w:asciiTheme="minorHAnsi" w:hAnsiTheme="minorHAnsi" w:cstheme="minorHAnsi"/>
              </w:rPr>
              <w:tag w:val="goog_rdk_1229"/>
              <w:id w:val="1680772948"/>
            </w:sdtPr>
            <w:sdtEndPr/>
            <w:sdtContent>
              <w:r w:rsidR="0071779B">
                <w:rPr>
                  <w:rFonts w:asciiTheme="minorHAnsi" w:hAnsiTheme="minorHAnsi" w:cstheme="minorHAnsi"/>
                  <w:color w:val="000000"/>
                  <w:sz w:val="22"/>
                  <w:szCs w:val="22"/>
                </w:rPr>
                <w:t xml:space="preserve">The </w:t>
              </w:r>
              <w:r w:rsidR="0071779B">
                <w:rPr>
                  <w:rFonts w:asciiTheme="minorHAnsi" w:hAnsiTheme="minorHAnsi" w:cstheme="minorHAnsi"/>
                  <w:color w:val="000000"/>
                  <w:sz w:val="22"/>
                  <w:szCs w:val="22"/>
                  <w:lang w:val="hr-HR"/>
                </w:rPr>
                <w:t xml:space="preserve">UN Global Compact's </w:t>
              </w:r>
              <w:r w:rsidR="0071779B">
                <w:rPr>
                  <w:rFonts w:asciiTheme="minorHAnsi" w:hAnsiTheme="minorHAnsi" w:cstheme="minorHAnsi"/>
                  <w:color w:val="000000"/>
                  <w:sz w:val="22"/>
                  <w:szCs w:val="22"/>
                </w:rPr>
                <w:t>CEO Water Mandate via their Water Action Hub and Water Resilience Coalition</w:t>
              </w:r>
              <w:r w:rsidR="0071779B">
                <w:rPr>
                  <w:rFonts w:asciiTheme="minorHAnsi" w:hAnsiTheme="minorHAnsi" w:cstheme="minorHAnsi"/>
                  <w:color w:val="000000"/>
                  <w:sz w:val="22"/>
                  <w:szCs w:val="22"/>
                  <w:lang w:val="hr-HR"/>
                </w:rPr>
                <w:t xml:space="preserve"> </w:t>
              </w:r>
              <w:r w:rsidR="0071779B">
                <w:rPr>
                  <w:rFonts w:asciiTheme="minorHAnsi" w:hAnsiTheme="minorHAnsi" w:cstheme="minorHAnsi"/>
                  <w:color w:val="000000"/>
                  <w:sz w:val="22"/>
                  <w:szCs w:val="22"/>
                  <w:lang w:val="en-GB"/>
                </w:rPr>
                <w:t>and the Sustainable Ocean Business Action Platform</w:t>
              </w:r>
              <w:r w:rsidR="0071779B">
                <w:rPr>
                  <w:rFonts w:asciiTheme="minorHAnsi" w:hAnsiTheme="minorHAnsi" w:cstheme="minorHAnsi"/>
                  <w:color w:val="000000"/>
                  <w:sz w:val="22"/>
                  <w:szCs w:val="22"/>
                </w:rPr>
                <w:t xml:space="preserve">; </w:t>
              </w:r>
            </w:sdtContent>
          </w:sdt>
        </w:p>
      </w:sdtContent>
    </w:sdt>
    <w:sdt>
      <w:sdtPr>
        <w:rPr>
          <w:rFonts w:asciiTheme="minorHAnsi" w:hAnsiTheme="minorHAnsi" w:cstheme="minorHAnsi"/>
        </w:rPr>
        <w:tag w:val="goog_rdk_1234"/>
        <w:id w:val="1152649892"/>
      </w:sdtPr>
      <w:sdtEndPr/>
      <w:sdtContent>
        <w:p w14:paraId="07C59760" w14:textId="77777777" w:rsidR="0071779B" w:rsidRDefault="00F57A55" w:rsidP="0071779B">
          <w:pPr>
            <w:numPr>
              <w:ilvl w:val="0"/>
              <w:numId w:val="69"/>
            </w:numPr>
            <w:jc w:val="both"/>
            <w:rPr>
              <w:rFonts w:asciiTheme="minorHAnsi" w:hAnsiTheme="minorHAnsi" w:cstheme="minorHAnsi"/>
              <w:color w:val="000000"/>
              <w:sz w:val="22"/>
              <w:szCs w:val="22"/>
            </w:rPr>
          </w:pPr>
          <w:sdt>
            <w:sdtPr>
              <w:rPr>
                <w:rFonts w:asciiTheme="minorHAnsi" w:hAnsiTheme="minorHAnsi" w:cstheme="minorHAnsi"/>
              </w:rPr>
              <w:tag w:val="goog_rdk_1233"/>
              <w:id w:val="-1954555094"/>
            </w:sdtPr>
            <w:sdtEndPr/>
            <w:sdtContent>
              <w:r w:rsidR="0071779B">
                <w:rPr>
                  <w:rFonts w:asciiTheme="minorHAnsi" w:hAnsiTheme="minorHAnsi" w:cstheme="minorHAnsi"/>
                  <w:color w:val="000000"/>
                  <w:sz w:val="22"/>
                  <w:szCs w:val="22"/>
                </w:rPr>
                <w:t xml:space="preserve">The REV Ocean, under the </w:t>
              </w:r>
              <w:r w:rsidR="0071779B">
                <w:rPr>
                  <w:rFonts w:asciiTheme="minorHAnsi" w:hAnsiTheme="minorHAnsi" w:cstheme="minorHAnsi"/>
                  <w:sz w:val="22"/>
                  <w:szCs w:val="22"/>
                </w:rPr>
                <w:t xml:space="preserve">Partnership Agreement with IOC of UNESCO, </w:t>
              </w:r>
              <w:r w:rsidR="0071779B">
                <w:rPr>
                  <w:rFonts w:asciiTheme="minorHAnsi" w:hAnsiTheme="minorHAnsi" w:cstheme="minorHAnsi"/>
                  <w:color w:val="000000"/>
                  <w:sz w:val="22"/>
                  <w:szCs w:val="22"/>
                </w:rPr>
                <w:t xml:space="preserve">will offer the vessel will be used as a platform to host regional dialogues linking businesses and GEF IW projects. </w:t>
              </w:r>
            </w:sdtContent>
          </w:sdt>
        </w:p>
      </w:sdtContent>
    </w:sdt>
    <w:sdt>
      <w:sdtPr>
        <w:rPr>
          <w:rFonts w:asciiTheme="minorHAnsi" w:hAnsiTheme="minorHAnsi" w:cstheme="minorHAnsi"/>
        </w:rPr>
        <w:tag w:val="goog_rdk_1236"/>
        <w:id w:val="516656805"/>
      </w:sdtPr>
      <w:sdtEndPr/>
      <w:sdtContent>
        <w:sdt>
          <w:sdtPr>
            <w:rPr>
              <w:rFonts w:asciiTheme="minorHAnsi" w:hAnsiTheme="minorHAnsi" w:cstheme="minorHAnsi"/>
            </w:rPr>
            <w:tag w:val="goog_rdk_1235"/>
            <w:id w:val="2050095295"/>
          </w:sdtPr>
          <w:sdtEndPr/>
          <w:sdtContent>
            <w:p w14:paraId="424CE67C" w14:textId="77777777" w:rsidR="0071779B" w:rsidRDefault="0071779B" w:rsidP="0071779B">
              <w:pPr>
                <w:numPr>
                  <w:ilvl w:val="0"/>
                  <w:numId w:val="6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GEF IW:LEARN will partner under UNECE’s leadership to organize the </w:t>
              </w:r>
              <w:hyperlink r:id="rId23" w:history="1">
                <w:r>
                  <w:rPr>
                    <w:rStyle w:val="Hyperlink"/>
                    <w:rFonts w:asciiTheme="minorHAnsi" w:hAnsiTheme="minorHAnsi" w:cstheme="minorHAnsi"/>
                    <w:sz w:val="22"/>
                    <w:szCs w:val="22"/>
                  </w:rPr>
                  <w:t>Global workshop on financing of transboundary water cooperation and basin development</w:t>
                </w:r>
              </w:hyperlink>
              <w:r>
                <w:rPr>
                  <w:rFonts w:asciiTheme="minorHAnsi" w:hAnsiTheme="minorHAnsi" w:cstheme="minorHAnsi"/>
                  <w:color w:val="000000"/>
                  <w:sz w:val="22"/>
                  <w:szCs w:val="22"/>
                </w:rPr>
                <w:t xml:space="preserve"> in Geneva, together with Switzerland, the Netherlands, Asian Development Bank (ADB), African Development Bank (AfDB), European Investment Bank (EIB), The Inter-American Development Bank (IDB), OECD and the World Bank. Based on a background study, the workshop will review different sources of funding (e.g. national funds, revenue from joint infrastructure, water fees, external donor funding from bilateral and multilateral sources and innovative financial tools, private sector). </w:t>
              </w:r>
            </w:p>
            <w:p w14:paraId="1B330E1F" w14:textId="77777777" w:rsidR="0071779B" w:rsidRDefault="0071779B" w:rsidP="0071779B">
              <w:pPr>
                <w:numPr>
                  <w:ilvl w:val="0"/>
                  <w:numId w:val="69"/>
                </w:numPr>
                <w:jc w:val="both"/>
                <w:rPr>
                  <w:rFonts w:asciiTheme="minorHAnsi" w:hAnsiTheme="minorHAnsi" w:cstheme="minorHAnsi"/>
                  <w:color w:val="000000"/>
                  <w:sz w:val="22"/>
                  <w:szCs w:val="22"/>
                </w:rPr>
              </w:pPr>
              <w:r>
                <w:rPr>
                  <w:rFonts w:asciiTheme="minorHAnsi" w:hAnsiTheme="minorHAnsi" w:cstheme="minorHAnsi"/>
                  <w:color w:val="000000"/>
                  <w:sz w:val="22"/>
                  <w:szCs w:val="22"/>
                </w:rPr>
                <w:t>IBRD will assist GEF IW projects in promoting the data and knowledge type of investments, and bring the experience of the non-GEF work on International Waters carried out in the IBRD;</w:t>
              </w:r>
            </w:p>
            <w:p w14:paraId="10B18465" w14:textId="77777777" w:rsidR="0071779B" w:rsidRDefault="0071779B" w:rsidP="0071779B">
              <w:pPr>
                <w:numPr>
                  <w:ilvl w:val="0"/>
                  <w:numId w:val="69"/>
                </w:numPr>
                <w:jc w:val="both"/>
                <w:rPr>
                  <w:rFonts w:asciiTheme="minorHAnsi" w:hAnsiTheme="minorHAnsi" w:cstheme="minorHAnsi"/>
                  <w:color w:val="000000"/>
                  <w:sz w:val="22"/>
                  <w:szCs w:val="22"/>
                </w:rPr>
              </w:pPr>
              <w:r>
                <w:rPr>
                  <w:rFonts w:asciiTheme="minorHAnsi" w:hAnsiTheme="minorHAnsi" w:cstheme="minorHAnsi"/>
                  <w:color w:val="000000"/>
                  <w:sz w:val="22"/>
                  <w:szCs w:val="22"/>
                </w:rPr>
                <w:t>Inter-American Development Bank will facilitate partnerships with projects and the business community</w:t>
              </w:r>
            </w:p>
          </w:sdtContent>
        </w:sdt>
      </w:sdtContent>
    </w:sdt>
    <w:p w14:paraId="0530D4F6" w14:textId="77777777" w:rsidR="0071779B" w:rsidRDefault="0071779B" w:rsidP="0071779B">
      <w:pPr>
        <w:numPr>
          <w:ilvl w:val="0"/>
          <w:numId w:val="69"/>
        </w:numPr>
        <w:ind w:left="714" w:hanging="35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Nature Conservancy (TNC) will test the Nature Based Solution (NBS) methodology against existing case studies, develop a consultative process to share and receive feedback on the methodology from private sector, public sector and other stakeholders, and adapt the methodology based on this feedback. The approach should be tailored specifically to the GEF IW context when speaking about attracting investments. Partnership and activities must be </w:t>
      </w:r>
      <w:r>
        <w:rPr>
          <w:rFonts w:asciiTheme="minorHAnsi" w:hAnsiTheme="minorHAnsi" w:cstheme="minorHAnsi"/>
          <w:color w:val="000000"/>
          <w:sz w:val="22"/>
          <w:szCs w:val="22"/>
        </w:rPr>
        <w:lastRenderedPageBreak/>
        <w:t>focused on what is relevant to GEF IW projects and what can be actualized during their implementation by their PCUs. Nature based solutions as an attraction for private sector.</w:t>
      </w:r>
    </w:p>
    <w:p w14:paraId="3D6692AC" w14:textId="77777777" w:rsidR="0071779B" w:rsidRDefault="0071779B" w:rsidP="0071779B">
      <w:pPr>
        <w:numPr>
          <w:ilvl w:val="0"/>
          <w:numId w:val="69"/>
        </w:numPr>
        <w:ind w:left="714" w:hanging="35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UNECE will support the sub-component via follow-up activities in connection with the global workshop and process on Financing Transboundary Water Cooperation and Basin Development</w:t>
      </w:r>
    </w:p>
    <w:p w14:paraId="1D0DCFD1" w14:textId="77777777" w:rsidR="0071779B" w:rsidRPr="0071779B" w:rsidRDefault="0071779B" w:rsidP="0071779B"/>
    <w:p w14:paraId="35EA4238" w14:textId="74C3DA99" w:rsidR="0071779B" w:rsidRDefault="0071779B" w:rsidP="0071779B">
      <w:pPr>
        <w:pStyle w:val="Heading4"/>
        <w:rPr>
          <w:rFonts w:asciiTheme="minorHAnsi" w:hAnsiTheme="minorHAnsi" w:cstheme="minorHAnsi"/>
          <w:b/>
          <w:bCs/>
          <w:i w:val="0"/>
          <w:iCs w:val="0"/>
          <w:color w:val="000000" w:themeColor="text1"/>
        </w:rPr>
      </w:pPr>
      <w:r w:rsidRPr="0032322D">
        <w:rPr>
          <w:rFonts w:asciiTheme="minorHAnsi" w:hAnsiTheme="minorHAnsi" w:cstheme="minorHAnsi"/>
          <w:b/>
          <w:bCs/>
          <w:i w:val="0"/>
          <w:iCs w:val="0"/>
          <w:color w:val="000000" w:themeColor="text1"/>
        </w:rPr>
        <w:t xml:space="preserve">Sub-component </w:t>
      </w:r>
      <w:r>
        <w:rPr>
          <w:rFonts w:asciiTheme="minorHAnsi" w:hAnsiTheme="minorHAnsi" w:cstheme="minorHAnsi"/>
          <w:b/>
          <w:bCs/>
          <w:i w:val="0"/>
          <w:iCs w:val="0"/>
          <w:color w:val="000000" w:themeColor="text1"/>
        </w:rPr>
        <w:t>5.3</w:t>
      </w:r>
      <w:r w:rsidR="00F439E2">
        <w:rPr>
          <w:rFonts w:asciiTheme="minorHAnsi" w:hAnsiTheme="minorHAnsi" w:cstheme="minorHAnsi"/>
          <w:b/>
          <w:bCs/>
          <w:i w:val="0"/>
          <w:iCs w:val="0"/>
          <w:color w:val="000000" w:themeColor="text1"/>
        </w:rPr>
        <w:t xml:space="preserve">: </w:t>
      </w:r>
      <w:r w:rsidR="00F439E2" w:rsidRPr="00F439E2">
        <w:rPr>
          <w:rFonts w:asciiTheme="minorHAnsi" w:hAnsiTheme="minorHAnsi" w:cstheme="minorHAnsi"/>
          <w:b/>
          <w:bCs/>
          <w:i w:val="0"/>
          <w:iCs w:val="0"/>
          <w:color w:val="000000" w:themeColor="text1"/>
        </w:rPr>
        <w:t>Training support to portfolio on attracting sustainable financing to address SAP investment priorities (UNDP)</w:t>
      </w:r>
    </w:p>
    <w:p w14:paraId="14CD6DAA" w14:textId="77777777" w:rsidR="0071779B" w:rsidRDefault="0071779B" w:rsidP="0071779B">
      <w:pPr>
        <w:shd w:val="clear" w:color="auto" w:fill="D0CECE"/>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Summary of outputs, outcomes and budget    </w:t>
      </w:r>
    </w:p>
    <w:p w14:paraId="27F4DB97" w14:textId="77777777" w:rsidR="0071779B" w:rsidRDefault="0071779B" w:rsidP="0071779B">
      <w:pPr>
        <w:shd w:val="clear" w:color="auto" w:fill="D0CECE"/>
        <w:jc w:val="both"/>
        <w:rPr>
          <w:rFonts w:asciiTheme="minorHAnsi" w:hAnsiTheme="minorHAnsi" w:cstheme="minorHAnsi"/>
          <w:color w:val="000000"/>
          <w:sz w:val="22"/>
          <w:szCs w:val="22"/>
        </w:rPr>
      </w:pPr>
    </w:p>
    <w:p w14:paraId="7798F89C"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The expected </w:t>
      </w:r>
      <w:r>
        <w:rPr>
          <w:rFonts w:asciiTheme="minorHAnsi" w:hAnsiTheme="minorHAnsi" w:cstheme="minorHAnsi"/>
          <w:b/>
          <w:color w:val="000000"/>
          <w:sz w:val="22"/>
          <w:szCs w:val="22"/>
        </w:rPr>
        <w:t>output </w:t>
      </w:r>
      <w:r>
        <w:rPr>
          <w:rFonts w:asciiTheme="minorHAnsi" w:hAnsiTheme="minorHAnsi" w:cstheme="minorHAnsi"/>
          <w:color w:val="000000"/>
          <w:sz w:val="22"/>
          <w:szCs w:val="22"/>
        </w:rPr>
        <w:t xml:space="preserve">from sub‐component 5.3 is: </w:t>
      </w:r>
    </w:p>
    <w:p w14:paraId="428660D3" w14:textId="77777777" w:rsidR="0071779B" w:rsidRDefault="0071779B" w:rsidP="0071779B">
      <w:pPr>
        <w:shd w:val="clear" w:color="auto" w:fill="D0CECE"/>
        <w:jc w:val="both"/>
        <w:rPr>
          <w:rFonts w:asciiTheme="minorHAnsi" w:hAnsiTheme="minorHAnsi" w:cstheme="minorHAnsi"/>
          <w:color w:val="000000"/>
          <w:sz w:val="22"/>
          <w:szCs w:val="22"/>
        </w:rPr>
      </w:pPr>
    </w:p>
    <w:p w14:paraId="383D44B6"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Training support to portfolio on attracting sustainable financing to address SAP investment priorities</w:t>
      </w:r>
    </w:p>
    <w:p w14:paraId="2181CD97" w14:textId="77777777" w:rsidR="0071779B" w:rsidRDefault="0071779B" w:rsidP="0071779B">
      <w:pPr>
        <w:shd w:val="clear" w:color="auto" w:fill="D0CECE"/>
        <w:jc w:val="both"/>
        <w:rPr>
          <w:rFonts w:asciiTheme="minorHAnsi" w:hAnsiTheme="minorHAnsi" w:cstheme="minorHAnsi"/>
          <w:color w:val="000000"/>
          <w:sz w:val="22"/>
          <w:szCs w:val="22"/>
        </w:rPr>
      </w:pPr>
    </w:p>
    <w:p w14:paraId="0BB8DAAC" w14:textId="77777777" w:rsidR="0071779B" w:rsidRDefault="0071779B" w:rsidP="0071779B">
      <w:pPr>
        <w:shd w:val="clear" w:color="auto" w:fill="D0CECE"/>
        <w:jc w:val="both"/>
        <w:rPr>
          <w:rFonts w:asciiTheme="minorHAnsi" w:hAnsiTheme="minorHAnsi" w:cstheme="minorHAnsi"/>
          <w:color w:val="000000"/>
          <w:sz w:val="22"/>
          <w:szCs w:val="22"/>
        </w:rPr>
      </w:pPr>
      <w:r>
        <w:rPr>
          <w:rFonts w:asciiTheme="minorHAnsi" w:hAnsiTheme="minorHAnsi" w:cstheme="minorHAnsi"/>
          <w:color w:val="000000"/>
          <w:sz w:val="22"/>
          <w:szCs w:val="22"/>
        </w:rPr>
        <w:t>The expected </w:t>
      </w:r>
      <w:r>
        <w:rPr>
          <w:rFonts w:asciiTheme="minorHAnsi" w:hAnsiTheme="minorHAnsi" w:cstheme="minorHAnsi"/>
          <w:b/>
          <w:color w:val="000000"/>
          <w:sz w:val="22"/>
          <w:szCs w:val="22"/>
        </w:rPr>
        <w:t>outcome</w:t>
      </w:r>
      <w:r>
        <w:rPr>
          <w:rFonts w:asciiTheme="minorHAnsi" w:hAnsiTheme="minorHAnsi" w:cstheme="minorHAnsi"/>
          <w:color w:val="000000"/>
          <w:sz w:val="22"/>
          <w:szCs w:val="22"/>
        </w:rPr>
        <w:t xml:space="preserve"> from sub‐component 5.3 is: </w:t>
      </w:r>
    </w:p>
    <w:p w14:paraId="4DA9B088" w14:textId="77777777" w:rsidR="0071779B" w:rsidRDefault="0071779B" w:rsidP="0071779B">
      <w:pPr>
        <w:shd w:val="clear" w:color="auto" w:fill="D0CECE"/>
        <w:jc w:val="both"/>
        <w:rPr>
          <w:rFonts w:asciiTheme="minorHAnsi" w:hAnsiTheme="minorHAnsi" w:cstheme="minorHAnsi"/>
          <w:color w:val="000000"/>
          <w:sz w:val="22"/>
          <w:szCs w:val="22"/>
        </w:rPr>
      </w:pPr>
    </w:p>
    <w:p w14:paraId="01E62627" w14:textId="77777777" w:rsidR="0071779B" w:rsidRDefault="0071779B" w:rsidP="0071779B">
      <w:pPr>
        <w:shd w:val="clear" w:color="auto" w:fill="D0CECE"/>
        <w:rPr>
          <w:rFonts w:asciiTheme="minorHAnsi" w:hAnsiTheme="minorHAnsi" w:cstheme="minorHAnsi"/>
          <w:color w:val="000000"/>
          <w:sz w:val="22"/>
          <w:szCs w:val="22"/>
        </w:rPr>
      </w:pPr>
      <w:r>
        <w:rPr>
          <w:rFonts w:asciiTheme="minorHAnsi" w:hAnsiTheme="minorHAnsi" w:cstheme="minorHAnsi"/>
          <w:color w:val="000000"/>
          <w:sz w:val="22"/>
          <w:szCs w:val="22"/>
        </w:rPr>
        <w:t xml:space="preserve">Enhanced number of partnerships and resources mobilized for the portfolio </w:t>
      </w:r>
    </w:p>
    <w:p w14:paraId="75526A5A" w14:textId="77777777" w:rsidR="0071779B" w:rsidRDefault="0071779B" w:rsidP="0071779B">
      <w:pPr>
        <w:shd w:val="clear" w:color="auto" w:fill="D0CECE"/>
        <w:rPr>
          <w:rFonts w:asciiTheme="minorHAnsi" w:hAnsiTheme="minorHAnsi" w:cstheme="minorHAnsi"/>
          <w:b/>
          <w:color w:val="000000"/>
          <w:sz w:val="22"/>
          <w:szCs w:val="22"/>
        </w:rPr>
      </w:pPr>
    </w:p>
    <w:p w14:paraId="75C6E3C6" w14:textId="77777777" w:rsidR="0071779B" w:rsidRDefault="0071779B" w:rsidP="0071779B">
      <w:pPr>
        <w:shd w:val="clear" w:color="auto" w:fill="D0CECE"/>
        <w:rPr>
          <w:rFonts w:asciiTheme="minorHAnsi" w:hAnsiTheme="minorHAnsi" w:cstheme="minorHAnsi"/>
          <w:b/>
          <w:color w:val="000000"/>
          <w:sz w:val="22"/>
          <w:szCs w:val="22"/>
        </w:rPr>
      </w:pPr>
      <w:r>
        <w:rPr>
          <w:rFonts w:asciiTheme="minorHAnsi" w:hAnsiTheme="minorHAnsi" w:cstheme="minorHAnsi"/>
          <w:b/>
          <w:color w:val="000000"/>
          <w:sz w:val="22"/>
          <w:szCs w:val="22"/>
        </w:rPr>
        <w:t>The overall costs for Component 5: GEF Grant USD571,000 </w:t>
      </w:r>
    </w:p>
    <w:p w14:paraId="6A1D150B" w14:textId="77777777" w:rsidR="0071779B" w:rsidRDefault="0071779B" w:rsidP="0071779B">
      <w:pPr>
        <w:shd w:val="clear" w:color="auto" w:fill="D0CECE"/>
        <w:rPr>
          <w:rFonts w:asciiTheme="minorHAnsi" w:hAnsiTheme="minorHAnsi" w:cstheme="minorHAnsi"/>
          <w:b/>
          <w:color w:val="000000"/>
          <w:sz w:val="22"/>
          <w:szCs w:val="22"/>
        </w:rPr>
      </w:pPr>
    </w:p>
    <w:p w14:paraId="78BD3969" w14:textId="77777777" w:rsidR="0071779B" w:rsidRDefault="0071779B" w:rsidP="0071779B">
      <w:pPr>
        <w:shd w:val="clear" w:color="auto" w:fill="D0CECE"/>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This sub‐component links to the following sub‐components:  </w:t>
      </w:r>
    </w:p>
    <w:p w14:paraId="0E505900" w14:textId="77777777" w:rsidR="0071779B" w:rsidRDefault="0071779B" w:rsidP="0071779B">
      <w:pPr>
        <w:shd w:val="clear" w:color="auto" w:fill="D0CECE"/>
        <w:rPr>
          <w:rFonts w:asciiTheme="minorHAnsi" w:hAnsiTheme="minorHAnsi" w:cstheme="minorHAnsi"/>
          <w:color w:val="000000"/>
          <w:sz w:val="22"/>
          <w:szCs w:val="22"/>
        </w:rPr>
      </w:pPr>
    </w:p>
    <w:p w14:paraId="3B72FF2F" w14:textId="77777777" w:rsidR="0071779B" w:rsidRDefault="0071779B" w:rsidP="0071779B">
      <w:pPr>
        <w:shd w:val="clear" w:color="auto" w:fill="D0CECE"/>
        <w:rPr>
          <w:rFonts w:asciiTheme="minorHAnsi" w:hAnsiTheme="minorHAnsi" w:cstheme="minorHAnsi"/>
          <w:b/>
          <w:color w:val="000000"/>
          <w:sz w:val="22"/>
          <w:szCs w:val="22"/>
        </w:rPr>
      </w:pPr>
      <w:r>
        <w:rPr>
          <w:rFonts w:asciiTheme="minorHAnsi" w:hAnsiTheme="minorHAnsi" w:cstheme="minorHAnsi"/>
          <w:color w:val="000000"/>
          <w:sz w:val="22"/>
          <w:szCs w:val="22"/>
        </w:rPr>
        <w:t>1.2: Regional training workshops for GEF IW projects &amp; development partners on cross-cutting themes and key outputs from selected GEF portfolio methodology projects, delivered by partner learning network</w:t>
      </w:r>
    </w:p>
    <w:p w14:paraId="45B49207" w14:textId="77777777" w:rsidR="0071779B" w:rsidRDefault="0071779B" w:rsidP="0071779B">
      <w:pPr>
        <w:spacing w:before="280" w:after="28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Sub-component 5.3 will support the development of training materials and programmatic guidance on attracting sustainable financing to address SAP investment priorities. </w:t>
      </w:r>
    </w:p>
    <w:p w14:paraId="3B52FC39" w14:textId="77777777" w:rsidR="0071779B" w:rsidRDefault="0071779B" w:rsidP="0071779B">
      <w:pPr>
        <w:spacing w:before="280" w:after="280"/>
        <w:rPr>
          <w:rFonts w:asciiTheme="minorHAnsi" w:hAnsiTheme="minorHAnsi" w:cstheme="minorHAnsi"/>
          <w:color w:val="000000"/>
          <w:sz w:val="22"/>
          <w:szCs w:val="22"/>
        </w:rPr>
      </w:pPr>
      <w:r>
        <w:rPr>
          <w:rFonts w:asciiTheme="minorHAnsi" w:hAnsiTheme="minorHAnsi" w:cstheme="minorHAnsi"/>
          <w:color w:val="000000"/>
          <w:sz w:val="22"/>
          <w:szCs w:val="22"/>
        </w:rPr>
        <w:t>This sub-component will contribute towards the overall goal of Component 5 by ensuring that the GEF projects are prepared to make new resource partnerships, particularly aimed at implementing the SAP investments with the engagement of the private sector.</w:t>
      </w:r>
    </w:p>
    <w:p w14:paraId="79A2DCD6" w14:textId="77777777" w:rsidR="0071779B" w:rsidRDefault="0071779B" w:rsidP="0071779B">
      <w:pPr>
        <w:spacing w:before="240"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This activity will be driven by in-kind support of the GEF IW:LEARN partners and technical input provided by the PCU.</w:t>
      </w:r>
    </w:p>
    <w:p w14:paraId="77FEFE8A" w14:textId="77777777" w:rsidR="0071779B" w:rsidRDefault="0071779B" w:rsidP="0071779B">
      <w:pPr>
        <w:spacing w:before="240"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Sub‐component 5.3 is comprised of </w:t>
      </w:r>
      <w:sdt>
        <w:sdtPr>
          <w:rPr>
            <w:rFonts w:asciiTheme="minorHAnsi" w:hAnsiTheme="minorHAnsi" w:cstheme="minorHAnsi"/>
          </w:rPr>
          <w:tag w:val="goog_rdk_1257"/>
          <w:id w:val="-324583035"/>
        </w:sdtPr>
        <w:sdtEndPr/>
        <w:sdtContent>
          <w:r>
            <w:rPr>
              <w:rFonts w:asciiTheme="minorHAnsi" w:hAnsiTheme="minorHAnsi" w:cstheme="minorHAnsi"/>
              <w:color w:val="000000"/>
              <w:sz w:val="22"/>
              <w:szCs w:val="22"/>
            </w:rPr>
            <w:t xml:space="preserve">two </w:t>
          </w:r>
        </w:sdtContent>
      </w:sdt>
      <w:r>
        <w:rPr>
          <w:rFonts w:asciiTheme="minorHAnsi" w:hAnsiTheme="minorHAnsi" w:cstheme="minorHAnsi"/>
          <w:color w:val="000000"/>
          <w:sz w:val="22"/>
          <w:szCs w:val="22"/>
        </w:rPr>
        <w:t>activities:</w:t>
      </w:r>
    </w:p>
    <w:p w14:paraId="0C77FDA1" w14:textId="77777777" w:rsidR="0071779B" w:rsidRDefault="00F57A55" w:rsidP="0071779B">
      <w:pPr>
        <w:numPr>
          <w:ilvl w:val="0"/>
          <w:numId w:val="70"/>
        </w:numPr>
        <w:ind w:left="709" w:hanging="349"/>
        <w:jc w:val="both"/>
        <w:rPr>
          <w:rFonts w:asciiTheme="minorHAnsi" w:hAnsiTheme="minorHAnsi" w:cstheme="minorHAnsi"/>
          <w:color w:val="000000"/>
          <w:sz w:val="22"/>
          <w:szCs w:val="22"/>
        </w:rPr>
      </w:pPr>
      <w:sdt>
        <w:sdtPr>
          <w:rPr>
            <w:rFonts w:asciiTheme="minorHAnsi" w:hAnsiTheme="minorHAnsi" w:cstheme="minorHAnsi"/>
          </w:rPr>
          <w:tag w:val="goog_rdk_1265"/>
          <w:id w:val="-1546135135"/>
        </w:sdtPr>
        <w:sdtEndPr/>
        <w:sdtContent>
          <w:sdt>
            <w:sdtPr>
              <w:rPr>
                <w:rFonts w:asciiTheme="minorHAnsi" w:hAnsiTheme="minorHAnsi" w:cstheme="minorHAnsi"/>
              </w:rPr>
              <w:tag w:val="goog_rdk_1263"/>
              <w:id w:val="1196275601"/>
            </w:sdtPr>
            <w:sdtEndPr/>
            <w:sdtContent>
              <w:sdt>
                <w:sdtPr>
                  <w:rPr>
                    <w:rFonts w:asciiTheme="minorHAnsi" w:hAnsiTheme="minorHAnsi" w:cstheme="minorHAnsi"/>
                  </w:rPr>
                  <w:tag w:val="goog_rdk_1264"/>
                  <w:id w:val="-1415086010"/>
                </w:sdtPr>
                <w:sdtEndPr/>
                <w:sdtContent/>
              </w:sdt>
            </w:sdtContent>
          </w:sdt>
        </w:sdtContent>
      </w:sdt>
      <w:sdt>
        <w:sdtPr>
          <w:rPr>
            <w:rFonts w:asciiTheme="minorHAnsi" w:hAnsiTheme="minorHAnsi" w:cstheme="minorHAnsi"/>
          </w:rPr>
          <w:tag w:val="goog_rdk_1276"/>
          <w:id w:val="-775636216"/>
        </w:sdtPr>
        <w:sdtEndPr/>
        <w:sdtContent>
          <w:sdt>
            <w:sdtPr>
              <w:rPr>
                <w:rFonts w:asciiTheme="minorHAnsi" w:hAnsiTheme="minorHAnsi" w:cstheme="minorHAnsi"/>
              </w:rPr>
              <w:tag w:val="goog_rdk_1266"/>
              <w:id w:val="1620954222"/>
            </w:sdtPr>
            <w:sdtEndPr/>
            <w:sdtContent>
              <w:r w:rsidR="0071779B">
                <w:rPr>
                  <w:rFonts w:asciiTheme="minorHAnsi" w:hAnsiTheme="minorHAnsi" w:cstheme="minorHAnsi"/>
                  <w:color w:val="000000"/>
                  <w:sz w:val="22"/>
                  <w:szCs w:val="22"/>
                </w:rPr>
                <w:t>Activity 5.3.</w:t>
              </w:r>
            </w:sdtContent>
          </w:sdt>
          <w:sdt>
            <w:sdtPr>
              <w:rPr>
                <w:rFonts w:asciiTheme="minorHAnsi" w:hAnsiTheme="minorHAnsi" w:cstheme="minorHAnsi"/>
              </w:rPr>
              <w:tag w:val="goog_rdk_1267"/>
              <w:id w:val="-234094867"/>
            </w:sdtPr>
            <w:sdtEndPr/>
            <w:sdtContent>
              <w:r w:rsidR="0071779B">
                <w:rPr>
                  <w:rFonts w:asciiTheme="minorHAnsi" w:hAnsiTheme="minorHAnsi" w:cstheme="minorHAnsi"/>
                  <w:color w:val="000000"/>
                  <w:sz w:val="22"/>
                  <w:szCs w:val="22"/>
                </w:rPr>
                <w:t>1</w:t>
              </w:r>
            </w:sdtContent>
          </w:sdt>
          <w:sdt>
            <w:sdtPr>
              <w:rPr>
                <w:rFonts w:asciiTheme="minorHAnsi" w:hAnsiTheme="minorHAnsi" w:cstheme="minorHAnsi"/>
              </w:rPr>
              <w:tag w:val="goog_rdk_1270"/>
              <w:id w:val="-1760368296"/>
            </w:sdtPr>
            <w:sdtEndPr/>
            <w:sdtContent>
              <w:r w:rsidR="0071779B">
                <w:rPr>
                  <w:rFonts w:asciiTheme="minorHAnsi" w:hAnsiTheme="minorHAnsi" w:cstheme="minorHAnsi"/>
                  <w:color w:val="000000"/>
                  <w:sz w:val="22"/>
                  <w:szCs w:val="22"/>
                </w:rPr>
                <w:t>: Analysis and tracking of the existing and proposal for a development of new learning modules to enhance capacities and expand skills and knowledge of resource mobilization of projects towards different resource partners</w:t>
              </w:r>
            </w:sdtContent>
          </w:sdt>
          <w:sdt>
            <w:sdtPr>
              <w:rPr>
                <w:rFonts w:asciiTheme="minorHAnsi" w:hAnsiTheme="minorHAnsi" w:cstheme="minorHAnsi"/>
              </w:rPr>
              <w:tag w:val="goog_rdk_1271"/>
              <w:id w:val="327640671"/>
            </w:sdtPr>
            <w:sdtEndPr/>
            <w:sdtContent>
              <w:sdt>
                <w:sdtPr>
                  <w:rPr>
                    <w:rFonts w:asciiTheme="minorHAnsi" w:hAnsiTheme="minorHAnsi" w:cstheme="minorHAnsi"/>
                  </w:rPr>
                  <w:tag w:val="goog_rdk_1272"/>
                  <w:id w:val="986061635"/>
                </w:sdtPr>
                <w:sdtEndPr/>
                <w:sdtContent>
                  <w:r w:rsidR="0071779B">
                    <w:rPr>
                      <w:rFonts w:asciiTheme="minorHAnsi" w:hAnsiTheme="minorHAnsi" w:cstheme="minorHAnsi"/>
                      <w:color w:val="000000"/>
                      <w:sz w:val="22"/>
                      <w:szCs w:val="22"/>
                    </w:rPr>
                    <w:t>; and</w:t>
                  </w:r>
                </w:sdtContent>
              </w:sdt>
            </w:sdtContent>
          </w:sdt>
          <w:sdt>
            <w:sdtPr>
              <w:rPr>
                <w:rFonts w:asciiTheme="minorHAnsi" w:hAnsiTheme="minorHAnsi" w:cstheme="minorHAnsi"/>
              </w:rPr>
              <w:tag w:val="goog_rdk_1273"/>
              <w:id w:val="-70046842"/>
            </w:sdtPr>
            <w:sdtEndPr/>
            <w:sdtContent>
              <w:sdt>
                <w:sdtPr>
                  <w:rPr>
                    <w:rFonts w:asciiTheme="minorHAnsi" w:hAnsiTheme="minorHAnsi" w:cstheme="minorHAnsi"/>
                  </w:rPr>
                  <w:tag w:val="goog_rdk_1274"/>
                  <w:id w:val="-1529398133"/>
                  <w:showingPlcHdr/>
                </w:sdtPr>
                <w:sdtEndPr/>
                <w:sdtContent>
                  <w:r w:rsidR="0071779B">
                    <w:rPr>
                      <w:rFonts w:asciiTheme="minorHAnsi" w:hAnsiTheme="minorHAnsi" w:cstheme="minorHAnsi"/>
                    </w:rPr>
                    <w:t xml:space="preserve">     </w:t>
                  </w:r>
                </w:sdtContent>
              </w:sdt>
            </w:sdtContent>
          </w:sdt>
          <w:sdt>
            <w:sdtPr>
              <w:rPr>
                <w:rFonts w:asciiTheme="minorHAnsi" w:hAnsiTheme="minorHAnsi" w:cstheme="minorHAnsi"/>
              </w:rPr>
              <w:tag w:val="goog_rdk_1275"/>
              <w:id w:val="-82463610"/>
            </w:sdtPr>
            <w:sdtEndPr/>
            <w:sdtContent/>
          </w:sdt>
        </w:sdtContent>
      </w:sdt>
    </w:p>
    <w:sdt>
      <w:sdtPr>
        <w:rPr>
          <w:rFonts w:asciiTheme="minorHAnsi" w:hAnsiTheme="minorHAnsi" w:cstheme="minorHAnsi"/>
        </w:rPr>
        <w:tag w:val="goog_rdk_1287"/>
        <w:id w:val="181867941"/>
      </w:sdtPr>
      <w:sdtEndPr/>
      <w:sdtContent>
        <w:p w14:paraId="7249C8F3" w14:textId="77777777" w:rsidR="0071779B" w:rsidRDefault="00F57A55" w:rsidP="0071779B">
          <w:pPr>
            <w:numPr>
              <w:ilvl w:val="0"/>
              <w:numId w:val="71"/>
            </w:numPr>
            <w:ind w:left="709" w:hanging="349"/>
            <w:jc w:val="both"/>
            <w:rPr>
              <w:rFonts w:asciiTheme="minorHAnsi" w:hAnsiTheme="minorHAnsi" w:cstheme="minorHAnsi"/>
            </w:rPr>
          </w:pPr>
          <w:sdt>
            <w:sdtPr>
              <w:rPr>
                <w:rFonts w:asciiTheme="minorHAnsi" w:hAnsiTheme="minorHAnsi" w:cstheme="minorHAnsi"/>
              </w:rPr>
              <w:tag w:val="goog_rdk_1277"/>
              <w:id w:val="-1750499418"/>
            </w:sdtPr>
            <w:sdtEndPr/>
            <w:sdtContent>
              <w:r w:rsidR="0071779B">
                <w:rPr>
                  <w:rFonts w:asciiTheme="minorHAnsi" w:hAnsiTheme="minorHAnsi" w:cstheme="minorHAnsi"/>
                  <w:color w:val="000000"/>
                  <w:sz w:val="22"/>
                  <w:szCs w:val="22"/>
                </w:rPr>
                <w:t>Activity 5.3.</w:t>
              </w:r>
            </w:sdtContent>
          </w:sdt>
          <w:sdt>
            <w:sdtPr>
              <w:rPr>
                <w:rFonts w:asciiTheme="minorHAnsi" w:hAnsiTheme="minorHAnsi" w:cstheme="minorHAnsi"/>
              </w:rPr>
              <w:tag w:val="goog_rdk_1278"/>
              <w:id w:val="1870727683"/>
            </w:sdtPr>
            <w:sdtEndPr/>
            <w:sdtContent>
              <w:r w:rsidR="0071779B">
                <w:rPr>
                  <w:rFonts w:asciiTheme="minorHAnsi" w:hAnsiTheme="minorHAnsi" w:cstheme="minorHAnsi"/>
                  <w:color w:val="000000"/>
                  <w:sz w:val="22"/>
                  <w:szCs w:val="22"/>
                </w:rPr>
                <w:t>2</w:t>
              </w:r>
            </w:sdtContent>
          </w:sdt>
          <w:sdt>
            <w:sdtPr>
              <w:rPr>
                <w:rFonts w:asciiTheme="minorHAnsi" w:hAnsiTheme="minorHAnsi" w:cstheme="minorHAnsi"/>
              </w:rPr>
              <w:tag w:val="goog_rdk_1281"/>
              <w:id w:val="-1372061268"/>
            </w:sdtPr>
            <w:sdtEndPr/>
            <w:sdtContent>
              <w:r w:rsidR="0071779B">
                <w:rPr>
                  <w:rFonts w:asciiTheme="minorHAnsi" w:hAnsiTheme="minorHAnsi" w:cstheme="minorHAnsi"/>
                  <w:color w:val="000000"/>
                  <w:sz w:val="22"/>
                  <w:szCs w:val="22"/>
                </w:rPr>
                <w:t>: Training on resource mobilization with a specific focus on private sector partnerships</w:t>
              </w:r>
            </w:sdtContent>
          </w:sdt>
          <w:sdt>
            <w:sdtPr>
              <w:rPr>
                <w:rFonts w:asciiTheme="minorHAnsi" w:hAnsiTheme="minorHAnsi" w:cstheme="minorHAnsi"/>
              </w:rPr>
              <w:tag w:val="goog_rdk_1282"/>
              <w:id w:val="-287426933"/>
            </w:sdtPr>
            <w:sdtEndPr/>
            <w:sdtContent>
              <w:sdt>
                <w:sdtPr>
                  <w:rPr>
                    <w:rFonts w:asciiTheme="minorHAnsi" w:hAnsiTheme="minorHAnsi" w:cstheme="minorHAnsi"/>
                  </w:rPr>
                  <w:tag w:val="goog_rdk_1283"/>
                  <w:id w:val="1737279060"/>
                </w:sdtPr>
                <w:sdtEndPr/>
                <w:sdtContent>
                  <w:r w:rsidR="0071779B">
                    <w:rPr>
                      <w:rFonts w:asciiTheme="minorHAnsi" w:hAnsiTheme="minorHAnsi" w:cstheme="minorHAnsi"/>
                      <w:color w:val="000000"/>
                      <w:sz w:val="22"/>
                      <w:szCs w:val="22"/>
                    </w:rPr>
                    <w:t>.</w:t>
                  </w:r>
                </w:sdtContent>
              </w:sdt>
            </w:sdtContent>
          </w:sdt>
          <w:sdt>
            <w:sdtPr>
              <w:rPr>
                <w:rFonts w:asciiTheme="minorHAnsi" w:hAnsiTheme="minorHAnsi" w:cstheme="minorHAnsi"/>
              </w:rPr>
              <w:tag w:val="goog_rdk_1284"/>
              <w:id w:val="-1299223568"/>
            </w:sdtPr>
            <w:sdtEndPr/>
            <w:sdtContent>
              <w:sdt>
                <w:sdtPr>
                  <w:rPr>
                    <w:rFonts w:asciiTheme="minorHAnsi" w:hAnsiTheme="minorHAnsi" w:cstheme="minorHAnsi"/>
                  </w:rPr>
                  <w:tag w:val="goog_rdk_1285"/>
                  <w:id w:val="-792594518"/>
                  <w:showingPlcHdr/>
                </w:sdtPr>
                <w:sdtEndPr/>
                <w:sdtContent>
                  <w:r w:rsidR="0071779B">
                    <w:rPr>
                      <w:rFonts w:asciiTheme="minorHAnsi" w:hAnsiTheme="minorHAnsi" w:cstheme="minorHAnsi"/>
                    </w:rPr>
                    <w:t xml:space="preserve">     </w:t>
                  </w:r>
                </w:sdtContent>
              </w:sdt>
            </w:sdtContent>
          </w:sdt>
          <w:sdt>
            <w:sdtPr>
              <w:rPr>
                <w:rFonts w:asciiTheme="minorHAnsi" w:hAnsiTheme="minorHAnsi" w:cstheme="minorHAnsi"/>
              </w:rPr>
              <w:tag w:val="goog_rdk_1286"/>
              <w:id w:val="680866641"/>
            </w:sdtPr>
            <w:sdtEndPr/>
            <w:sdtContent/>
          </w:sdt>
        </w:p>
      </w:sdtContent>
    </w:sdt>
    <w:p w14:paraId="13AF0CB7" w14:textId="77777777" w:rsidR="0071779B" w:rsidRDefault="0071779B" w:rsidP="0071779B">
      <w:pPr>
        <w:spacing w:before="280" w:after="280"/>
        <w:jc w:val="both"/>
        <w:rPr>
          <w:rFonts w:asciiTheme="minorHAnsi" w:hAnsiTheme="minorHAnsi" w:cstheme="minorHAnsi"/>
          <w:b/>
          <w:color w:val="000000"/>
          <w:sz w:val="22"/>
          <w:szCs w:val="22"/>
        </w:rPr>
      </w:pPr>
      <w:r>
        <w:rPr>
          <w:rFonts w:asciiTheme="minorHAnsi" w:hAnsiTheme="minorHAnsi"/>
          <w:sz w:val="22"/>
          <w:szCs w:val="22"/>
        </w:rPr>
        <w:t>Due to the COVID-19 pandemics, constraints on travel and group gatherings will affect the implementation of the activities in this sub-component during the first year of the project’s implementation. Other options are being considered such as on-line or remote communication options. They will be used where necessary, adjusting some of the equipment related costs to ensure equal opportunity to all beneficiaries.</w:t>
      </w:r>
    </w:p>
    <w:p w14:paraId="6D51B5E8" w14:textId="77777777" w:rsidR="0071779B" w:rsidRPr="0071779B" w:rsidRDefault="0071779B" w:rsidP="0071779B"/>
    <w:p w14:paraId="507263BC" w14:textId="4F98D01E" w:rsidR="0071779B" w:rsidRDefault="0071779B" w:rsidP="0071779B">
      <w:pPr>
        <w:pStyle w:val="Heading5"/>
        <w:rPr>
          <w:rFonts w:asciiTheme="minorHAnsi" w:hAnsiTheme="minorHAnsi" w:cstheme="minorHAnsi"/>
          <w:b/>
          <w:bCs/>
          <w:color w:val="000000" w:themeColor="text1"/>
          <w:sz w:val="22"/>
          <w:szCs w:val="22"/>
        </w:rPr>
      </w:pPr>
      <w:r w:rsidRPr="0071779B">
        <w:rPr>
          <w:rFonts w:asciiTheme="minorHAnsi" w:hAnsiTheme="minorHAnsi" w:cstheme="minorHAnsi"/>
          <w:b/>
          <w:bCs/>
          <w:color w:val="000000" w:themeColor="text1"/>
          <w:sz w:val="22"/>
          <w:szCs w:val="22"/>
        </w:rPr>
        <w:t>Activity 5.3.1: Analysis and tracking of the existing and proposal for a development of new learning modules to enhance capacities and expand skills and knowledge of resource mobilization of projects towards different resource partners</w:t>
      </w:r>
    </w:p>
    <w:sdt>
      <w:sdtPr>
        <w:rPr>
          <w:rFonts w:asciiTheme="minorHAnsi" w:hAnsiTheme="minorHAnsi" w:cstheme="minorHAnsi"/>
        </w:rPr>
        <w:tag w:val="goog_rdk_1292"/>
        <w:id w:val="-1153752330"/>
      </w:sdtPr>
      <w:sdtEndPr/>
      <w:sdtContent>
        <w:p w14:paraId="3EF89E0D" w14:textId="77777777" w:rsidR="0071779B" w:rsidRDefault="00F57A55" w:rsidP="0071779B">
          <w:pPr>
            <w:jc w:val="both"/>
            <w:rPr>
              <w:rFonts w:asciiTheme="minorHAnsi" w:hAnsiTheme="minorHAnsi" w:cstheme="minorHAnsi"/>
              <w:color w:val="000000"/>
            </w:rPr>
          </w:pPr>
          <w:sdt>
            <w:sdtPr>
              <w:rPr>
                <w:rFonts w:asciiTheme="minorHAnsi" w:hAnsiTheme="minorHAnsi" w:cstheme="minorHAnsi"/>
              </w:rPr>
              <w:tag w:val="goog_rdk_1291"/>
              <w:id w:val="1425526729"/>
            </w:sdtPr>
            <w:sdtEndPr/>
            <w:sdtContent>
              <w:r w:rsidR="0071779B">
                <w:rPr>
                  <w:rFonts w:asciiTheme="minorHAnsi" w:hAnsiTheme="minorHAnsi" w:cstheme="minorHAnsi"/>
                  <w:color w:val="000000"/>
                  <w:sz w:val="22"/>
                  <w:szCs w:val="22"/>
                </w:rPr>
                <w:t xml:space="preserve">Linking to the Activity 1.2.2 of the project (appropriate existing materials and new materials converted into training modules for blended learning - online and face-to-face), an inventory of useful tools, resources and platforms available on resource mobilization and private sector engagement from the executive and implementing agencies and partners will be completed. The aim is to assist implementation of SAP priorities. The guiding principle will be to identify available existing resources related to GEF IW portfolio, which can contribute to the development of the additional learning modules in 5.3.2. The resources identified will be presented on the GEF IW:LEARN website and distributed among project partners and a wider IW community. </w:t>
              </w:r>
            </w:sdtContent>
          </w:sdt>
        </w:p>
      </w:sdtContent>
    </w:sdt>
    <w:bookmarkStart w:id="32" w:name="_heading=h.19c6y18" w:displacedByCustomXml="next"/>
    <w:bookmarkEnd w:id="32" w:displacedByCustomXml="next"/>
    <w:sdt>
      <w:sdtPr>
        <w:rPr>
          <w:rFonts w:asciiTheme="minorHAnsi" w:hAnsiTheme="minorHAnsi" w:cstheme="minorHAnsi"/>
        </w:rPr>
        <w:tag w:val="goog_rdk_1294"/>
        <w:id w:val="-1177267093"/>
      </w:sdtPr>
      <w:sdtEndPr/>
      <w:sdtContent>
        <w:p w14:paraId="62D43841" w14:textId="77777777" w:rsidR="0071779B" w:rsidRDefault="00F57A55" w:rsidP="0071779B">
          <w:pPr>
            <w:jc w:val="both"/>
            <w:rPr>
              <w:rFonts w:asciiTheme="minorHAnsi" w:hAnsiTheme="minorHAnsi" w:cstheme="minorHAnsi"/>
              <w:sz w:val="22"/>
              <w:szCs w:val="22"/>
            </w:rPr>
          </w:pPr>
          <w:sdt>
            <w:sdtPr>
              <w:rPr>
                <w:rFonts w:asciiTheme="minorHAnsi" w:hAnsiTheme="minorHAnsi" w:cstheme="minorHAnsi"/>
              </w:rPr>
              <w:tag w:val="goog_rdk_1293"/>
              <w:id w:val="-2088841164"/>
              <w:showingPlcHdr/>
            </w:sdtPr>
            <w:sdtEndPr/>
            <w:sdtContent>
              <w:r w:rsidR="0071779B">
                <w:rPr>
                  <w:rFonts w:asciiTheme="minorHAnsi" w:hAnsiTheme="minorHAnsi" w:cstheme="minorHAnsi"/>
                </w:rPr>
                <w:t xml:space="preserve">     </w:t>
              </w:r>
            </w:sdtContent>
          </w:sdt>
        </w:p>
      </w:sdtContent>
    </w:sdt>
    <w:sdt>
      <w:sdtPr>
        <w:rPr>
          <w:rFonts w:asciiTheme="minorHAnsi" w:hAnsiTheme="minorHAnsi" w:cstheme="minorHAnsi"/>
        </w:rPr>
        <w:tag w:val="goog_rdk_1296"/>
        <w:id w:val="1811361357"/>
      </w:sdtPr>
      <w:sdtEndPr/>
      <w:sdtContent>
        <w:p w14:paraId="3474FEB1" w14:textId="1C42509C" w:rsidR="0071779B" w:rsidRPr="0071779B" w:rsidRDefault="00F57A55" w:rsidP="0071779B">
          <w:pPr>
            <w:jc w:val="both"/>
            <w:rPr>
              <w:rFonts w:asciiTheme="minorHAnsi" w:hAnsiTheme="minorHAnsi" w:cstheme="minorHAnsi"/>
            </w:rPr>
          </w:pPr>
          <w:sdt>
            <w:sdtPr>
              <w:rPr>
                <w:rFonts w:asciiTheme="minorHAnsi" w:hAnsiTheme="minorHAnsi" w:cstheme="minorHAnsi"/>
              </w:rPr>
              <w:tag w:val="goog_rdk_1295"/>
              <w:id w:val="-356205036"/>
            </w:sdtPr>
            <w:sdtEndPr/>
            <w:sdtContent>
              <w:r w:rsidR="0071779B">
                <w:rPr>
                  <w:rFonts w:asciiTheme="minorHAnsi" w:hAnsiTheme="minorHAnsi" w:cstheme="minorHAnsi"/>
                  <w:sz w:val="22"/>
                  <w:szCs w:val="22"/>
                </w:rPr>
                <w:t>The role of the PCU will be to work with the GEF agencies, GEF IW:LEARN partners,  and GEF IW projects (e.g. their private-sector engagement strategies) on gathering these resources and sharing them with the GEF IW community to ensure their further usage and uptake</w:t>
              </w:r>
              <w:r w:rsidR="0071779B">
                <w:rPr>
                  <w:rFonts w:asciiTheme="minorHAnsi" w:hAnsiTheme="minorHAnsi" w:cstheme="minorHAnsi"/>
                </w:rPr>
                <w:t>.</w:t>
              </w:r>
            </w:sdtContent>
          </w:sdt>
        </w:p>
      </w:sdtContent>
    </w:sdt>
    <w:p w14:paraId="209ED9A8" w14:textId="77777777" w:rsidR="0071779B" w:rsidRPr="0071779B" w:rsidRDefault="0071779B" w:rsidP="0071779B"/>
    <w:p w14:paraId="0910C03A" w14:textId="4D06B738" w:rsidR="0071779B" w:rsidRDefault="0071779B" w:rsidP="0071779B">
      <w:pPr>
        <w:pStyle w:val="Heading5"/>
        <w:rPr>
          <w:rFonts w:asciiTheme="minorHAnsi" w:hAnsiTheme="minorHAnsi" w:cstheme="minorHAnsi"/>
          <w:b/>
          <w:bCs/>
          <w:color w:val="000000" w:themeColor="text1"/>
          <w:sz w:val="22"/>
          <w:szCs w:val="22"/>
        </w:rPr>
      </w:pPr>
      <w:r w:rsidRPr="0071779B">
        <w:rPr>
          <w:rFonts w:asciiTheme="minorHAnsi" w:hAnsiTheme="minorHAnsi" w:cstheme="minorHAnsi"/>
          <w:b/>
          <w:bCs/>
          <w:color w:val="000000" w:themeColor="text1"/>
          <w:sz w:val="22"/>
          <w:szCs w:val="22"/>
        </w:rPr>
        <w:t>Activity 5.3.2: Training on resource mobilization with a specific focus on private sector partnerships</w:t>
      </w:r>
    </w:p>
    <w:p w14:paraId="052CCB16" w14:textId="77777777" w:rsidR="0071779B" w:rsidRDefault="0071779B" w:rsidP="0071779B">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Usage of the existing relevant trainings planned by the agencies and partners will be tracked and shared (Activity 5.3.1). Additionally, development of a practical online course in the context </w:t>
      </w:r>
      <w:r>
        <w:rPr>
          <w:rFonts w:asciiTheme="minorHAnsi" w:hAnsiTheme="minorHAnsi" w:cstheme="minorHAnsi"/>
          <w:sz w:val="22"/>
          <w:szCs w:val="22"/>
        </w:rPr>
        <w:t>of the IW</w:t>
      </w:r>
      <w:r>
        <w:rPr>
          <w:rFonts w:asciiTheme="minorHAnsi" w:hAnsiTheme="minorHAnsi" w:cstheme="minorHAnsi"/>
          <w:color w:val="000000"/>
          <w:sz w:val="22"/>
          <w:szCs w:val="22"/>
        </w:rPr>
        <w:t xml:space="preserve"> portfolio will be </w:t>
      </w:r>
      <w:proofErr w:type="spellStart"/>
      <w:r>
        <w:rPr>
          <w:rFonts w:asciiTheme="minorHAnsi" w:hAnsiTheme="minorHAnsi" w:cstheme="minorHAnsi"/>
          <w:color w:val="000000"/>
          <w:sz w:val="22"/>
          <w:szCs w:val="22"/>
        </w:rPr>
        <w:t>organised</w:t>
      </w:r>
      <w:proofErr w:type="spellEnd"/>
      <w:r>
        <w:rPr>
          <w:rFonts w:asciiTheme="minorHAnsi" w:hAnsiTheme="minorHAnsi" w:cstheme="minorHAnsi"/>
          <w:color w:val="000000"/>
          <w:sz w:val="22"/>
          <w:szCs w:val="22"/>
        </w:rPr>
        <w:t xml:space="preserve"> with </w:t>
      </w:r>
      <w:sdt>
        <w:sdtPr>
          <w:rPr>
            <w:rFonts w:asciiTheme="minorHAnsi" w:hAnsiTheme="minorHAnsi" w:cstheme="minorHAnsi"/>
          </w:rPr>
          <w:tag w:val="goog_rdk_1324"/>
          <w:id w:val="1486274417"/>
        </w:sdtPr>
        <w:sdtEndPr/>
        <w:sdtContent>
          <w:r>
            <w:rPr>
              <w:rFonts w:asciiTheme="minorHAnsi" w:hAnsiTheme="minorHAnsi" w:cstheme="minorHAnsi"/>
              <w:color w:val="000000"/>
              <w:sz w:val="22"/>
              <w:szCs w:val="22"/>
            </w:rPr>
            <w:t xml:space="preserve">three </w:t>
          </w:r>
        </w:sdtContent>
      </w:sdt>
      <w:r>
        <w:rPr>
          <w:rFonts w:asciiTheme="minorHAnsi" w:hAnsiTheme="minorHAnsi" w:cstheme="minorHAnsi"/>
          <w:color w:val="000000"/>
          <w:sz w:val="22"/>
          <w:szCs w:val="22"/>
        </w:rPr>
        <w:t>project partners: United Nations Economic Commission for Europe (UNECE</w:t>
      </w:r>
      <w:sdt>
        <w:sdtPr>
          <w:rPr>
            <w:rFonts w:asciiTheme="minorHAnsi" w:hAnsiTheme="minorHAnsi" w:cstheme="minorHAnsi"/>
          </w:rPr>
          <w:tag w:val="goog_rdk_1325"/>
          <w:id w:val="-1314488156"/>
        </w:sdtPr>
        <w:sdtEndPr/>
        <w:sdtContent>
          <w:r>
            <w:rPr>
              <w:rFonts w:asciiTheme="minorHAnsi" w:hAnsiTheme="minorHAnsi" w:cstheme="minorHAnsi"/>
              <w:color w:val="000000"/>
              <w:sz w:val="22"/>
              <w:szCs w:val="22"/>
            </w:rPr>
            <w:t xml:space="preserve">), </w:t>
          </w:r>
        </w:sdtContent>
      </w:sdt>
      <w:r>
        <w:rPr>
          <w:rFonts w:asciiTheme="minorHAnsi" w:hAnsiTheme="minorHAnsi" w:cstheme="minorHAnsi"/>
          <w:color w:val="000000"/>
          <w:sz w:val="22"/>
          <w:szCs w:val="22"/>
        </w:rPr>
        <w:t>International Union for Conservation of Nature</w:t>
      </w:r>
      <w:r>
        <w:rPr>
          <w:rFonts w:asciiTheme="minorHAnsi" w:eastAsia="Quattrocento Sans" w:hAnsiTheme="minorHAnsi" w:cstheme="minorHAnsi"/>
          <w:color w:val="201F1E"/>
          <w:sz w:val="22"/>
          <w:szCs w:val="22"/>
        </w:rPr>
        <w:t xml:space="preserve"> (IUCN) </w:t>
      </w:r>
      <w:r>
        <w:rPr>
          <w:rFonts w:asciiTheme="minorHAnsi" w:hAnsiTheme="minorHAnsi" w:cstheme="minorHAnsi"/>
          <w:color w:val="201F1E"/>
          <w:sz w:val="22"/>
          <w:szCs w:val="22"/>
        </w:rPr>
        <w:t xml:space="preserve">Global Water </w:t>
      </w:r>
      <w:proofErr w:type="spellStart"/>
      <w:r>
        <w:rPr>
          <w:rFonts w:asciiTheme="minorHAnsi" w:hAnsiTheme="minorHAnsi" w:cstheme="minorHAnsi"/>
          <w:color w:val="201F1E"/>
          <w:sz w:val="22"/>
          <w:szCs w:val="22"/>
        </w:rPr>
        <w:t>Programme</w:t>
      </w:r>
      <w:proofErr w:type="spellEnd"/>
      <w:sdt>
        <w:sdtPr>
          <w:rPr>
            <w:rFonts w:asciiTheme="minorHAnsi" w:hAnsiTheme="minorHAnsi" w:cstheme="minorHAnsi"/>
          </w:rPr>
          <w:tag w:val="goog_rdk_1327"/>
          <w:id w:val="1877039433"/>
        </w:sdtPr>
        <w:sdtEndPr/>
        <w:sdtContent>
          <w:r>
            <w:rPr>
              <w:rFonts w:asciiTheme="minorHAnsi" w:hAnsiTheme="minorHAnsi" w:cstheme="minorHAnsi"/>
              <w:color w:val="201F1E"/>
              <w:sz w:val="22"/>
              <w:szCs w:val="22"/>
            </w:rPr>
            <w:t xml:space="preserve"> and </w:t>
          </w:r>
          <w:r>
            <w:rPr>
              <w:rFonts w:asciiTheme="minorHAnsi" w:hAnsiTheme="minorHAnsi" w:cstheme="minorHAnsi"/>
              <w:color w:val="000000"/>
              <w:sz w:val="22"/>
              <w:szCs w:val="22"/>
            </w:rPr>
            <w:t>World Wildlife Fund United States (</w:t>
          </w:r>
          <w:r>
            <w:rPr>
              <w:rFonts w:asciiTheme="minorHAnsi" w:hAnsiTheme="minorHAnsi" w:cstheme="minorHAnsi"/>
              <w:color w:val="201F1E"/>
              <w:sz w:val="22"/>
              <w:szCs w:val="22"/>
            </w:rPr>
            <w:t>WWF-US)</w:t>
          </w:r>
        </w:sdtContent>
      </w:sdt>
      <w:r>
        <w:rPr>
          <w:rFonts w:asciiTheme="minorHAnsi" w:hAnsiTheme="minorHAnsi" w:cstheme="minorHAnsi"/>
          <w:color w:val="000000"/>
          <w:sz w:val="22"/>
          <w:szCs w:val="22"/>
        </w:rPr>
        <w:t>. Inter-American Development Bank will also provide support.</w:t>
      </w:r>
    </w:p>
    <w:p w14:paraId="2277C48A" w14:textId="77777777" w:rsidR="0071779B" w:rsidRDefault="0071779B" w:rsidP="0071779B">
      <w:pPr>
        <w:jc w:val="both"/>
        <w:rPr>
          <w:rFonts w:asciiTheme="minorHAnsi" w:hAnsiTheme="minorHAnsi" w:cstheme="minorHAnsi"/>
        </w:rPr>
      </w:pPr>
      <w:r>
        <w:rPr>
          <w:rFonts w:asciiTheme="minorHAnsi" w:hAnsiTheme="minorHAnsi" w:cstheme="minorHAnsi"/>
          <w:color w:val="000000"/>
          <w:sz w:val="22"/>
          <w:szCs w:val="22"/>
        </w:rPr>
        <w:t xml:space="preserve">  </w:t>
      </w:r>
    </w:p>
    <w:p w14:paraId="67BBA8CA" w14:textId="77777777" w:rsidR="0071779B" w:rsidRDefault="0071779B" w:rsidP="0071779B">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UNECE will prepare a publication on financing transboundary water cooperation in 2020-2021 </w:t>
      </w:r>
      <w:proofErr w:type="spellStart"/>
      <w:r>
        <w:rPr>
          <w:rFonts w:asciiTheme="minorHAnsi" w:hAnsiTheme="minorHAnsi" w:cstheme="minorHAnsi"/>
          <w:color w:val="000000"/>
          <w:sz w:val="22"/>
          <w:szCs w:val="22"/>
        </w:rPr>
        <w:t>analysing</w:t>
      </w:r>
      <w:proofErr w:type="spellEnd"/>
      <w:r>
        <w:rPr>
          <w:rFonts w:asciiTheme="minorHAnsi" w:hAnsiTheme="minorHAnsi" w:cstheme="minorHAnsi"/>
          <w:color w:val="000000"/>
          <w:sz w:val="22"/>
          <w:szCs w:val="22"/>
        </w:rPr>
        <w:t xml:space="preserve"> the key opportunities and challenges related with the financing of transboundary water cooperation and basin development, including available financial mechanisms, good and bad practices to access funding and recommendations for the way forward. This includes the shared basins’ financial needs, the various range of financing sources from domestic, regional and international levels as well as from private and public sectors, challenges and good practices with regards to the sustainable financing of operational functioning and program activities of joint bodies such as RBOs, and other joint bodies. Based on the study, UNECE will prepare an online training course on sustainable financing approach for transboundary water projects relevant to the GEF IW context focusing on attracting investments for SAP implementation, including specifically with the private sector. The course materials will also include the guidelines on private sector engagement, which will constitute an update of the previously released </w:t>
      </w:r>
      <w:hyperlink r:id="rId24" w:history="1">
        <w:r>
          <w:rPr>
            <w:rStyle w:val="Hyperlink"/>
            <w:rFonts w:asciiTheme="minorHAnsi" w:hAnsiTheme="minorHAnsi" w:cstheme="minorHAnsi"/>
            <w:sz w:val="22"/>
            <w:szCs w:val="22"/>
          </w:rPr>
          <w:t>GEF IW:LEARN’s Public-Private Partnerships Guidebook</w:t>
        </w:r>
      </w:hyperlink>
      <w:r>
        <w:rPr>
          <w:rFonts w:asciiTheme="minorHAnsi" w:hAnsiTheme="minorHAnsi" w:cstheme="minorHAnsi"/>
          <w:color w:val="000000"/>
          <w:sz w:val="22"/>
          <w:szCs w:val="22"/>
        </w:rPr>
        <w:t xml:space="preserve"> aimed at ensuring better preparation of the private sector engagement in the GEF IW projects. During this phase of the project, one round of the online training course will be carried out. </w:t>
      </w:r>
    </w:p>
    <w:p w14:paraId="2547323D" w14:textId="77777777" w:rsidR="0071779B" w:rsidRDefault="0071779B" w:rsidP="0071779B">
      <w:pPr>
        <w:jc w:val="both"/>
        <w:rPr>
          <w:rFonts w:asciiTheme="minorHAnsi" w:hAnsiTheme="minorHAnsi" w:cstheme="minorHAnsi"/>
          <w:sz w:val="22"/>
          <w:szCs w:val="22"/>
        </w:rPr>
      </w:pPr>
      <w:bookmarkStart w:id="33" w:name="_heading=h.2xcytpi"/>
      <w:bookmarkEnd w:id="33"/>
    </w:p>
    <w:p w14:paraId="375F145E" w14:textId="6DCE63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 xml:space="preserve">IUCN will prepare the sustainable financing toolkit for blue impact investments. The guide will be tailored to GEF IW needs and to the target audience (following a poll). It would cover, </w:t>
      </w:r>
      <w:r>
        <w:rPr>
          <w:rFonts w:asciiTheme="minorHAnsi" w:hAnsiTheme="minorHAnsi" w:cstheme="minorHAnsi"/>
          <w:i/>
          <w:sz w:val="22"/>
          <w:szCs w:val="22"/>
        </w:rPr>
        <w:t>inter alia</w:t>
      </w:r>
      <w:sdt>
        <w:sdtPr>
          <w:rPr>
            <w:rFonts w:asciiTheme="minorHAnsi" w:hAnsiTheme="minorHAnsi" w:cstheme="minorHAnsi"/>
          </w:rPr>
          <w:tag w:val="goog_rdk_1331"/>
          <w:id w:val="606622154"/>
        </w:sdtPr>
        <w:sdtEndPr/>
        <w:sdtContent>
          <w:r>
            <w:rPr>
              <w:rFonts w:asciiTheme="minorHAnsi" w:hAnsiTheme="minorHAnsi" w:cstheme="minorHAnsi"/>
              <w:sz w:val="22"/>
              <w:szCs w:val="22"/>
            </w:rPr>
            <w:t>,</w:t>
          </w:r>
        </w:sdtContent>
      </w:sdt>
      <w:r>
        <w:rPr>
          <w:rFonts w:asciiTheme="minorHAnsi" w:hAnsiTheme="minorHAnsi" w:cstheme="minorHAnsi"/>
          <w:sz w:val="22"/>
          <w:szCs w:val="22"/>
        </w:rPr>
        <w:t xml:space="preserve"> project design for income generation; overview of existing funding mechanisms; conservation business incubation; </w:t>
      </w:r>
      <w:proofErr w:type="spellStart"/>
      <w:r>
        <w:rPr>
          <w:rFonts w:asciiTheme="minorHAnsi" w:hAnsiTheme="minorHAnsi" w:cstheme="minorHAnsi"/>
          <w:sz w:val="22"/>
          <w:szCs w:val="22"/>
        </w:rPr>
        <w:t>TrustLaw</w:t>
      </w:r>
      <w:proofErr w:type="spellEnd"/>
      <w:r>
        <w:rPr>
          <w:rFonts w:asciiTheme="minorHAnsi" w:hAnsiTheme="minorHAnsi" w:cstheme="minorHAnsi"/>
          <w:sz w:val="22"/>
          <w:szCs w:val="22"/>
        </w:rPr>
        <w:t xml:space="preserve"> (</w:t>
      </w:r>
      <w:r>
        <w:rPr>
          <w:rFonts w:asciiTheme="minorHAnsi" w:hAnsiTheme="minorHAnsi" w:cstheme="minorHAnsi"/>
          <w:i/>
          <w:sz w:val="22"/>
          <w:szCs w:val="22"/>
        </w:rPr>
        <w:t>pro bono</w:t>
      </w:r>
      <w:r>
        <w:rPr>
          <w:rFonts w:asciiTheme="minorHAnsi" w:hAnsiTheme="minorHAnsi" w:cstheme="minorHAnsi"/>
          <w:sz w:val="22"/>
          <w:szCs w:val="22"/>
        </w:rPr>
        <w:t xml:space="preserve"> legal help); debt for nature swaps; blue bonds; convergence grants; technical assistance facilities; case studies and lessons learned. It would be complementary to the GEF IW:LEARN’s Public-Private Partnerships Guidebook. </w:t>
      </w:r>
      <w:sdt>
        <w:sdtPr>
          <w:rPr>
            <w:rFonts w:asciiTheme="minorHAnsi" w:hAnsiTheme="minorHAnsi" w:cstheme="minorHAnsi"/>
          </w:rPr>
          <w:tag w:val="goog_rdk_1332"/>
          <w:id w:val="423778122"/>
        </w:sdtPr>
        <w:sdtEndPr/>
        <w:sdtContent/>
      </w:sdt>
      <w:sdt>
        <w:sdtPr>
          <w:rPr>
            <w:rFonts w:asciiTheme="minorHAnsi" w:hAnsiTheme="minorHAnsi" w:cstheme="minorHAnsi"/>
          </w:rPr>
          <w:tag w:val="goog_rdk_1335"/>
          <w:id w:val="-1019850086"/>
        </w:sdtPr>
        <w:sdtEndPr/>
        <w:sdtContent>
          <w:sdt>
            <w:sdtPr>
              <w:rPr>
                <w:rFonts w:asciiTheme="minorHAnsi" w:hAnsiTheme="minorHAnsi" w:cstheme="minorHAnsi"/>
              </w:rPr>
              <w:tag w:val="goog_rdk_1334"/>
              <w:id w:val="-805157436"/>
            </w:sdtPr>
            <w:sdtEndPr/>
            <w:sdtContent/>
          </w:sdt>
        </w:sdtContent>
      </w:sdt>
      <w:r>
        <w:rPr>
          <w:rFonts w:asciiTheme="minorHAnsi" w:hAnsiTheme="minorHAnsi" w:cstheme="minorHAnsi"/>
          <w:sz w:val="22"/>
          <w:szCs w:val="22"/>
        </w:rPr>
        <w:t xml:space="preserve">As a part of the toolkit, the IUCN will also work to increase the understanding and awareness of the range of innovative financing opportunities on offer. Blue capital investment will be examined in – and adapted to – a transboundary context, and case studies of existing schemes and projects examined for possible replication across countries and </w:t>
      </w:r>
      <w:r>
        <w:rPr>
          <w:rFonts w:asciiTheme="minorHAnsi" w:hAnsiTheme="minorHAnsi" w:cstheme="minorHAnsi"/>
          <w:sz w:val="22"/>
          <w:szCs w:val="22"/>
        </w:rPr>
        <w:lastRenderedPageBreak/>
        <w:t xml:space="preserve">regions, possibly with certification. The toolkit will also show how to secure private sector engagements and markets for goods produced as part of a project. A targeted practical interactive toolkit will help large marine ecosystems (LME), marine protected areas (MPA) and integrated coastal and ocean management practitioners to understand the principles and enable partners and stakeholders to build sound project proposals that meet the requirements of grant making </w:t>
      </w:r>
      <w:proofErr w:type="spellStart"/>
      <w:r>
        <w:rPr>
          <w:rFonts w:asciiTheme="minorHAnsi" w:hAnsiTheme="minorHAnsi" w:cstheme="minorHAnsi"/>
          <w:sz w:val="22"/>
          <w:szCs w:val="22"/>
        </w:rPr>
        <w:t>organisations</w:t>
      </w:r>
      <w:proofErr w:type="spellEnd"/>
      <w:r>
        <w:rPr>
          <w:rFonts w:asciiTheme="minorHAnsi" w:hAnsiTheme="minorHAnsi" w:cstheme="minorHAnsi"/>
          <w:sz w:val="22"/>
          <w:szCs w:val="22"/>
        </w:rPr>
        <w:t xml:space="preserve"> and investors. The toolkit will then be used as a basis for development of training webinars</w:t>
      </w:r>
      <w:r>
        <w:rPr>
          <w:rFonts w:asciiTheme="minorHAnsi" w:hAnsiTheme="minorHAnsi" w:cstheme="minorHAnsi"/>
        </w:rPr>
        <w:t xml:space="preserve">. </w:t>
      </w:r>
      <w:proofErr w:type="gramStart"/>
      <w:r>
        <w:rPr>
          <w:rFonts w:asciiTheme="minorHAnsi" w:hAnsiTheme="minorHAnsi" w:cstheme="minorHAnsi"/>
          <w:sz w:val="22"/>
          <w:szCs w:val="22"/>
        </w:rPr>
        <w:t>During the course of</w:t>
      </w:r>
      <w:proofErr w:type="gramEnd"/>
      <w:r>
        <w:rPr>
          <w:rFonts w:asciiTheme="minorHAnsi" w:hAnsiTheme="minorHAnsi" w:cstheme="minorHAnsi"/>
          <w:sz w:val="22"/>
          <w:szCs w:val="22"/>
        </w:rPr>
        <w:t xml:space="preserve"> the project, three rounds of the webinars are envisaged.</w:t>
      </w:r>
      <w:sdt>
        <w:sdtPr>
          <w:rPr>
            <w:rFonts w:asciiTheme="minorHAnsi" w:hAnsiTheme="minorHAnsi" w:cstheme="minorHAnsi"/>
          </w:rPr>
          <w:tag w:val="goog_rdk_1336"/>
          <w:id w:val="1170376585"/>
        </w:sdtPr>
        <w:sdtEndPr/>
        <w:sdtContent/>
      </w:sdt>
    </w:p>
    <w:sdt>
      <w:sdtPr>
        <w:rPr>
          <w:rFonts w:asciiTheme="minorHAnsi" w:hAnsiTheme="minorHAnsi" w:cstheme="minorHAnsi"/>
        </w:rPr>
        <w:tag w:val="goog_rdk_1339"/>
        <w:id w:val="2062671024"/>
      </w:sdtPr>
      <w:sdtEndPr/>
      <w:sdtContent>
        <w:p w14:paraId="559D3B8E" w14:textId="77777777" w:rsidR="0071779B" w:rsidRDefault="00F57A55" w:rsidP="0071779B">
          <w:pPr>
            <w:jc w:val="both"/>
            <w:rPr>
              <w:rFonts w:asciiTheme="minorHAnsi" w:hAnsiTheme="minorHAnsi" w:cstheme="minorHAnsi"/>
              <w:sz w:val="22"/>
              <w:szCs w:val="22"/>
            </w:rPr>
          </w:pPr>
          <w:sdt>
            <w:sdtPr>
              <w:rPr>
                <w:rFonts w:asciiTheme="minorHAnsi" w:hAnsiTheme="minorHAnsi" w:cstheme="minorHAnsi"/>
              </w:rPr>
              <w:tag w:val="goog_rdk_1338"/>
              <w:id w:val="1660036123"/>
            </w:sdtPr>
            <w:sdtEndPr/>
            <w:sdtContent/>
          </w:sdt>
        </w:p>
      </w:sdtContent>
    </w:sdt>
    <w:p w14:paraId="0C029586" w14:textId="77777777" w:rsidR="0071779B" w:rsidRDefault="00F57A55" w:rsidP="0071779B">
      <w:pPr>
        <w:jc w:val="both"/>
        <w:rPr>
          <w:rFonts w:asciiTheme="minorHAnsi" w:hAnsiTheme="minorHAnsi" w:cstheme="minorHAnsi"/>
          <w:sz w:val="22"/>
          <w:szCs w:val="22"/>
        </w:rPr>
      </w:pPr>
      <w:sdt>
        <w:sdtPr>
          <w:rPr>
            <w:rFonts w:asciiTheme="minorHAnsi" w:hAnsiTheme="minorHAnsi" w:cstheme="minorHAnsi"/>
          </w:rPr>
          <w:tag w:val="goog_rdk_1340"/>
          <w:id w:val="-945921981"/>
        </w:sdtPr>
        <w:sdtEndPr/>
        <w:sdtContent>
          <w:r w:rsidR="0071779B">
            <w:rPr>
              <w:rFonts w:asciiTheme="minorHAnsi" w:hAnsiTheme="minorHAnsi" w:cstheme="minorHAnsi"/>
              <w:sz w:val="22"/>
              <w:szCs w:val="22"/>
            </w:rPr>
            <w:t>WWF will provide 3-4 peer learning dialogues on tools to attract and partner with members of the private sector. These learning dialogues will complement the proposed activities in 5.2.2 while also being open to all GEF IW project coordinators. The training will cover how to facilitate funding at different timescales and attract partners using specialized corporate metrics (e.g. Replenish), understanding company motivations and requirements, and practical tips on how to build relationships. Additional new innovative funding mechanisms will be explored as well. All material will be developed and geared towards a GEF International Waters Context.</w:t>
          </w:r>
        </w:sdtContent>
      </w:sdt>
    </w:p>
    <w:p w14:paraId="5A2EEE79" w14:textId="77777777" w:rsidR="0071779B" w:rsidRDefault="0071779B" w:rsidP="0071779B">
      <w:pPr>
        <w:jc w:val="both"/>
        <w:rPr>
          <w:rFonts w:asciiTheme="minorHAnsi" w:hAnsiTheme="minorHAnsi" w:cstheme="minorHAnsi"/>
          <w:sz w:val="22"/>
          <w:szCs w:val="22"/>
        </w:rPr>
      </w:pPr>
    </w:p>
    <w:sdt>
      <w:sdtPr>
        <w:rPr>
          <w:rFonts w:asciiTheme="minorHAnsi" w:hAnsiTheme="minorHAnsi" w:cstheme="minorHAnsi"/>
        </w:rPr>
        <w:tag w:val="goog_rdk_1343"/>
        <w:id w:val="-1812390545"/>
      </w:sdtPr>
      <w:sdtEndPr/>
      <w:sdtContent>
        <w:p w14:paraId="557F8C05" w14:textId="77777777" w:rsidR="0071779B" w:rsidRDefault="00F57A55" w:rsidP="0071779B">
          <w:pPr>
            <w:jc w:val="both"/>
            <w:rPr>
              <w:rFonts w:asciiTheme="minorHAnsi" w:hAnsiTheme="minorHAnsi" w:cstheme="minorHAnsi"/>
              <w:sz w:val="22"/>
              <w:szCs w:val="22"/>
            </w:rPr>
          </w:pPr>
          <w:sdt>
            <w:sdtPr>
              <w:rPr>
                <w:rFonts w:asciiTheme="minorHAnsi" w:hAnsiTheme="minorHAnsi" w:cstheme="minorHAnsi"/>
              </w:rPr>
              <w:tag w:val="goog_rdk_1342"/>
              <w:id w:val="903957962"/>
            </w:sdtPr>
            <w:sdtEndPr/>
            <w:sdtContent>
              <w:r w:rsidR="0071779B">
                <w:rPr>
                  <w:rFonts w:asciiTheme="minorHAnsi" w:hAnsiTheme="minorHAnsi" w:cstheme="minorHAnsi"/>
                  <w:sz w:val="22"/>
                  <w:szCs w:val="22"/>
                </w:rPr>
                <w:t xml:space="preserve">All of the training materials and online dialogues will be branded as GEF IW:LEARN products with the correct logos, including those of the partners. These products and recordings will be placed on the GEF IW:LEARN website. </w:t>
              </w:r>
            </w:sdtContent>
          </w:sdt>
        </w:p>
      </w:sdtContent>
    </w:sdt>
    <w:sdt>
      <w:sdtPr>
        <w:rPr>
          <w:rFonts w:asciiTheme="minorHAnsi" w:hAnsiTheme="minorHAnsi" w:cstheme="minorHAnsi"/>
        </w:rPr>
        <w:tag w:val="goog_rdk_1345"/>
        <w:id w:val="-1775474744"/>
      </w:sdtPr>
      <w:sdtEndPr/>
      <w:sdtContent>
        <w:p w14:paraId="192B8385" w14:textId="77777777" w:rsidR="0071779B" w:rsidRDefault="00F57A55" w:rsidP="0071779B">
          <w:pPr>
            <w:jc w:val="both"/>
            <w:rPr>
              <w:rFonts w:asciiTheme="minorHAnsi" w:hAnsiTheme="minorHAnsi" w:cstheme="minorHAnsi"/>
              <w:sz w:val="22"/>
              <w:szCs w:val="22"/>
            </w:rPr>
          </w:pPr>
          <w:sdt>
            <w:sdtPr>
              <w:rPr>
                <w:rFonts w:asciiTheme="minorHAnsi" w:hAnsiTheme="minorHAnsi" w:cstheme="minorHAnsi"/>
              </w:rPr>
              <w:tag w:val="goog_rdk_1344"/>
              <w:id w:val="2003621753"/>
            </w:sdtPr>
            <w:sdtEndPr/>
            <w:sdtContent/>
          </w:sdt>
        </w:p>
      </w:sdtContent>
    </w:sdt>
    <w:p w14:paraId="356147C7" w14:textId="77777777" w:rsidR="0071779B" w:rsidRDefault="00F57A55" w:rsidP="0071779B">
      <w:pPr>
        <w:jc w:val="both"/>
        <w:rPr>
          <w:rFonts w:asciiTheme="minorHAnsi" w:hAnsiTheme="minorHAnsi" w:cstheme="minorHAnsi"/>
          <w:sz w:val="22"/>
          <w:szCs w:val="22"/>
        </w:rPr>
      </w:pPr>
      <w:sdt>
        <w:sdtPr>
          <w:rPr>
            <w:rFonts w:asciiTheme="minorHAnsi" w:hAnsiTheme="minorHAnsi" w:cstheme="minorHAnsi"/>
          </w:rPr>
          <w:tag w:val="goog_rdk_1346"/>
          <w:id w:val="-1227748813"/>
        </w:sdtPr>
        <w:sdtEndPr/>
        <w:sdtContent>
          <w:r w:rsidR="0071779B">
            <w:rPr>
              <w:rFonts w:asciiTheme="minorHAnsi" w:hAnsiTheme="minorHAnsi" w:cstheme="minorHAnsi"/>
              <w:sz w:val="22"/>
              <w:szCs w:val="22"/>
            </w:rPr>
            <w:t>The PCU will coordinate work of the partners when developing course materials to ensure they are appropriate in a GEF International Waters context, and provide technical input and support to this activity. The partners will execute the virtual training dialogues.</w:t>
          </w:r>
        </w:sdtContent>
      </w:sdt>
    </w:p>
    <w:p w14:paraId="15AFC360" w14:textId="3C619832" w:rsidR="0071779B" w:rsidRDefault="0071779B" w:rsidP="0071779B"/>
    <w:p w14:paraId="07187B1A" w14:textId="77777777" w:rsidR="0071779B" w:rsidRPr="0071779B" w:rsidRDefault="0071779B" w:rsidP="0071779B"/>
    <w:p w14:paraId="51374C1E" w14:textId="1B05D645" w:rsidR="0071779B" w:rsidRDefault="0071779B" w:rsidP="0071779B">
      <w:pPr>
        <w:pStyle w:val="Heading2"/>
        <w:rPr>
          <w:rFonts w:asciiTheme="minorHAnsi" w:hAnsiTheme="minorHAnsi" w:cstheme="minorHAnsi"/>
          <w:b/>
          <w:bCs/>
          <w:color w:val="000000" w:themeColor="text1"/>
          <w:sz w:val="32"/>
          <w:szCs w:val="32"/>
        </w:rPr>
      </w:pPr>
      <w:bookmarkStart w:id="34" w:name="_Toc115094380"/>
      <w:r w:rsidRPr="0075012D">
        <w:rPr>
          <w:rFonts w:asciiTheme="minorHAnsi" w:hAnsiTheme="minorHAnsi" w:cstheme="minorHAnsi"/>
          <w:b/>
          <w:bCs/>
          <w:color w:val="000000" w:themeColor="text1"/>
          <w:sz w:val="32"/>
          <w:szCs w:val="32"/>
        </w:rPr>
        <w:t>3.</w:t>
      </w:r>
      <w:r>
        <w:rPr>
          <w:rFonts w:asciiTheme="minorHAnsi" w:hAnsiTheme="minorHAnsi" w:cstheme="minorHAnsi"/>
          <w:b/>
          <w:bCs/>
          <w:color w:val="000000" w:themeColor="text1"/>
          <w:sz w:val="32"/>
          <w:szCs w:val="32"/>
        </w:rPr>
        <w:t>2</w:t>
      </w:r>
      <w:r w:rsidRPr="0075012D">
        <w:rPr>
          <w:rFonts w:asciiTheme="minorHAnsi" w:hAnsiTheme="minorHAnsi" w:cstheme="minorHAnsi"/>
          <w:b/>
          <w:bCs/>
          <w:color w:val="000000" w:themeColor="text1"/>
          <w:sz w:val="32"/>
          <w:szCs w:val="32"/>
        </w:rPr>
        <w:t>.</w:t>
      </w:r>
      <w:r w:rsidRPr="0075012D">
        <w:rPr>
          <w:rFonts w:asciiTheme="minorHAnsi" w:hAnsiTheme="minorHAnsi" w:cstheme="minorHAnsi"/>
          <w:b/>
          <w:bCs/>
          <w:color w:val="000000" w:themeColor="text1"/>
          <w:sz w:val="32"/>
          <w:szCs w:val="32"/>
        </w:rPr>
        <w:tab/>
      </w:r>
      <w:r w:rsidRPr="0071779B">
        <w:rPr>
          <w:rFonts w:asciiTheme="minorHAnsi" w:hAnsiTheme="minorHAnsi" w:cstheme="minorHAnsi"/>
          <w:b/>
          <w:bCs/>
          <w:color w:val="000000" w:themeColor="text1"/>
          <w:sz w:val="32"/>
          <w:szCs w:val="32"/>
        </w:rPr>
        <w:t>Partnerships</w:t>
      </w:r>
      <w:bookmarkEnd w:id="34"/>
    </w:p>
    <w:p w14:paraId="2FA21E01" w14:textId="77777777" w:rsidR="0071779B" w:rsidRDefault="0071779B" w:rsidP="0071779B">
      <w:pPr>
        <w:jc w:val="both"/>
        <w:rPr>
          <w:rFonts w:asciiTheme="minorHAnsi" w:hAnsiTheme="minorHAnsi" w:cstheme="minorHAnsi"/>
          <w:color w:val="000000"/>
          <w:sz w:val="22"/>
          <w:szCs w:val="22"/>
        </w:rPr>
      </w:pPr>
    </w:p>
    <w:p w14:paraId="037380C9" w14:textId="44594468" w:rsidR="0071779B" w:rsidRDefault="0071779B" w:rsidP="0071779B">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IW:LEARN aims to work with a number of development partners, such as transboundary commissions and civil society organizations in the water sector. There is a </w:t>
      </w:r>
      <w:r>
        <w:rPr>
          <w:rFonts w:asciiTheme="minorHAnsi" w:hAnsiTheme="minorHAnsi" w:cstheme="minorHAnsi"/>
          <w:b/>
          <w:color w:val="000000"/>
          <w:sz w:val="22"/>
          <w:szCs w:val="22"/>
        </w:rPr>
        <w:t>core set of partners</w:t>
      </w:r>
      <w:r>
        <w:rPr>
          <w:rFonts w:asciiTheme="minorHAnsi" w:hAnsiTheme="minorHAnsi" w:cstheme="minorHAnsi"/>
          <w:color w:val="000000"/>
          <w:sz w:val="22"/>
          <w:szCs w:val="22"/>
        </w:rPr>
        <w:t>, whose work programs during the life of IW:LEARN form an extensive baseline of capacity-development or information management activities to support GEF IW:LEARN services. This solid baseline of programs and initiatives supports transboundary water and ocean management. The core project partners will be involved directly in the implementation of the project, and will be responsible for its implementation as a whole.</w:t>
      </w:r>
    </w:p>
    <w:p w14:paraId="01204DDB" w14:textId="77777777" w:rsidR="0071779B" w:rsidRDefault="0071779B" w:rsidP="0071779B">
      <w:pPr>
        <w:spacing w:before="280" w:after="280"/>
        <w:jc w:val="both"/>
        <w:rPr>
          <w:rFonts w:asciiTheme="minorHAnsi" w:hAnsiTheme="minorHAnsi" w:cstheme="minorHAnsi"/>
          <w:color w:val="000000"/>
          <w:sz w:val="22"/>
          <w:szCs w:val="22"/>
        </w:rPr>
      </w:pPr>
      <w:r>
        <w:rPr>
          <w:rFonts w:asciiTheme="minorHAnsi" w:hAnsiTheme="minorHAnsi" w:cstheme="minorHAnsi"/>
          <w:b/>
          <w:sz w:val="22"/>
          <w:szCs w:val="22"/>
        </w:rPr>
        <w:t>UNDP</w:t>
      </w:r>
      <w:r>
        <w:rPr>
          <w:rFonts w:asciiTheme="minorHAnsi" w:hAnsiTheme="minorHAnsi" w:cstheme="minorHAnsi"/>
          <w:sz w:val="22"/>
          <w:szCs w:val="22"/>
        </w:rPr>
        <w:t xml:space="preserve"> will be the </w:t>
      </w:r>
      <w:r>
        <w:rPr>
          <w:rFonts w:asciiTheme="minorHAnsi" w:hAnsiTheme="minorHAnsi" w:cstheme="minorHAnsi"/>
          <w:sz w:val="22"/>
          <w:szCs w:val="22"/>
          <w:lang w:val="hr-HR"/>
        </w:rPr>
        <w:t>GEF</w:t>
      </w:r>
      <w:r>
        <w:rPr>
          <w:rFonts w:asciiTheme="minorHAnsi" w:hAnsiTheme="minorHAnsi" w:cstheme="minorHAnsi"/>
          <w:sz w:val="22"/>
          <w:szCs w:val="22"/>
        </w:rPr>
        <w:t xml:space="preserve"> agency </w:t>
      </w:r>
      <w:r>
        <w:rPr>
          <w:rFonts w:asciiTheme="minorHAnsi" w:hAnsiTheme="minorHAnsi" w:cstheme="minorHAnsi"/>
          <w:sz w:val="22"/>
          <w:szCs w:val="22"/>
          <w:lang w:val="en-GB"/>
        </w:rPr>
        <w:t>responsible</w:t>
      </w:r>
      <w:r>
        <w:rPr>
          <w:rFonts w:asciiTheme="minorHAnsi" w:hAnsiTheme="minorHAnsi" w:cstheme="minorHAnsi"/>
          <w:sz w:val="22"/>
          <w:szCs w:val="22"/>
          <w:lang w:val="hr-HR"/>
        </w:rPr>
        <w:t xml:space="preserve"> </w:t>
      </w:r>
      <w:r>
        <w:rPr>
          <w:rFonts w:asciiTheme="minorHAnsi" w:hAnsiTheme="minorHAnsi" w:cstheme="minorHAnsi"/>
          <w:sz w:val="22"/>
          <w:szCs w:val="22"/>
        </w:rPr>
        <w:t xml:space="preserve">for oversight of the elements of the project shown under its leadership in this joint document. Its comparative advantage for the GEF lies in its global network of country offices, its experience in integrated policy development, human resources development, institutional strengthening, and non‐governmental and community participation. UNDP assists countries in promoting, designing and implementing activities consistent with both the GEF mandate and national sustainable development plans. UNDP also has extensive inter‐country programming experience. </w:t>
      </w:r>
      <w:r>
        <w:rPr>
          <w:rFonts w:asciiTheme="minorHAnsi" w:hAnsiTheme="minorHAnsi" w:cstheme="minorHAnsi"/>
          <w:color w:val="000000"/>
          <w:sz w:val="22"/>
          <w:szCs w:val="22"/>
        </w:rPr>
        <w:t xml:space="preserve">Some of the relevant </w:t>
      </w:r>
      <w:proofErr w:type="spellStart"/>
      <w:r>
        <w:rPr>
          <w:rFonts w:asciiTheme="minorHAnsi" w:hAnsiTheme="minorHAnsi" w:cstheme="minorHAnsi"/>
          <w:color w:val="000000"/>
          <w:sz w:val="22"/>
          <w:szCs w:val="22"/>
        </w:rPr>
        <w:t>programmes</w:t>
      </w:r>
      <w:proofErr w:type="spellEnd"/>
      <w:r>
        <w:rPr>
          <w:rFonts w:asciiTheme="minorHAnsi" w:hAnsiTheme="minorHAnsi" w:cstheme="minorHAnsi"/>
          <w:color w:val="000000"/>
          <w:sz w:val="22"/>
          <w:szCs w:val="22"/>
        </w:rPr>
        <w:t xml:space="preserve"> include UNDP’s Global Water and Ocean Governance Support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UNDP Cap-Net, UNDP-SIWI Water Governance Facility, Ocean Innovation Challenge Facility, Framework Pilot Countries and GOAL-</w:t>
      </w:r>
      <w:proofErr w:type="spellStart"/>
      <w:r>
        <w:rPr>
          <w:rFonts w:asciiTheme="minorHAnsi" w:hAnsiTheme="minorHAnsi" w:cstheme="minorHAnsi"/>
          <w:color w:val="000000"/>
          <w:sz w:val="22"/>
          <w:szCs w:val="22"/>
        </w:rPr>
        <w:t>WaterS</w:t>
      </w:r>
      <w:proofErr w:type="spellEnd"/>
      <w:r>
        <w:rPr>
          <w:rFonts w:asciiTheme="minorHAnsi" w:hAnsiTheme="minorHAnsi" w:cstheme="minorHAnsi"/>
          <w:color w:val="000000"/>
          <w:sz w:val="22"/>
          <w:szCs w:val="22"/>
        </w:rPr>
        <w:t xml:space="preserve"> mechanism and Shared Water Partnership programs. Much of UNDP’s </w:t>
      </w:r>
      <w:proofErr w:type="spellStart"/>
      <w:r>
        <w:rPr>
          <w:rFonts w:asciiTheme="minorHAnsi" w:hAnsiTheme="minorHAnsi" w:cstheme="minorHAnsi"/>
          <w:color w:val="000000"/>
          <w:sz w:val="22"/>
          <w:szCs w:val="22"/>
        </w:rPr>
        <w:t>cofinance</w:t>
      </w:r>
      <w:proofErr w:type="spellEnd"/>
      <w:r>
        <w:rPr>
          <w:rFonts w:asciiTheme="minorHAnsi" w:hAnsiTheme="minorHAnsi" w:cstheme="minorHAnsi"/>
          <w:color w:val="000000"/>
          <w:sz w:val="22"/>
          <w:szCs w:val="22"/>
        </w:rPr>
        <w:t xml:space="preserve"> to this project is drawn from those programs. The Water and Ocean Governance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will provide cross-cutting and learning to Components One and Three of the project. The Ocean </w:t>
      </w:r>
      <w:proofErr w:type="spellStart"/>
      <w:r>
        <w:rPr>
          <w:rFonts w:asciiTheme="minorHAnsi" w:hAnsiTheme="minorHAnsi" w:cstheme="minorHAnsi"/>
          <w:color w:val="000000"/>
          <w:sz w:val="22"/>
          <w:szCs w:val="22"/>
        </w:rPr>
        <w:t>Innovcation</w:t>
      </w:r>
      <w:proofErr w:type="spellEnd"/>
      <w:r>
        <w:rPr>
          <w:rFonts w:asciiTheme="minorHAnsi" w:hAnsiTheme="minorHAnsi" w:cstheme="minorHAnsi"/>
          <w:color w:val="000000"/>
          <w:sz w:val="22"/>
          <w:szCs w:val="22"/>
        </w:rPr>
        <w:t xml:space="preserve"> Challenge Facility will support Sub-Component 4.4 Regional Ocean collaboration. The Goal-</w:t>
      </w:r>
      <w:proofErr w:type="spellStart"/>
      <w:r>
        <w:rPr>
          <w:rFonts w:asciiTheme="minorHAnsi" w:hAnsiTheme="minorHAnsi" w:cstheme="minorHAnsi"/>
          <w:color w:val="000000"/>
          <w:sz w:val="22"/>
          <w:szCs w:val="22"/>
        </w:rPr>
        <w:t>WaterS</w:t>
      </w:r>
      <w:proofErr w:type="spellEnd"/>
      <w:r>
        <w:rPr>
          <w:rFonts w:asciiTheme="minorHAnsi" w:hAnsiTheme="minorHAnsi" w:cstheme="minorHAnsi"/>
          <w:color w:val="000000"/>
          <w:sz w:val="22"/>
          <w:szCs w:val="22"/>
        </w:rPr>
        <w:t xml:space="preserve"> mechanism will provide cross-cutting learning support to Component One. The UNDP SIWI Water Governance Facility will provide support to Component 1 </w:t>
      </w:r>
      <w:r>
        <w:rPr>
          <w:rFonts w:asciiTheme="minorHAnsi" w:hAnsiTheme="minorHAnsi" w:cstheme="minorHAnsi"/>
          <w:color w:val="000000"/>
          <w:sz w:val="22"/>
          <w:szCs w:val="22"/>
        </w:rPr>
        <w:lastRenderedPageBreak/>
        <w:t>activities on learning as well as to Sub-Component 4.4 on Regional Ocean Governance and Source to Sea Collaboration.</w:t>
      </w:r>
    </w:p>
    <w:p w14:paraId="4F576BD3" w14:textId="77777777" w:rsidR="0071779B" w:rsidRDefault="0071779B" w:rsidP="0071779B">
      <w:pPr>
        <w:spacing w:before="280" w:after="280"/>
        <w:jc w:val="both"/>
        <w:rPr>
          <w:rFonts w:asciiTheme="minorHAnsi" w:hAnsiTheme="minorHAnsi" w:cstheme="minorHAnsi"/>
          <w:color w:val="000000"/>
          <w:sz w:val="22"/>
          <w:szCs w:val="22"/>
        </w:rPr>
      </w:pPr>
      <w:r>
        <w:rPr>
          <w:rFonts w:asciiTheme="minorHAnsi" w:hAnsiTheme="minorHAnsi" w:cstheme="minorHAnsi"/>
          <w:b/>
          <w:sz w:val="22"/>
          <w:szCs w:val="22"/>
        </w:rPr>
        <w:t>UNEP</w:t>
      </w:r>
      <w:r>
        <w:rPr>
          <w:rFonts w:asciiTheme="minorHAnsi" w:hAnsiTheme="minorHAnsi" w:cstheme="minorHAnsi"/>
          <w:sz w:val="22"/>
          <w:szCs w:val="22"/>
        </w:rPr>
        <w:t xml:space="preserve"> will be the </w:t>
      </w:r>
      <w:r>
        <w:rPr>
          <w:rFonts w:asciiTheme="minorHAnsi" w:hAnsiTheme="minorHAnsi" w:cstheme="minorHAnsi"/>
          <w:sz w:val="22"/>
          <w:szCs w:val="22"/>
          <w:lang w:val="en-GB"/>
        </w:rPr>
        <w:t>GEF agency responsible for oversight of the elements of the project shown under its leadership in this joint document</w:t>
      </w:r>
      <w:r>
        <w:rPr>
          <w:rFonts w:asciiTheme="minorHAnsi" w:hAnsiTheme="minorHAnsi" w:cstheme="minorHAnsi"/>
          <w:sz w:val="22"/>
          <w:szCs w:val="22"/>
        </w:rPr>
        <w:t xml:space="preserve">. Its comparative advantage lies in knowledge management, science to policy linkages including identification of emerging issues and capacity building. This includes providing the world community with improved access to credible environmental data and information and helping increase the capacity of governments to use environmental information for decision‐making and action‐planning for sustainable human development. UNEP has also a strong record in fostering technical and institutional cooperation at multi‐country level, working closely with many partners and collaborating </w:t>
      </w:r>
      <w:proofErr w:type="spellStart"/>
      <w:r>
        <w:rPr>
          <w:rFonts w:asciiTheme="minorHAnsi" w:hAnsiTheme="minorHAnsi" w:cstheme="minorHAnsi"/>
          <w:sz w:val="22"/>
          <w:szCs w:val="22"/>
        </w:rPr>
        <w:t>centres</w:t>
      </w:r>
      <w:proofErr w:type="spellEnd"/>
      <w:r>
        <w:rPr>
          <w:rFonts w:asciiTheme="minorHAnsi" w:hAnsiTheme="minorHAnsi" w:cstheme="minorHAnsi"/>
          <w:sz w:val="22"/>
          <w:szCs w:val="22"/>
        </w:rPr>
        <w:t xml:space="preserve"> in all regions of the world, and has over time established functional networks for data, information, thematic and integrated assessments and capacity development. </w:t>
      </w:r>
      <w:r>
        <w:rPr>
          <w:rFonts w:asciiTheme="minorHAnsi" w:hAnsiTheme="minorHAnsi" w:cstheme="minorHAnsi"/>
          <w:color w:val="000000"/>
          <w:sz w:val="22"/>
          <w:szCs w:val="22"/>
        </w:rPr>
        <w:t xml:space="preserve">UNEP relevant </w:t>
      </w:r>
      <w:proofErr w:type="spellStart"/>
      <w:r>
        <w:rPr>
          <w:rFonts w:asciiTheme="minorHAnsi" w:hAnsiTheme="minorHAnsi" w:cstheme="minorHAnsi"/>
          <w:color w:val="000000"/>
          <w:sz w:val="22"/>
          <w:szCs w:val="22"/>
        </w:rPr>
        <w:t>programmes</w:t>
      </w:r>
      <w:proofErr w:type="spellEnd"/>
      <w:r>
        <w:rPr>
          <w:rFonts w:asciiTheme="minorHAnsi" w:hAnsiTheme="minorHAnsi" w:cstheme="minorHAnsi"/>
          <w:color w:val="000000"/>
          <w:sz w:val="22"/>
          <w:szCs w:val="22"/>
        </w:rPr>
        <w:t xml:space="preserve"> include Regional Seas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the Global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of Action (GPA) with its three thematic partnerships on nutrient management (GPNM), marine litter (GPML), and wastewater (GW2I), and its Sustainable Blue Economy Initiative </w:t>
      </w:r>
    </w:p>
    <w:p w14:paraId="67D0705E" w14:textId="77777777" w:rsidR="0071779B" w:rsidRDefault="0071779B" w:rsidP="0071779B">
      <w:pPr>
        <w:jc w:val="both"/>
        <w:rPr>
          <w:lang w:val="hr-HR"/>
        </w:rPr>
      </w:pPr>
      <w:r>
        <w:rPr>
          <w:rFonts w:asciiTheme="minorHAnsi" w:hAnsiTheme="minorHAnsi" w:cstheme="minorHAnsi"/>
          <w:sz w:val="22"/>
          <w:szCs w:val="22"/>
        </w:rPr>
        <w:t xml:space="preserve">The </w:t>
      </w:r>
      <w:r>
        <w:rPr>
          <w:rFonts w:asciiTheme="minorHAnsi" w:hAnsiTheme="minorHAnsi" w:cstheme="minorHAnsi"/>
          <w:b/>
          <w:sz w:val="22"/>
          <w:szCs w:val="22"/>
        </w:rPr>
        <w:t xml:space="preserve">IOC/UNESCO </w:t>
      </w:r>
      <w:r>
        <w:rPr>
          <w:rFonts w:asciiTheme="minorHAnsi" w:hAnsiTheme="minorHAnsi" w:cstheme="minorHAnsi"/>
          <w:sz w:val="22"/>
          <w:szCs w:val="22"/>
        </w:rPr>
        <w:t xml:space="preserve">will be the </w:t>
      </w:r>
      <w:r>
        <w:rPr>
          <w:rFonts w:asciiTheme="minorHAnsi" w:hAnsiTheme="minorHAnsi" w:cstheme="minorHAnsi"/>
          <w:sz w:val="22"/>
          <w:szCs w:val="22"/>
          <w:lang w:val="en-GB"/>
        </w:rPr>
        <w:t xml:space="preserve">implementing </w:t>
      </w:r>
      <w:r>
        <w:rPr>
          <w:rFonts w:asciiTheme="minorHAnsi" w:hAnsiTheme="minorHAnsi" w:cstheme="minorHAnsi"/>
          <w:sz w:val="22"/>
          <w:szCs w:val="22"/>
        </w:rPr>
        <w:t xml:space="preserve">partner (GEF Executing Agency) for the project, serving both UNDP and UNEP in this capacity. It is the only intergovernmental organization with a core mandate in science in all of the world’s oceans. It serves as liaison within the UN system between the marine scientific community and the governments of its 147 Member States. Since the early nineties, together with NOAA and IUCN, IOC has promoted the Large Marine Ecosystem (LME) approach both from a conceptual and scientific point of view as well as on the ground by contributing to the formulation of GEF LME projects in various regions, and the development of a wide network of LME experts. There are a number of IOC </w:t>
      </w:r>
      <w:proofErr w:type="spellStart"/>
      <w:r>
        <w:rPr>
          <w:rFonts w:asciiTheme="minorHAnsi" w:hAnsiTheme="minorHAnsi" w:cstheme="minorHAnsi"/>
          <w:sz w:val="22"/>
          <w:szCs w:val="22"/>
        </w:rPr>
        <w:t>programmes</w:t>
      </w:r>
      <w:proofErr w:type="spellEnd"/>
      <w:r>
        <w:rPr>
          <w:rFonts w:asciiTheme="minorHAnsi" w:hAnsiTheme="minorHAnsi" w:cstheme="minorHAnsi"/>
          <w:sz w:val="22"/>
          <w:szCs w:val="22"/>
        </w:rPr>
        <w:t xml:space="preserve"> that contribute scientific and technical inputs to the GEF’s LME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such as </w:t>
      </w:r>
      <w:r>
        <w:rPr>
          <w:rFonts w:asciiTheme="minorHAnsi" w:hAnsiTheme="minorHAnsi" w:cstheme="minorHAnsi"/>
          <w:color w:val="000000"/>
          <w:sz w:val="22"/>
          <w:szCs w:val="22"/>
        </w:rPr>
        <w:t xml:space="preserve">United Nations Decade of Ocean Science for Sustainable Development, Global Marine Spatial Planning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MSPGlobal</w:t>
      </w:r>
      <w:proofErr w:type="spellEnd"/>
      <w:r>
        <w:rPr>
          <w:rFonts w:asciiTheme="minorHAnsi" w:hAnsiTheme="minorHAnsi" w:cstheme="minorHAnsi"/>
          <w:color w:val="000000"/>
          <w:sz w:val="22"/>
          <w:szCs w:val="22"/>
        </w:rPr>
        <w:t>) and SPINCAM project, to name just a few. To support the role of IOC of UNESCO in advancing promotion of the LME approach, the IOC Assembly adopted, during its 30</w:t>
      </w:r>
      <w:r>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session in 2019, the decision (IOC-XXX/10.2)</w:t>
      </w:r>
      <w:r>
        <w:t xml:space="preserve"> </w:t>
      </w:r>
      <w:r>
        <w:rPr>
          <w:rFonts w:asciiTheme="minorHAnsi" w:hAnsiTheme="minorHAnsi"/>
          <w:sz w:val="22"/>
          <w:szCs w:val="22"/>
        </w:rPr>
        <w:t>inviting</w:t>
      </w:r>
      <w:r>
        <w:t xml:space="preserve"> “…</w:t>
      </w:r>
      <w:r>
        <w:rPr>
          <w:rFonts w:asciiTheme="minorHAnsi" w:hAnsiTheme="minorHAnsi"/>
          <w:sz w:val="22"/>
          <w:szCs w:val="22"/>
        </w:rPr>
        <w:t xml:space="preserve">Member States to sustain the role of IOC in providing technical support to the LME project community, including in the next phase of the GEF </w:t>
      </w:r>
      <w:proofErr w:type="spellStart"/>
      <w:r>
        <w:rPr>
          <w:rFonts w:asciiTheme="minorHAnsi" w:hAnsiTheme="minorHAnsi"/>
          <w:sz w:val="22"/>
          <w:szCs w:val="22"/>
        </w:rPr>
        <w:t>IW:Learn</w:t>
      </w:r>
      <w:proofErr w:type="spellEnd"/>
      <w:r>
        <w:rPr>
          <w:rFonts w:asciiTheme="minorHAnsi" w:hAnsiTheme="minorHAnsi"/>
          <w:sz w:val="22"/>
          <w:szCs w:val="22"/>
        </w:rPr>
        <w:t xml:space="preserve"> project (2020–2024).” IOC has signed partnership agreement with the </w:t>
      </w:r>
      <w:proofErr w:type="spellStart"/>
      <w:r>
        <w:rPr>
          <w:rFonts w:asciiTheme="minorHAnsi" w:hAnsiTheme="minorHAnsi"/>
          <w:sz w:val="22"/>
          <w:szCs w:val="22"/>
        </w:rPr>
        <w:t>REVOcean</w:t>
      </w:r>
      <w:proofErr w:type="spellEnd"/>
      <w:r>
        <w:rPr>
          <w:rFonts w:asciiTheme="minorHAnsi" w:hAnsiTheme="minorHAnsi"/>
          <w:sz w:val="22"/>
          <w:szCs w:val="22"/>
        </w:rPr>
        <w:t xml:space="preserve"> to advance the ocean science, as well as collaborated with the UN Global Compact to explore opportunities for the private sector to support the objectives of the Decade of Ocean Science, both of which will participate in the implementation of the next IW:LEARN phase.</w:t>
      </w:r>
    </w:p>
    <w:p w14:paraId="4273AEF9" w14:textId="77777777" w:rsidR="0071779B" w:rsidRDefault="0071779B" w:rsidP="0071779B">
      <w:pPr>
        <w:spacing w:before="280" w:after="280"/>
        <w:jc w:val="both"/>
        <w:rPr>
          <w:rFonts w:asciiTheme="minorHAnsi" w:hAnsiTheme="minorHAnsi" w:cstheme="minorHAnsi"/>
          <w:b/>
          <w:color w:val="000000"/>
        </w:rPr>
      </w:pPr>
      <w:r>
        <w:rPr>
          <w:rFonts w:asciiTheme="minorHAnsi" w:hAnsiTheme="minorHAnsi" w:cstheme="minorHAnsi"/>
          <w:color w:val="000000"/>
          <w:sz w:val="22"/>
          <w:szCs w:val="22"/>
        </w:rPr>
        <w:t xml:space="preserve">In addition to the above core set of partners, the IW:LEARN will continue partnering with existing and establishing new partnerships with more than 20 </w:t>
      </w:r>
      <w:proofErr w:type="spellStart"/>
      <w:r>
        <w:rPr>
          <w:rFonts w:asciiTheme="minorHAnsi" w:hAnsiTheme="minorHAnsi" w:cstheme="minorHAnsi"/>
          <w:color w:val="000000"/>
          <w:sz w:val="22"/>
          <w:szCs w:val="22"/>
        </w:rPr>
        <w:t>organisations</w:t>
      </w:r>
      <w:proofErr w:type="spellEnd"/>
      <w:r>
        <w:rPr>
          <w:rFonts w:asciiTheme="minorHAnsi" w:hAnsiTheme="minorHAnsi" w:cstheme="minorHAnsi"/>
          <w:color w:val="000000"/>
          <w:sz w:val="22"/>
          <w:szCs w:val="22"/>
        </w:rPr>
        <w:t xml:space="preserve">, agencies and academic institutions that will be engaged in the implementation of the project’s activities. </w:t>
      </w:r>
    </w:p>
    <w:p w14:paraId="49F9C53F" w14:textId="77777777" w:rsidR="0071779B" w:rsidRPr="0071779B" w:rsidRDefault="0071779B" w:rsidP="0071779B"/>
    <w:p w14:paraId="4492AC2B" w14:textId="410B95B4" w:rsidR="0071779B" w:rsidRDefault="0071779B" w:rsidP="0071779B">
      <w:pPr>
        <w:pStyle w:val="Heading2"/>
        <w:rPr>
          <w:rFonts w:asciiTheme="minorHAnsi" w:hAnsiTheme="minorHAnsi" w:cstheme="minorHAnsi"/>
          <w:b/>
          <w:bCs/>
          <w:color w:val="000000" w:themeColor="text1"/>
          <w:sz w:val="32"/>
          <w:szCs w:val="32"/>
        </w:rPr>
      </w:pPr>
      <w:bookmarkStart w:id="35" w:name="_Toc115094381"/>
      <w:r w:rsidRPr="0075012D">
        <w:rPr>
          <w:rFonts w:asciiTheme="minorHAnsi" w:hAnsiTheme="minorHAnsi" w:cstheme="minorHAnsi"/>
          <w:b/>
          <w:bCs/>
          <w:color w:val="000000" w:themeColor="text1"/>
          <w:sz w:val="32"/>
          <w:szCs w:val="32"/>
        </w:rPr>
        <w:t>3.</w:t>
      </w:r>
      <w:r>
        <w:rPr>
          <w:rFonts w:asciiTheme="minorHAnsi" w:hAnsiTheme="minorHAnsi" w:cstheme="minorHAnsi"/>
          <w:b/>
          <w:bCs/>
          <w:color w:val="000000" w:themeColor="text1"/>
          <w:sz w:val="32"/>
          <w:szCs w:val="32"/>
        </w:rPr>
        <w:t>3</w:t>
      </w:r>
      <w:r w:rsidRPr="0075012D">
        <w:rPr>
          <w:rFonts w:asciiTheme="minorHAnsi" w:hAnsiTheme="minorHAnsi" w:cstheme="minorHAnsi"/>
          <w:b/>
          <w:bCs/>
          <w:color w:val="000000" w:themeColor="text1"/>
          <w:sz w:val="32"/>
          <w:szCs w:val="32"/>
        </w:rPr>
        <w:t>.</w:t>
      </w:r>
      <w:r w:rsidRPr="0075012D">
        <w:rPr>
          <w:rFonts w:asciiTheme="minorHAnsi" w:hAnsiTheme="minorHAnsi" w:cstheme="minorHAnsi"/>
          <w:b/>
          <w:bCs/>
          <w:color w:val="000000" w:themeColor="text1"/>
          <w:sz w:val="32"/>
          <w:szCs w:val="32"/>
        </w:rPr>
        <w:tab/>
      </w:r>
      <w:r>
        <w:rPr>
          <w:rFonts w:asciiTheme="minorHAnsi" w:hAnsiTheme="minorHAnsi" w:cstheme="minorHAnsi"/>
          <w:b/>
          <w:bCs/>
          <w:color w:val="000000" w:themeColor="text1"/>
          <w:sz w:val="32"/>
          <w:szCs w:val="32"/>
        </w:rPr>
        <w:t>Risks</w:t>
      </w:r>
      <w:bookmarkEnd w:id="35"/>
    </w:p>
    <w:tbl>
      <w:tblPr>
        <w:tblW w:w="9090"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
        <w:gridCol w:w="2121"/>
        <w:gridCol w:w="1301"/>
        <w:gridCol w:w="1318"/>
        <w:gridCol w:w="2980"/>
        <w:gridCol w:w="1062"/>
      </w:tblGrid>
      <w:tr w:rsidR="0071779B" w14:paraId="230D69D4"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FFCC00"/>
            <w:hideMark/>
          </w:tcPr>
          <w:p w14:paraId="13458695"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FCC00"/>
            <w:hideMark/>
          </w:tcPr>
          <w:p w14:paraId="6D48CF87"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Description</w:t>
            </w:r>
          </w:p>
        </w:tc>
        <w:tc>
          <w:tcPr>
            <w:tcW w:w="1300" w:type="dxa"/>
            <w:tcBorders>
              <w:top w:val="single" w:sz="4" w:space="0" w:color="000000"/>
              <w:left w:val="single" w:sz="4" w:space="0" w:color="000000"/>
              <w:bottom w:val="single" w:sz="4" w:space="0" w:color="000000"/>
              <w:right w:val="single" w:sz="4" w:space="0" w:color="000000"/>
            </w:tcBorders>
            <w:shd w:val="clear" w:color="auto" w:fill="FFCC00"/>
            <w:hideMark/>
          </w:tcPr>
          <w:p w14:paraId="1D4E603C"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Risk Category</w:t>
            </w:r>
          </w:p>
        </w:tc>
        <w:tc>
          <w:tcPr>
            <w:tcW w:w="1317" w:type="dxa"/>
            <w:tcBorders>
              <w:top w:val="single" w:sz="4" w:space="0" w:color="000000"/>
              <w:left w:val="single" w:sz="4" w:space="0" w:color="000000"/>
              <w:bottom w:val="single" w:sz="4" w:space="0" w:color="000000"/>
              <w:right w:val="single" w:sz="4" w:space="0" w:color="000000"/>
            </w:tcBorders>
            <w:shd w:val="clear" w:color="auto" w:fill="FFCC00"/>
            <w:hideMark/>
          </w:tcPr>
          <w:p w14:paraId="62CEB0BE"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Impact &amp;</w:t>
            </w:r>
          </w:p>
          <w:p w14:paraId="2E5F45C9"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Probability</w:t>
            </w:r>
          </w:p>
        </w:tc>
        <w:tc>
          <w:tcPr>
            <w:tcW w:w="2978" w:type="dxa"/>
            <w:tcBorders>
              <w:top w:val="single" w:sz="4" w:space="0" w:color="000000"/>
              <w:left w:val="single" w:sz="4" w:space="0" w:color="000000"/>
              <w:bottom w:val="single" w:sz="4" w:space="0" w:color="000000"/>
              <w:right w:val="single" w:sz="4" w:space="0" w:color="000000"/>
            </w:tcBorders>
            <w:shd w:val="clear" w:color="auto" w:fill="FFCC00"/>
            <w:hideMark/>
          </w:tcPr>
          <w:p w14:paraId="180504EB"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Risk Treatment / Management Measures</w:t>
            </w:r>
          </w:p>
        </w:tc>
        <w:tc>
          <w:tcPr>
            <w:tcW w:w="1061" w:type="dxa"/>
            <w:tcBorders>
              <w:top w:val="single" w:sz="4" w:space="0" w:color="000000"/>
              <w:left w:val="single" w:sz="4" w:space="0" w:color="000000"/>
              <w:bottom w:val="single" w:sz="4" w:space="0" w:color="000000"/>
              <w:right w:val="single" w:sz="4" w:space="0" w:color="000000"/>
            </w:tcBorders>
            <w:shd w:val="clear" w:color="auto" w:fill="FFCC00"/>
            <w:hideMark/>
          </w:tcPr>
          <w:p w14:paraId="139A5722" w14:textId="77777777" w:rsidR="0071779B" w:rsidRDefault="0071779B">
            <w:pPr>
              <w:rPr>
                <w:rFonts w:asciiTheme="minorHAnsi" w:hAnsiTheme="minorHAnsi" w:cstheme="minorHAnsi"/>
                <w:b/>
                <w:sz w:val="20"/>
                <w:szCs w:val="20"/>
              </w:rPr>
            </w:pPr>
            <w:r>
              <w:rPr>
                <w:rFonts w:asciiTheme="minorHAnsi" w:hAnsiTheme="minorHAnsi" w:cstheme="minorHAnsi"/>
                <w:b/>
                <w:sz w:val="20"/>
                <w:szCs w:val="20"/>
              </w:rPr>
              <w:t>Risk Owner</w:t>
            </w:r>
          </w:p>
        </w:tc>
      </w:tr>
      <w:tr w:rsidR="0071779B" w14:paraId="75380DB8"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54A19F83"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577158F4"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COVID-19 crisis may affect the modalities of implementation of the project activities</w:t>
            </w:r>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326E65DA"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Safety and Security</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50463489"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Moderate</w:t>
            </w:r>
          </w:p>
        </w:tc>
        <w:tc>
          <w:tcPr>
            <w:tcW w:w="2978" w:type="dxa"/>
            <w:tcBorders>
              <w:top w:val="single" w:sz="4" w:space="0" w:color="000000"/>
              <w:left w:val="single" w:sz="4" w:space="0" w:color="000000"/>
              <w:bottom w:val="single" w:sz="4" w:space="0" w:color="000000"/>
              <w:right w:val="single" w:sz="4" w:space="0" w:color="000000"/>
            </w:tcBorders>
            <w:shd w:val="clear" w:color="auto" w:fill="B4C6E7"/>
            <w:hideMark/>
          </w:tcPr>
          <w:p w14:paraId="305A4B87" w14:textId="77777777" w:rsidR="0071779B" w:rsidRDefault="0071779B">
            <w:pPr>
              <w:rPr>
                <w:rFonts w:asciiTheme="minorHAnsi" w:hAnsiTheme="minorHAnsi" w:cstheme="minorHAnsi"/>
                <w:sz w:val="20"/>
                <w:szCs w:val="20"/>
              </w:rPr>
            </w:pPr>
            <w:r>
              <w:rPr>
                <w:rFonts w:asciiTheme="minorHAnsi" w:hAnsiTheme="minorHAnsi" w:cstheme="minorHAnsi"/>
                <w:color w:val="000000"/>
                <w:sz w:val="20"/>
                <w:szCs w:val="20"/>
              </w:rPr>
              <w:t>Adaptive project management, as the underlining approach to IW:LEARN implementation, requires that project implementation be regularly monitored and adaptive measures be taken immediately, such as online learning and online events</w:t>
            </w: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13105921"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UNESCO-IOC</w:t>
            </w:r>
          </w:p>
        </w:tc>
      </w:tr>
      <w:tr w:rsidR="0071779B" w14:paraId="1FF97C90"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027337AB"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lastRenderedPageBreak/>
              <w:t>2</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192B5D49" w14:textId="77777777" w:rsidR="0071779B" w:rsidRDefault="0071779B">
            <w:pPr>
              <w:rPr>
                <w:rFonts w:asciiTheme="minorHAnsi" w:hAnsiTheme="minorHAnsi" w:cstheme="minorHAnsi"/>
                <w:i/>
                <w:color w:val="000000"/>
                <w:sz w:val="20"/>
                <w:szCs w:val="20"/>
              </w:rPr>
            </w:pPr>
            <w:r>
              <w:rPr>
                <w:rFonts w:asciiTheme="minorHAnsi" w:hAnsiTheme="minorHAnsi" w:cstheme="minorHAnsi"/>
                <w:color w:val="000000"/>
                <w:sz w:val="20"/>
                <w:szCs w:val="20"/>
              </w:rPr>
              <w:t xml:space="preserve">A key risk to this project is an operational one as it brings together several agencies and partners. This may increase the complexity of project implementation and hinder positive impacts </w:t>
            </w:r>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2FA67BE9"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Strategic</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20EC6194"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Moderate</w:t>
            </w:r>
          </w:p>
        </w:tc>
        <w:tc>
          <w:tcPr>
            <w:tcW w:w="2978" w:type="dxa"/>
            <w:tcBorders>
              <w:top w:val="single" w:sz="4" w:space="0" w:color="000000"/>
              <w:left w:val="single" w:sz="4" w:space="0" w:color="000000"/>
              <w:bottom w:val="single" w:sz="4" w:space="0" w:color="000000"/>
              <w:right w:val="single" w:sz="4" w:space="0" w:color="000000"/>
            </w:tcBorders>
            <w:shd w:val="clear" w:color="auto" w:fill="B4C6E7"/>
            <w:hideMark/>
          </w:tcPr>
          <w:p w14:paraId="27682CA1"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Definition of roles and responsibilities of all parties to the project were given full consideration during the project preparation phase, which anticipated all the complexities of the project implementation</w:t>
            </w: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6284E95D"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UNDP, UNEP, UNESCO – IOC</w:t>
            </w:r>
          </w:p>
        </w:tc>
      </w:tr>
      <w:tr w:rsidR="0071779B" w14:paraId="085F4D73"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412C69BE"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3</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5FE17829"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Not all GEF IW projects are willing to engage in various types of portfolio learning activities or expose weaknesses in project implementation to external scrutiny</w:t>
            </w:r>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67CBAA70"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Operational</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0B5679F6"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Low</w:t>
            </w:r>
          </w:p>
        </w:tc>
        <w:tc>
          <w:tcPr>
            <w:tcW w:w="2978" w:type="dxa"/>
            <w:tcBorders>
              <w:top w:val="single" w:sz="4" w:space="0" w:color="000000"/>
              <w:left w:val="single" w:sz="4" w:space="0" w:color="000000"/>
              <w:bottom w:val="single" w:sz="4" w:space="0" w:color="000000"/>
              <w:right w:val="single" w:sz="4" w:space="0" w:color="000000"/>
            </w:tcBorders>
            <w:shd w:val="clear" w:color="auto" w:fill="B4C6E7"/>
            <w:hideMark/>
          </w:tcPr>
          <w:p w14:paraId="0F917BBB"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 xml:space="preserve">Project stakeholders will be expressly encouraged to utilize GEF IW:LEARN services at all levels of implementation and execution. </w:t>
            </w:r>
          </w:p>
          <w:p w14:paraId="5B447299"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The project will make an investment in direct interaction with beneficiaries. Constituents need to be engaged to the extent possible to create a sense of ownership.</w:t>
            </w: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6BED443A"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UNESCO-IOC</w:t>
            </w:r>
          </w:p>
        </w:tc>
      </w:tr>
      <w:tr w:rsidR="0071779B" w14:paraId="5DF78EAD"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4B2AE94D"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4</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48451579"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IW projects fail to respond in a timely manner to IW:LEARN PCU requests or to develop websites compliant with IW Website guidelines</w:t>
            </w:r>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1D55AF61"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Operational</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7B35EFB5"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Low</w:t>
            </w:r>
          </w:p>
        </w:tc>
        <w:tc>
          <w:tcPr>
            <w:tcW w:w="2978" w:type="dxa"/>
            <w:tcBorders>
              <w:top w:val="single" w:sz="4" w:space="0" w:color="000000"/>
              <w:left w:val="single" w:sz="4" w:space="0" w:color="000000"/>
              <w:bottom w:val="single" w:sz="4" w:space="0" w:color="000000"/>
              <w:right w:val="single" w:sz="4" w:space="0" w:color="000000"/>
            </w:tcBorders>
            <w:shd w:val="clear" w:color="auto" w:fill="B4C6E7"/>
            <w:hideMark/>
          </w:tcPr>
          <w:p w14:paraId="5F39D9EE"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IW:LEARN partners and GEF Agencies to actively encourage: IW project participation; provide data; develop websites; </w:t>
            </w:r>
            <w:proofErr w:type="spellStart"/>
            <w:r>
              <w:rPr>
                <w:rFonts w:asciiTheme="minorHAnsi" w:hAnsiTheme="minorHAnsi" w:cstheme="minorHAnsi"/>
                <w:color w:val="000000"/>
                <w:sz w:val="20"/>
                <w:szCs w:val="20"/>
              </w:rPr>
              <w:t>utilise</w:t>
            </w:r>
            <w:proofErr w:type="spellEnd"/>
            <w:r>
              <w:rPr>
                <w:rFonts w:asciiTheme="minorHAnsi" w:hAnsiTheme="minorHAnsi" w:cstheme="minorHAnsi"/>
                <w:color w:val="000000"/>
                <w:sz w:val="20"/>
                <w:szCs w:val="20"/>
              </w:rPr>
              <w:t xml:space="preserve"> the </w:t>
            </w:r>
            <w:proofErr w:type="spellStart"/>
            <w:r>
              <w:rPr>
                <w:rFonts w:asciiTheme="minorHAnsi" w:hAnsiTheme="minorHAnsi" w:cstheme="minorHAnsi"/>
                <w:color w:val="000000"/>
                <w:sz w:val="20"/>
                <w:szCs w:val="20"/>
              </w:rPr>
              <w:t>visualisation</w:t>
            </w:r>
            <w:proofErr w:type="spellEnd"/>
            <w:r>
              <w:rPr>
                <w:rFonts w:asciiTheme="minorHAnsi" w:hAnsiTheme="minorHAnsi" w:cstheme="minorHAnsi"/>
                <w:color w:val="000000"/>
                <w:sz w:val="20"/>
                <w:szCs w:val="20"/>
              </w:rPr>
              <w:t xml:space="preserve"> tool; deliver experience notes, etc. </w:t>
            </w: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496A5DF2"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UNESCO-IOC,</w:t>
            </w:r>
          </w:p>
          <w:p w14:paraId="10A2E8A1"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UNDP,</w:t>
            </w:r>
          </w:p>
          <w:p w14:paraId="54C3288D"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UNEP</w:t>
            </w:r>
          </w:p>
        </w:tc>
      </w:tr>
      <w:tr w:rsidR="0071779B" w14:paraId="1E18D427"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7D295A6F"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5</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367F617D"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New projects are not aware of IW:LEARN, do not have sufficient time to participate or do not know how to sufficiently engage its services and provide experiences to peers (via twinning, training, regional dialogue events, IWC engagement and information syndication) </w:t>
            </w:r>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4FCBDA57"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Operational</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5A8424F4"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Moderate</w:t>
            </w:r>
          </w:p>
        </w:tc>
        <w:tc>
          <w:tcPr>
            <w:tcW w:w="2978" w:type="dxa"/>
            <w:tcBorders>
              <w:top w:val="single" w:sz="4" w:space="0" w:color="000000"/>
              <w:left w:val="single" w:sz="4" w:space="0" w:color="000000"/>
              <w:bottom w:val="single" w:sz="4" w:space="0" w:color="000000"/>
              <w:right w:val="single" w:sz="4" w:space="0" w:color="000000"/>
            </w:tcBorders>
            <w:shd w:val="clear" w:color="auto" w:fill="B4C6E7"/>
          </w:tcPr>
          <w:p w14:paraId="1A8A8D51"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The project will effectively market its basic service line to the portfolio throughout implementation </w:t>
            </w:r>
          </w:p>
          <w:p w14:paraId="505C2CC0" w14:textId="77777777" w:rsidR="0071779B" w:rsidRDefault="0071779B">
            <w:pPr>
              <w:rPr>
                <w:rFonts w:asciiTheme="minorHAnsi" w:hAnsiTheme="minorHAnsi" w:cstheme="minorHAnsi"/>
                <w:color w:val="000000"/>
                <w:sz w:val="20"/>
                <w:szCs w:val="20"/>
              </w:rPr>
            </w:pP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7B2D90CC"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UNESCO-IOC</w:t>
            </w:r>
          </w:p>
        </w:tc>
      </w:tr>
      <w:tr w:rsidR="0071779B" w14:paraId="036843D1"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398FA154"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6</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562CE017"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Insufficient country involvement in GEF IW:LEARN activities </w:t>
            </w:r>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129DC4A0"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Political</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498CE1AD"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Low</w:t>
            </w:r>
          </w:p>
        </w:tc>
        <w:tc>
          <w:tcPr>
            <w:tcW w:w="2978" w:type="dxa"/>
            <w:tcBorders>
              <w:top w:val="single" w:sz="4" w:space="0" w:color="000000"/>
              <w:left w:val="single" w:sz="4" w:space="0" w:color="000000"/>
              <w:bottom w:val="single" w:sz="4" w:space="0" w:color="000000"/>
              <w:right w:val="single" w:sz="4" w:space="0" w:color="000000"/>
            </w:tcBorders>
            <w:shd w:val="clear" w:color="auto" w:fill="B4C6E7"/>
            <w:hideMark/>
          </w:tcPr>
          <w:p w14:paraId="3CBA827D"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GEF IW:LEARN and all GEF IW projects will actively engage country representatives and ensure awareness of events etc. in support of national processes </w:t>
            </w: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5A2CCAAD"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UNESCO-IOC</w:t>
            </w:r>
          </w:p>
        </w:tc>
      </w:tr>
      <w:tr w:rsidR="0071779B" w14:paraId="5881D6C9" w14:textId="77777777" w:rsidTr="0071779B">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51FE4ACB"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7</w:t>
            </w:r>
          </w:p>
        </w:tc>
        <w:tc>
          <w:tcPr>
            <w:tcW w:w="2119" w:type="dxa"/>
            <w:tcBorders>
              <w:top w:val="single" w:sz="4" w:space="0" w:color="000000"/>
              <w:left w:val="single" w:sz="4" w:space="0" w:color="000000"/>
              <w:bottom w:val="single" w:sz="4" w:space="0" w:color="000000"/>
              <w:right w:val="single" w:sz="4" w:space="0" w:color="000000"/>
            </w:tcBorders>
            <w:shd w:val="clear" w:color="auto" w:fill="B4C6E7"/>
            <w:hideMark/>
          </w:tcPr>
          <w:p w14:paraId="23882B7C"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Synergy potential (linking with other relevant initiatives/governance partners, including private sector) is not fully </w:t>
            </w:r>
            <w:proofErr w:type="spellStart"/>
            <w:r>
              <w:rPr>
                <w:rFonts w:asciiTheme="minorHAnsi" w:hAnsiTheme="minorHAnsi" w:cstheme="minorHAnsi"/>
                <w:color w:val="000000"/>
                <w:sz w:val="20"/>
                <w:szCs w:val="20"/>
              </w:rPr>
              <w:t>materialised</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B4C6E7"/>
            <w:hideMark/>
          </w:tcPr>
          <w:p w14:paraId="39F8F071"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Operational</w:t>
            </w:r>
          </w:p>
        </w:tc>
        <w:tc>
          <w:tcPr>
            <w:tcW w:w="1317" w:type="dxa"/>
            <w:tcBorders>
              <w:top w:val="single" w:sz="4" w:space="0" w:color="000000"/>
              <w:left w:val="single" w:sz="4" w:space="0" w:color="000000"/>
              <w:bottom w:val="single" w:sz="4" w:space="0" w:color="000000"/>
              <w:right w:val="single" w:sz="4" w:space="0" w:color="000000"/>
            </w:tcBorders>
            <w:shd w:val="clear" w:color="auto" w:fill="B4C6E7"/>
            <w:hideMark/>
          </w:tcPr>
          <w:p w14:paraId="1E2CE1F7"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Low</w:t>
            </w:r>
          </w:p>
        </w:tc>
        <w:tc>
          <w:tcPr>
            <w:tcW w:w="2978" w:type="dxa"/>
            <w:tcBorders>
              <w:top w:val="single" w:sz="4" w:space="0" w:color="000000"/>
              <w:left w:val="single" w:sz="4" w:space="0" w:color="000000"/>
              <w:bottom w:val="single" w:sz="4" w:space="0" w:color="000000"/>
              <w:right w:val="single" w:sz="4" w:space="0" w:color="000000"/>
            </w:tcBorders>
            <w:shd w:val="clear" w:color="auto" w:fill="B4C6E7"/>
            <w:hideMark/>
          </w:tcPr>
          <w:p w14:paraId="3AE57C13" w14:textId="77777777" w:rsidR="0071779B" w:rsidRDefault="0071779B">
            <w:pPr>
              <w:rPr>
                <w:rFonts w:asciiTheme="minorHAnsi" w:hAnsiTheme="minorHAnsi" w:cstheme="minorHAnsi"/>
                <w:color w:val="000000"/>
                <w:sz w:val="20"/>
                <w:szCs w:val="20"/>
              </w:rPr>
            </w:pPr>
            <w:r>
              <w:rPr>
                <w:rFonts w:asciiTheme="minorHAnsi" w:hAnsiTheme="minorHAnsi" w:cstheme="minorHAnsi"/>
                <w:color w:val="000000"/>
                <w:sz w:val="20"/>
                <w:szCs w:val="20"/>
              </w:rPr>
              <w:t>During the PPG phase, partners and IW projects to participate in joint regional ocean governance and other forms of transboundary water governance were involved and their commitment was secured</w:t>
            </w:r>
          </w:p>
        </w:tc>
        <w:tc>
          <w:tcPr>
            <w:tcW w:w="1061" w:type="dxa"/>
            <w:tcBorders>
              <w:top w:val="single" w:sz="4" w:space="0" w:color="000000"/>
              <w:left w:val="single" w:sz="4" w:space="0" w:color="000000"/>
              <w:bottom w:val="single" w:sz="4" w:space="0" w:color="000000"/>
              <w:right w:val="single" w:sz="4" w:space="0" w:color="000000"/>
            </w:tcBorders>
            <w:shd w:val="clear" w:color="auto" w:fill="B4C6E7"/>
            <w:hideMark/>
          </w:tcPr>
          <w:p w14:paraId="10D5B95A"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UNDP,</w:t>
            </w:r>
          </w:p>
          <w:p w14:paraId="72345A01"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UNEP,</w:t>
            </w:r>
          </w:p>
          <w:p w14:paraId="5D6DCDED" w14:textId="77777777" w:rsidR="0071779B" w:rsidRDefault="0071779B">
            <w:pPr>
              <w:rPr>
                <w:rFonts w:asciiTheme="minorHAnsi" w:hAnsiTheme="minorHAnsi" w:cstheme="minorHAnsi"/>
                <w:sz w:val="20"/>
                <w:szCs w:val="20"/>
              </w:rPr>
            </w:pPr>
            <w:r>
              <w:rPr>
                <w:rFonts w:asciiTheme="minorHAnsi" w:hAnsiTheme="minorHAnsi" w:cstheme="minorHAnsi"/>
                <w:sz w:val="20"/>
                <w:szCs w:val="20"/>
              </w:rPr>
              <w:t>UNESCO-IOC</w:t>
            </w:r>
          </w:p>
        </w:tc>
      </w:tr>
    </w:tbl>
    <w:p w14:paraId="0819C71F" w14:textId="77777777" w:rsidR="0071779B" w:rsidRDefault="0071779B" w:rsidP="0071779B">
      <w:pPr>
        <w:rPr>
          <w:rFonts w:asciiTheme="minorHAnsi" w:hAnsiTheme="minorHAnsi" w:cstheme="minorHAnsi"/>
          <w:sz w:val="22"/>
          <w:szCs w:val="22"/>
        </w:rPr>
      </w:pPr>
    </w:p>
    <w:p w14:paraId="5FF8AB87"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lastRenderedPageBreak/>
        <w:t>Given the nature of the project, oriented at improving science, establishing processes and creating enabling political environments for transboundary water management, climate change will not have any impact on the project likelihood of success. However, climate change and increased climatic fluctuations will have to be taken into full consideration as part of the technical components of the project.</w:t>
      </w:r>
    </w:p>
    <w:p w14:paraId="61D94DE1" w14:textId="77777777" w:rsidR="0071779B" w:rsidRDefault="0071779B" w:rsidP="0071779B">
      <w:pPr>
        <w:jc w:val="both"/>
        <w:rPr>
          <w:rFonts w:asciiTheme="minorHAnsi" w:hAnsiTheme="minorHAnsi" w:cstheme="minorHAnsi"/>
          <w:sz w:val="22"/>
          <w:szCs w:val="22"/>
        </w:rPr>
      </w:pPr>
    </w:p>
    <w:p w14:paraId="688DA9E5"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Regarding Social and Environmental Screening, all outputs in project Component 1 (sub-components 1.1, 1.2, 1.3, 1.4), Component 2 (sub-components 2.1, 2.2, 2.3), Component 3 (sub-components 3.1, 3.2, 3.3, 3.4), Component 4 (sub-components 4.1, 4.2, 4.3, 4.4) and Component 5 (sub-components 5.1, 5.2, 5.3) concern a global project with no country-level activities. Because of this alone, the project is considered thus as SESP-exempt.</w:t>
      </w:r>
    </w:p>
    <w:p w14:paraId="1DBBAB62" w14:textId="77777777" w:rsidR="0071779B" w:rsidRDefault="0071779B" w:rsidP="0071779B">
      <w:pPr>
        <w:jc w:val="both"/>
        <w:rPr>
          <w:rFonts w:asciiTheme="minorHAnsi" w:hAnsiTheme="minorHAnsi" w:cstheme="minorHAnsi"/>
          <w:sz w:val="22"/>
          <w:szCs w:val="22"/>
        </w:rPr>
      </w:pPr>
    </w:p>
    <w:p w14:paraId="43AA8560"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Many of the project’s outputs also qualify for other SESP exemption criteria. These include the following:</w:t>
      </w:r>
    </w:p>
    <w:p w14:paraId="7FCB853E" w14:textId="77777777" w:rsidR="0071779B" w:rsidRDefault="0071779B" w:rsidP="0071779B">
      <w:pPr>
        <w:rPr>
          <w:rFonts w:asciiTheme="minorHAnsi" w:hAnsiTheme="minorHAnsi" w:cstheme="minorHAnsi"/>
          <w:sz w:val="22"/>
          <w:szCs w:val="22"/>
        </w:rPr>
      </w:pPr>
    </w:p>
    <w:p w14:paraId="3DC3A5C4" w14:textId="77777777" w:rsidR="0071779B" w:rsidRDefault="0071779B" w:rsidP="0071779B">
      <w:pPr>
        <w:rPr>
          <w:rFonts w:asciiTheme="minorHAnsi" w:hAnsiTheme="minorHAnsi" w:cstheme="minorHAnsi"/>
          <w:sz w:val="22"/>
          <w:szCs w:val="22"/>
        </w:rPr>
      </w:pPr>
    </w:p>
    <w:p w14:paraId="15BB2EFE"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c. Organization of an event, workshop, training:</w:t>
      </w:r>
    </w:p>
    <w:p w14:paraId="49067122" w14:textId="77777777" w:rsidR="0071779B" w:rsidRDefault="0071779B" w:rsidP="0071779B">
      <w:pPr>
        <w:pStyle w:val="ListParagraph"/>
        <w:numPr>
          <w:ilvl w:val="2"/>
          <w:numId w:val="17"/>
        </w:numPr>
        <w:ind w:left="567" w:hanging="283"/>
        <w:contextualSpacing w:val="0"/>
        <w:jc w:val="both"/>
        <w:rPr>
          <w:rFonts w:asciiTheme="minorHAnsi" w:hAnsiTheme="minorHAnsi" w:cstheme="minorHAnsi"/>
          <w:sz w:val="22"/>
          <w:szCs w:val="22"/>
        </w:rPr>
      </w:pPr>
      <w:r>
        <w:rPr>
          <w:rFonts w:asciiTheme="minorHAnsi" w:hAnsiTheme="minorHAnsi" w:cstheme="minorHAnsi"/>
          <w:sz w:val="22"/>
          <w:szCs w:val="22"/>
        </w:rPr>
        <w:t xml:space="preserve">All outputs in project Component 1 involve the organization of events, workshops and training (exemption criteria c), and no other activities. </w:t>
      </w:r>
    </w:p>
    <w:p w14:paraId="172EFB4C" w14:textId="77777777" w:rsidR="0071779B" w:rsidRDefault="0071779B" w:rsidP="0071779B">
      <w:pPr>
        <w:pStyle w:val="ListParagraph"/>
        <w:numPr>
          <w:ilvl w:val="2"/>
          <w:numId w:val="17"/>
        </w:numPr>
        <w:ind w:left="567" w:hanging="283"/>
        <w:contextualSpacing w:val="0"/>
        <w:jc w:val="both"/>
        <w:rPr>
          <w:rFonts w:asciiTheme="minorHAnsi" w:hAnsiTheme="minorHAnsi" w:cstheme="minorHAnsi"/>
          <w:sz w:val="22"/>
          <w:szCs w:val="22"/>
        </w:rPr>
      </w:pPr>
      <w:r>
        <w:rPr>
          <w:rFonts w:asciiTheme="minorHAnsi" w:hAnsiTheme="minorHAnsi" w:cstheme="minorHAnsi"/>
          <w:sz w:val="22"/>
          <w:szCs w:val="22"/>
        </w:rPr>
        <w:t xml:space="preserve">Outputs under project Component 2, Sub-component 2.3 involve the organization of training (exemption criteria c), and no other activities. </w:t>
      </w:r>
    </w:p>
    <w:p w14:paraId="006B5334" w14:textId="77777777" w:rsidR="0071779B" w:rsidRDefault="0071779B" w:rsidP="0071779B">
      <w:pPr>
        <w:pStyle w:val="ListParagraph"/>
        <w:numPr>
          <w:ilvl w:val="2"/>
          <w:numId w:val="17"/>
        </w:numPr>
        <w:ind w:left="567" w:hanging="283"/>
        <w:contextualSpacing w:val="0"/>
        <w:jc w:val="both"/>
        <w:rPr>
          <w:rFonts w:asciiTheme="minorHAnsi" w:hAnsiTheme="minorHAnsi" w:cstheme="minorHAnsi"/>
          <w:sz w:val="22"/>
          <w:szCs w:val="22"/>
        </w:rPr>
      </w:pPr>
      <w:r>
        <w:rPr>
          <w:rFonts w:asciiTheme="minorHAnsi" w:hAnsiTheme="minorHAnsi" w:cstheme="minorHAnsi"/>
          <w:sz w:val="22"/>
          <w:szCs w:val="22"/>
        </w:rPr>
        <w:t xml:space="preserve">Outputs under project Component 3, Sub-components 3.1, 3.3, and 3.4 involve the organization of workshops and training (exemption criteria c), and no other activities. </w:t>
      </w:r>
    </w:p>
    <w:p w14:paraId="30639509" w14:textId="77777777" w:rsidR="0071779B" w:rsidRDefault="0071779B" w:rsidP="0071779B">
      <w:pPr>
        <w:pStyle w:val="ListParagraph"/>
        <w:numPr>
          <w:ilvl w:val="2"/>
          <w:numId w:val="17"/>
        </w:numPr>
        <w:ind w:left="567" w:hanging="283"/>
        <w:contextualSpacing w:val="0"/>
        <w:jc w:val="both"/>
        <w:rPr>
          <w:rFonts w:asciiTheme="minorHAnsi" w:hAnsiTheme="minorHAnsi" w:cstheme="minorHAnsi"/>
          <w:sz w:val="22"/>
          <w:szCs w:val="22"/>
        </w:rPr>
      </w:pPr>
      <w:r>
        <w:rPr>
          <w:rFonts w:asciiTheme="minorHAnsi" w:hAnsiTheme="minorHAnsi" w:cstheme="minorHAnsi"/>
          <w:sz w:val="22"/>
          <w:szCs w:val="22"/>
        </w:rPr>
        <w:t>Outputs under project Component 4 involve the organization of events, workshops, and training (exemption criteria c), and no other activities.</w:t>
      </w:r>
    </w:p>
    <w:p w14:paraId="77593503" w14:textId="77777777" w:rsidR="0071779B" w:rsidRDefault="0071779B" w:rsidP="0071779B">
      <w:pPr>
        <w:pStyle w:val="ListParagraph"/>
        <w:numPr>
          <w:ilvl w:val="2"/>
          <w:numId w:val="17"/>
        </w:numPr>
        <w:ind w:left="567" w:hanging="283"/>
        <w:contextualSpacing w:val="0"/>
        <w:jc w:val="both"/>
        <w:rPr>
          <w:rFonts w:asciiTheme="minorHAnsi" w:hAnsiTheme="minorHAnsi" w:cstheme="minorHAnsi"/>
          <w:sz w:val="22"/>
          <w:szCs w:val="22"/>
        </w:rPr>
      </w:pPr>
      <w:r>
        <w:rPr>
          <w:rFonts w:asciiTheme="minorHAnsi" w:hAnsiTheme="minorHAnsi" w:cstheme="minorHAnsi"/>
          <w:sz w:val="22"/>
          <w:szCs w:val="22"/>
        </w:rPr>
        <w:t xml:space="preserve">Outputs under project Component 5, Sub-component 5.2 and 5.3 involve the organization of workshops and training (exemption criteria c), and no other activities. </w:t>
      </w:r>
    </w:p>
    <w:p w14:paraId="3453A904" w14:textId="77777777" w:rsidR="0071779B" w:rsidRDefault="0071779B" w:rsidP="0071779B">
      <w:pPr>
        <w:jc w:val="both"/>
        <w:rPr>
          <w:rFonts w:asciiTheme="minorHAnsi" w:hAnsiTheme="minorHAnsi" w:cstheme="minorHAnsi"/>
          <w:sz w:val="22"/>
          <w:szCs w:val="22"/>
        </w:rPr>
      </w:pPr>
    </w:p>
    <w:p w14:paraId="0887D67F"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d. Strengthening capacities of partners to participate in international negotiations and conferences:</w:t>
      </w:r>
    </w:p>
    <w:p w14:paraId="5E3C8A05" w14:textId="77777777" w:rsidR="0071779B" w:rsidRDefault="0071779B" w:rsidP="0071779B">
      <w:pPr>
        <w:pStyle w:val="ListParagraph"/>
        <w:numPr>
          <w:ilvl w:val="0"/>
          <w:numId w:val="72"/>
        </w:numPr>
        <w:ind w:left="709" w:hanging="425"/>
        <w:contextualSpacing w:val="0"/>
        <w:jc w:val="both"/>
        <w:rPr>
          <w:rFonts w:asciiTheme="minorHAnsi" w:hAnsiTheme="minorHAnsi" w:cstheme="minorHAnsi"/>
          <w:sz w:val="22"/>
          <w:szCs w:val="22"/>
        </w:rPr>
      </w:pPr>
      <w:r>
        <w:rPr>
          <w:rFonts w:asciiTheme="minorHAnsi" w:hAnsiTheme="minorHAnsi" w:cstheme="minorHAnsi"/>
          <w:sz w:val="22"/>
          <w:szCs w:val="22"/>
        </w:rPr>
        <w:t xml:space="preserve">Outputs of project Component 1, Sub-component 1.1 involve strengthening capacities of partners to participate in international conferences (exemption criteria e), and no other activities. </w:t>
      </w:r>
    </w:p>
    <w:p w14:paraId="5387D162" w14:textId="77777777" w:rsidR="0071779B" w:rsidRDefault="0071779B" w:rsidP="0071779B">
      <w:pPr>
        <w:pStyle w:val="ListParagraph"/>
        <w:numPr>
          <w:ilvl w:val="0"/>
          <w:numId w:val="72"/>
        </w:numPr>
        <w:ind w:left="709" w:hanging="425"/>
        <w:contextualSpacing w:val="0"/>
        <w:jc w:val="both"/>
        <w:rPr>
          <w:rFonts w:asciiTheme="minorHAnsi" w:hAnsiTheme="minorHAnsi" w:cstheme="minorHAnsi"/>
          <w:sz w:val="22"/>
          <w:szCs w:val="22"/>
        </w:rPr>
      </w:pPr>
      <w:r>
        <w:rPr>
          <w:rFonts w:asciiTheme="minorHAnsi" w:hAnsiTheme="minorHAnsi" w:cstheme="minorHAnsi"/>
          <w:sz w:val="22"/>
          <w:szCs w:val="22"/>
        </w:rPr>
        <w:t>Outputs under project Component 4, Sub-component 4.4</w:t>
      </w:r>
    </w:p>
    <w:p w14:paraId="1C788833" w14:textId="77777777" w:rsidR="0071779B" w:rsidRDefault="0071779B" w:rsidP="0071779B">
      <w:pPr>
        <w:jc w:val="both"/>
        <w:rPr>
          <w:rFonts w:asciiTheme="minorHAnsi" w:hAnsiTheme="minorHAnsi" w:cstheme="minorHAnsi"/>
          <w:sz w:val="22"/>
          <w:szCs w:val="22"/>
        </w:rPr>
      </w:pPr>
    </w:p>
    <w:p w14:paraId="570DE012"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t>e. Partnership coordination (including UN coordination) and management of networks:</w:t>
      </w:r>
    </w:p>
    <w:p w14:paraId="4A5A00AF" w14:textId="77777777" w:rsidR="0071779B" w:rsidRDefault="0071779B" w:rsidP="0071779B">
      <w:pPr>
        <w:pStyle w:val="ListParagraph"/>
        <w:numPr>
          <w:ilvl w:val="2"/>
          <w:numId w:val="17"/>
        </w:numPr>
        <w:ind w:left="709" w:hanging="425"/>
        <w:contextualSpacing w:val="0"/>
        <w:jc w:val="both"/>
        <w:rPr>
          <w:rFonts w:asciiTheme="minorHAnsi" w:hAnsiTheme="minorHAnsi" w:cstheme="minorHAnsi"/>
          <w:sz w:val="22"/>
          <w:szCs w:val="22"/>
        </w:rPr>
      </w:pPr>
      <w:r>
        <w:rPr>
          <w:rFonts w:asciiTheme="minorHAnsi" w:hAnsiTheme="minorHAnsi" w:cstheme="minorHAnsi"/>
          <w:sz w:val="22"/>
          <w:szCs w:val="22"/>
        </w:rPr>
        <w:t xml:space="preserve">Outputs of project Component 1, Sub-component 1.1 and 1.4 involve partnership coordination and management of networks (exemption criteria e), and no other activities. </w:t>
      </w:r>
    </w:p>
    <w:p w14:paraId="79D913DC" w14:textId="77777777" w:rsidR="0071779B" w:rsidRDefault="0071779B" w:rsidP="0071779B">
      <w:pPr>
        <w:pStyle w:val="ListParagraph"/>
        <w:numPr>
          <w:ilvl w:val="2"/>
          <w:numId w:val="17"/>
        </w:numPr>
        <w:ind w:left="709" w:hanging="425"/>
        <w:contextualSpacing w:val="0"/>
        <w:jc w:val="both"/>
        <w:rPr>
          <w:rFonts w:asciiTheme="minorHAnsi" w:hAnsiTheme="minorHAnsi" w:cstheme="minorHAnsi"/>
          <w:sz w:val="22"/>
          <w:szCs w:val="22"/>
        </w:rPr>
      </w:pPr>
      <w:r>
        <w:rPr>
          <w:rFonts w:asciiTheme="minorHAnsi" w:hAnsiTheme="minorHAnsi" w:cstheme="minorHAnsi"/>
          <w:sz w:val="22"/>
          <w:szCs w:val="22"/>
        </w:rPr>
        <w:t xml:space="preserve">Outputs of project Component 3, Sub-component 3.1 and 3.2 involve partnership coordination and management of networks (exemption criteria e), and no other activities. </w:t>
      </w:r>
    </w:p>
    <w:p w14:paraId="17DBDA68" w14:textId="77777777" w:rsidR="0071779B" w:rsidRDefault="0071779B" w:rsidP="0071779B">
      <w:pPr>
        <w:pStyle w:val="ListParagraph"/>
        <w:numPr>
          <w:ilvl w:val="2"/>
          <w:numId w:val="17"/>
        </w:numPr>
        <w:ind w:left="709" w:hanging="425"/>
        <w:contextualSpacing w:val="0"/>
        <w:jc w:val="both"/>
        <w:rPr>
          <w:rFonts w:asciiTheme="minorHAnsi" w:hAnsiTheme="minorHAnsi" w:cstheme="minorHAnsi"/>
          <w:sz w:val="22"/>
          <w:szCs w:val="22"/>
        </w:rPr>
      </w:pPr>
      <w:r>
        <w:rPr>
          <w:rFonts w:asciiTheme="minorHAnsi" w:hAnsiTheme="minorHAnsi" w:cstheme="minorHAnsi"/>
          <w:sz w:val="22"/>
          <w:szCs w:val="22"/>
        </w:rPr>
        <w:t>Outputs of project Component 4, Sub-component 4.4</w:t>
      </w:r>
    </w:p>
    <w:p w14:paraId="68568871" w14:textId="77777777" w:rsidR="0071779B" w:rsidRDefault="0071779B" w:rsidP="0071779B">
      <w:pPr>
        <w:jc w:val="both"/>
        <w:rPr>
          <w:rFonts w:asciiTheme="minorHAnsi" w:hAnsiTheme="minorHAnsi"/>
          <w:sz w:val="22"/>
          <w:szCs w:val="22"/>
        </w:rPr>
      </w:pPr>
    </w:p>
    <w:p w14:paraId="5ABD4DE3" w14:textId="77777777" w:rsidR="0071779B" w:rsidRDefault="0071779B" w:rsidP="0071779B">
      <w:pPr>
        <w:jc w:val="both"/>
        <w:rPr>
          <w:rFonts w:asciiTheme="minorHAnsi" w:hAnsiTheme="minorHAnsi" w:cstheme="minorHAnsi"/>
          <w:sz w:val="22"/>
          <w:szCs w:val="22"/>
        </w:rPr>
      </w:pPr>
      <w:r>
        <w:rPr>
          <w:rFonts w:asciiTheme="minorHAnsi" w:hAnsiTheme="minorHAnsi"/>
          <w:sz w:val="22"/>
          <w:szCs w:val="22"/>
        </w:rPr>
        <w:t xml:space="preserve">The COVID-19 pandemic might pose risks during project execution to project staff and beneficiary stakeholders. </w:t>
      </w:r>
      <w:r>
        <w:rPr>
          <w:rFonts w:asciiTheme="minorHAnsi" w:hAnsiTheme="minorHAnsi" w:cstheme="minorHAnsi"/>
          <w:sz w:val="22"/>
          <w:szCs w:val="22"/>
        </w:rPr>
        <w:t>The project design has taken steps to minimize these risks such as reduction of travel to or from areas where COVID-19 is prevalent, in particular during the first year of the project’s implementation. For respective activities, more specific instructions were given regarding minimization of the COVID-19 associated impacts, in particular for the in-person meetings, trainings, conferences and dialogues. If necessary, i.e. depending on the development of the pandemic in 2021, training on pandemic-related guidance for project staff and stakeholders will be organized during the inception phase</w:t>
      </w:r>
    </w:p>
    <w:p w14:paraId="2B61DA74" w14:textId="77777777" w:rsidR="0071779B" w:rsidRDefault="0071779B" w:rsidP="0071779B">
      <w:pPr>
        <w:jc w:val="both"/>
        <w:rPr>
          <w:rFonts w:asciiTheme="minorHAnsi" w:hAnsiTheme="minorHAnsi" w:cstheme="minorHAnsi"/>
          <w:sz w:val="22"/>
          <w:szCs w:val="22"/>
        </w:rPr>
      </w:pPr>
    </w:p>
    <w:p w14:paraId="64065793" w14:textId="77777777" w:rsidR="0071779B" w:rsidRDefault="0071779B" w:rsidP="0071779B">
      <w:pPr>
        <w:jc w:val="both"/>
        <w:rPr>
          <w:rFonts w:asciiTheme="minorHAnsi" w:hAnsiTheme="minorHAnsi" w:cstheme="minorHAnsi"/>
          <w:sz w:val="22"/>
          <w:szCs w:val="22"/>
        </w:rPr>
      </w:pPr>
      <w:r>
        <w:rPr>
          <w:rFonts w:asciiTheme="minorHAnsi" w:hAnsiTheme="minorHAnsi" w:cstheme="minorHAnsi"/>
          <w:sz w:val="22"/>
          <w:szCs w:val="22"/>
        </w:rPr>
        <w:lastRenderedPageBreak/>
        <w:t xml:space="preserve">Overall, the risks associated with the project are detailed in the Annex 4 – SESP and in Annex 5 – Risk Register. The risks will be monitored by the Project Manager, who will report on the status of the risks to the UNDP Lead Office (HQ/NCE), which will record progress in the UNDP ATLAS Risk Log. Risks will be reported as critical when the impact and probability are high (i.e. 5). Management responses to critical risks will also be reported to the GEF in the annual PIR.  </w:t>
      </w:r>
    </w:p>
    <w:p w14:paraId="747AFB7F" w14:textId="77777777" w:rsidR="0071779B" w:rsidRPr="0071779B" w:rsidRDefault="0071779B" w:rsidP="0071779B"/>
    <w:p w14:paraId="6E23F26D" w14:textId="75178A6E" w:rsidR="0071779B" w:rsidRDefault="0071779B" w:rsidP="0071779B">
      <w:pPr>
        <w:pStyle w:val="Heading2"/>
        <w:rPr>
          <w:rFonts w:asciiTheme="minorHAnsi" w:hAnsiTheme="minorHAnsi" w:cstheme="minorHAnsi"/>
          <w:b/>
          <w:bCs/>
          <w:color w:val="000000" w:themeColor="text1"/>
          <w:sz w:val="32"/>
          <w:szCs w:val="32"/>
        </w:rPr>
      </w:pPr>
      <w:bookmarkStart w:id="36" w:name="_Toc115094382"/>
      <w:r w:rsidRPr="0075012D">
        <w:rPr>
          <w:rFonts w:asciiTheme="minorHAnsi" w:hAnsiTheme="minorHAnsi" w:cstheme="minorHAnsi"/>
          <w:b/>
          <w:bCs/>
          <w:color w:val="000000" w:themeColor="text1"/>
          <w:sz w:val="32"/>
          <w:szCs w:val="32"/>
        </w:rPr>
        <w:t>3.</w:t>
      </w:r>
      <w:r>
        <w:rPr>
          <w:rFonts w:asciiTheme="minorHAnsi" w:hAnsiTheme="minorHAnsi" w:cstheme="minorHAnsi"/>
          <w:b/>
          <w:bCs/>
          <w:color w:val="000000" w:themeColor="text1"/>
          <w:sz w:val="32"/>
          <w:szCs w:val="32"/>
        </w:rPr>
        <w:t>4</w:t>
      </w:r>
      <w:r w:rsidRPr="0075012D">
        <w:rPr>
          <w:rFonts w:asciiTheme="minorHAnsi" w:hAnsiTheme="minorHAnsi" w:cstheme="minorHAnsi"/>
          <w:b/>
          <w:bCs/>
          <w:color w:val="000000" w:themeColor="text1"/>
          <w:sz w:val="32"/>
          <w:szCs w:val="32"/>
        </w:rPr>
        <w:t>.</w:t>
      </w:r>
      <w:r w:rsidRPr="0075012D">
        <w:rPr>
          <w:rFonts w:asciiTheme="minorHAnsi" w:hAnsiTheme="minorHAnsi" w:cstheme="minorHAnsi"/>
          <w:b/>
          <w:bCs/>
          <w:color w:val="000000" w:themeColor="text1"/>
          <w:sz w:val="32"/>
          <w:szCs w:val="32"/>
        </w:rPr>
        <w:tab/>
      </w:r>
      <w:r w:rsidRPr="0071779B">
        <w:rPr>
          <w:rFonts w:asciiTheme="minorHAnsi" w:hAnsiTheme="minorHAnsi" w:cstheme="minorHAnsi"/>
          <w:b/>
          <w:bCs/>
          <w:color w:val="000000" w:themeColor="text1"/>
          <w:sz w:val="32"/>
          <w:szCs w:val="32"/>
        </w:rPr>
        <w:t>Stakeholder engagement and south-to-south cooperation</w:t>
      </w:r>
      <w:bookmarkEnd w:id="36"/>
    </w:p>
    <w:p w14:paraId="370E6484" w14:textId="77777777" w:rsidR="00964647" w:rsidRDefault="00964647" w:rsidP="0071779B">
      <w:pPr>
        <w:tabs>
          <w:tab w:val="left" w:pos="-3330"/>
        </w:tabs>
        <w:spacing w:after="80"/>
        <w:ind w:right="-18"/>
        <w:jc w:val="both"/>
        <w:rPr>
          <w:rFonts w:asciiTheme="minorHAnsi" w:hAnsiTheme="minorHAnsi" w:cstheme="minorHAnsi"/>
          <w:sz w:val="22"/>
          <w:szCs w:val="22"/>
        </w:rPr>
      </w:pPr>
    </w:p>
    <w:p w14:paraId="64D4886B" w14:textId="49B4C5A0" w:rsidR="0071779B" w:rsidRDefault="0071779B" w:rsidP="0071779B">
      <w:pPr>
        <w:tabs>
          <w:tab w:val="left" w:pos="-3330"/>
        </w:tabs>
        <w:spacing w:after="80"/>
        <w:ind w:right="-18"/>
        <w:jc w:val="both"/>
        <w:rPr>
          <w:rFonts w:asciiTheme="minorHAnsi" w:hAnsiTheme="minorHAnsi" w:cstheme="minorHAnsi"/>
          <w:sz w:val="22"/>
          <w:szCs w:val="22"/>
        </w:rPr>
      </w:pPr>
      <w:r>
        <w:rPr>
          <w:rFonts w:asciiTheme="minorHAnsi" w:hAnsiTheme="minorHAnsi" w:cstheme="minorHAnsi"/>
          <w:sz w:val="22"/>
          <w:szCs w:val="22"/>
        </w:rPr>
        <w:t xml:space="preserve">GEF IW:LEARN will continue to engage with a broad range of stakeholder groups who will be both partners to the project and key beneficiaries of the activities. It will forge linkages with and between stakeholder groups at the regional and global level. Members of the network will engage with IW:LEARN project as content (or knowledge) providers, while others will engage as knowledge beneficiaries. Stakeholders and partner organizations (listed below) may alternate roles depending on their particular skillset and training needs. In addition to the broad stakeholder groups identified below, the project will also work closely with other GEF ‘learning’ and targeted research projects: </w:t>
      </w:r>
    </w:p>
    <w:p w14:paraId="4882598C" w14:textId="77777777" w:rsidR="0071779B" w:rsidRDefault="0071779B" w:rsidP="0071779B">
      <w:pPr>
        <w:numPr>
          <w:ilvl w:val="0"/>
          <w:numId w:val="73"/>
        </w:numPr>
        <w:spacing w:before="280"/>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GEF IW Project coordinators </w:t>
      </w:r>
      <w:r>
        <w:rPr>
          <w:rFonts w:asciiTheme="minorHAnsi" w:hAnsiTheme="minorHAnsi" w:cstheme="minorHAnsi"/>
          <w:color w:val="000000"/>
          <w:sz w:val="22"/>
          <w:szCs w:val="22"/>
        </w:rPr>
        <w:t xml:space="preserve">(and PCUs) are the primary beneficiaries of GEF IW:LEARN’s capacity building activities and sharing of experiences. It is through these stakeholders that the real benefits of the activities will be observed, with tangible results being delivered through improved performance by IW projects and enhanced process, stress reduction and socio‐ economic/environmental status indicators. </w:t>
      </w:r>
    </w:p>
    <w:p w14:paraId="4BB2202F"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Participating Countries </w:t>
      </w:r>
      <w:r>
        <w:rPr>
          <w:rFonts w:asciiTheme="minorHAnsi" w:hAnsiTheme="minorHAnsi" w:cstheme="minorHAnsi"/>
          <w:color w:val="000000"/>
          <w:sz w:val="22"/>
          <w:szCs w:val="22"/>
        </w:rPr>
        <w:t xml:space="preserve">are beneficiaries of GEF IW:LEARN, particularly through the International Waters Conference but also other activities. It is envisioned that countries will benefit from other activities, such as the regional dialogues, which will offer opportunities to scale‐up knowledge management sharing the collective experiences from the IW project community to the countries. </w:t>
      </w:r>
    </w:p>
    <w:p w14:paraId="0B897A21"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The GEF Implementing Agencies</w:t>
      </w:r>
      <w:r>
        <w:rPr>
          <w:rFonts w:asciiTheme="minorHAnsi" w:hAnsiTheme="minorHAnsi" w:cstheme="minorHAnsi"/>
          <w:color w:val="000000"/>
          <w:sz w:val="22"/>
          <w:szCs w:val="22"/>
        </w:rPr>
        <w:t xml:space="preserve"> are the primary interlocutors with their respective institutional projects under implementation. This will provide GEF IW:LEARN with important communication means with individual projects and/or project groupings (particularly through the GEF IW Task Force). They are well positioned to update GEF IW:LEARN with lessons learned (such as Experience Notes) and facilitate participation of projects in GEF IW:LEARN activities (both face‐to‐face and online). </w:t>
      </w:r>
    </w:p>
    <w:p w14:paraId="341EE94E"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The GEF IW Secretariat: </w:t>
      </w:r>
      <w:r>
        <w:rPr>
          <w:rFonts w:asciiTheme="minorHAnsi" w:hAnsiTheme="minorHAnsi" w:cstheme="minorHAnsi"/>
          <w:color w:val="000000"/>
          <w:sz w:val="22"/>
          <w:szCs w:val="22"/>
        </w:rPr>
        <w:t xml:space="preserve">The GEF IW:LEARN project is and has always been a vehicle to assist the Secretariat in meeting the objectives of the IW Focal Area. </w:t>
      </w:r>
    </w:p>
    <w:p w14:paraId="20E91A59"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Civil Society/Local Community Organizations: </w:t>
      </w:r>
      <w:r>
        <w:rPr>
          <w:rFonts w:asciiTheme="minorHAnsi" w:hAnsiTheme="minorHAnsi" w:cstheme="minorHAnsi"/>
          <w:color w:val="000000"/>
          <w:sz w:val="22"/>
          <w:szCs w:val="22"/>
        </w:rPr>
        <w:t xml:space="preserve">As with previous phases, GEF IW:LEARN will work with CSOs at the local/regional level whenever the opportunity arises, for example in the course of workshops, twinning and other events. </w:t>
      </w:r>
    </w:p>
    <w:p w14:paraId="29A486F9"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Academic Research Institutes: </w:t>
      </w:r>
      <w:r>
        <w:rPr>
          <w:rFonts w:asciiTheme="minorHAnsi" w:hAnsiTheme="minorHAnsi" w:cstheme="minorHAnsi"/>
          <w:color w:val="000000"/>
          <w:sz w:val="22"/>
          <w:szCs w:val="22"/>
        </w:rPr>
        <w:t xml:space="preserve">GEF IW:LEARN will continue to work closely with academic and research communities through technical activities at workshops etc. and also through the other ‘Learning’ and targeted research IW projects. </w:t>
      </w:r>
    </w:p>
    <w:p w14:paraId="27DAD29A"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Bilateral/Multilateral Agencies: </w:t>
      </w:r>
      <w:r>
        <w:rPr>
          <w:rFonts w:asciiTheme="minorHAnsi" w:hAnsiTheme="minorHAnsi" w:cstheme="minorHAnsi"/>
          <w:color w:val="000000"/>
          <w:sz w:val="22"/>
          <w:szCs w:val="22"/>
        </w:rPr>
        <w:t xml:space="preserve">GEF IW projects work with a wide range of bilateral and multilateral agencies. These agencies will be involved at GEF IW:LEARN meetings/workshops and through twinning as appropriate. It is anticipated that material produced by this project (e.g. guidance documents) will also be of benefit to these agencies. </w:t>
      </w:r>
    </w:p>
    <w:p w14:paraId="10CE371D" w14:textId="77777777" w:rsidR="0071779B" w:rsidRDefault="0071779B" w:rsidP="0071779B">
      <w:pPr>
        <w:numPr>
          <w:ilvl w:val="0"/>
          <w:numId w:val="73"/>
        </w:numPr>
        <w:shd w:val="clear" w:color="auto" w:fill="FFFFFF"/>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Private Sector: </w:t>
      </w:r>
      <w:r>
        <w:rPr>
          <w:rFonts w:asciiTheme="minorHAnsi" w:hAnsiTheme="minorHAnsi" w:cstheme="minorHAnsi"/>
          <w:color w:val="000000"/>
          <w:sz w:val="22"/>
          <w:szCs w:val="22"/>
        </w:rPr>
        <w:t xml:space="preserve">This project is </w:t>
      </w:r>
      <w:proofErr w:type="spellStart"/>
      <w:r>
        <w:rPr>
          <w:rFonts w:asciiTheme="minorHAnsi" w:hAnsiTheme="minorHAnsi" w:cstheme="minorHAnsi"/>
          <w:color w:val="000000"/>
          <w:sz w:val="22"/>
          <w:szCs w:val="22"/>
        </w:rPr>
        <w:t>endeavouring</w:t>
      </w:r>
      <w:proofErr w:type="spellEnd"/>
      <w:r>
        <w:rPr>
          <w:rFonts w:asciiTheme="minorHAnsi" w:hAnsiTheme="minorHAnsi" w:cstheme="minorHAnsi"/>
          <w:color w:val="000000"/>
          <w:sz w:val="22"/>
          <w:szCs w:val="22"/>
        </w:rPr>
        <w:t xml:space="preserve"> to encourage all IW projects to work more closely with the private sector, and consequently the outputs of this project will not only benefit the GEF IW projects but will assist the private sector in engaging with GEF IW. The project will also work with industry alliances (including for example, the CEO Water Mandate), through which further private sector partners will be engaged. The project will contain an entire Component designed to support significant engagement with the private sector. The Component will </w:t>
      </w:r>
      <w:r>
        <w:rPr>
          <w:rFonts w:asciiTheme="minorHAnsi" w:hAnsiTheme="minorHAnsi" w:cstheme="minorHAnsi"/>
          <w:color w:val="000000"/>
          <w:sz w:val="22"/>
          <w:szCs w:val="22"/>
        </w:rPr>
        <w:lastRenderedPageBreak/>
        <w:t xml:space="preserve">support several activities to build the capacity of the portfolio to seek out, design and engage private sector, as well as an advisory panel to help matchmaking between the private sector and the project portfolio. The Panel will identify opportunities for investment in the wider portfolio as well as connecting those entities to those opportunities. The project will work with several entities already exposed to the portfolio’s work, such as REV Ocean, China Navigation, Thai Union. Wilderness Markets, 1Skip Development and </w:t>
      </w:r>
      <w:proofErr w:type="spellStart"/>
      <w:r>
        <w:rPr>
          <w:rFonts w:asciiTheme="minorHAnsi" w:hAnsiTheme="minorHAnsi" w:cstheme="minorHAnsi"/>
          <w:color w:val="000000"/>
          <w:sz w:val="22"/>
          <w:szCs w:val="22"/>
        </w:rPr>
        <w:t>Triciclos</w:t>
      </w:r>
      <w:proofErr w:type="spellEnd"/>
      <w:r>
        <w:rPr>
          <w:rFonts w:asciiTheme="minorHAnsi" w:hAnsiTheme="minorHAnsi" w:cstheme="minorHAnsi"/>
          <w:color w:val="000000"/>
          <w:sz w:val="22"/>
          <w:szCs w:val="22"/>
        </w:rPr>
        <w:t>.</w:t>
      </w:r>
    </w:p>
    <w:p w14:paraId="52250CDB" w14:textId="77777777" w:rsidR="0071779B" w:rsidRDefault="0071779B" w:rsidP="0071779B">
      <w:pPr>
        <w:numPr>
          <w:ilvl w:val="0"/>
          <w:numId w:val="73"/>
        </w:numPr>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Transboundary/Basin Bodies: </w:t>
      </w:r>
      <w:r>
        <w:rPr>
          <w:rFonts w:asciiTheme="minorHAnsi" w:hAnsiTheme="minorHAnsi" w:cstheme="minorHAnsi"/>
          <w:color w:val="000000"/>
          <w:sz w:val="22"/>
          <w:szCs w:val="22"/>
        </w:rPr>
        <w:t xml:space="preserve">These bodies, to varying degrees, host or sustain the work of IW projects in respective basins and it is important the project maintains a relationship with these bodies. The GEF IW:LEARN project will communicate effectively translated scientific knowledge, experiences and lessons to and from such bodies. The project will also aim to involve (where possible and applicable) such bodies in face‐to‐face events. </w:t>
      </w:r>
    </w:p>
    <w:p w14:paraId="726B05AC" w14:textId="77777777" w:rsidR="0071779B" w:rsidRDefault="0071779B" w:rsidP="0071779B">
      <w:pPr>
        <w:numPr>
          <w:ilvl w:val="0"/>
          <w:numId w:val="73"/>
        </w:numPr>
        <w:spacing w:after="280"/>
        <w:jc w:val="both"/>
        <w:rPr>
          <w:rFonts w:asciiTheme="minorHAnsi" w:hAnsiTheme="minorHAnsi" w:cstheme="minorHAnsi"/>
          <w:color w:val="000000"/>
          <w:sz w:val="22"/>
          <w:szCs w:val="22"/>
        </w:rPr>
      </w:pPr>
      <w:r>
        <w:rPr>
          <w:rFonts w:asciiTheme="minorHAnsi" w:hAnsiTheme="minorHAnsi" w:cstheme="minorHAnsi"/>
          <w:b/>
          <w:color w:val="000000"/>
          <w:sz w:val="22"/>
          <w:szCs w:val="22"/>
        </w:rPr>
        <w:t xml:space="preserve">Vulnerable Groups: </w:t>
      </w:r>
      <w:r>
        <w:rPr>
          <w:rFonts w:asciiTheme="minorHAnsi" w:hAnsiTheme="minorHAnsi" w:cstheme="minorHAnsi"/>
          <w:color w:val="000000"/>
          <w:sz w:val="22"/>
          <w:szCs w:val="22"/>
        </w:rPr>
        <w:t xml:space="preserve">GEF IW:LEARN will develop material, provide training, raise awareness etc. for the GEF IW projects on gender mainstreaming, building on the expertise of partners. This will assist in addressing one of the main avenues by which to achieve </w:t>
      </w:r>
      <w:proofErr w:type="spellStart"/>
      <w:r>
        <w:rPr>
          <w:rFonts w:asciiTheme="minorHAnsi" w:hAnsiTheme="minorHAnsi" w:cstheme="minorHAnsi"/>
          <w:color w:val="000000"/>
          <w:sz w:val="22"/>
          <w:szCs w:val="22"/>
        </w:rPr>
        <w:t>behavioural</w:t>
      </w:r>
      <w:proofErr w:type="spellEnd"/>
      <w:r>
        <w:rPr>
          <w:rFonts w:asciiTheme="minorHAnsi" w:hAnsiTheme="minorHAnsi" w:cstheme="minorHAnsi"/>
          <w:color w:val="000000"/>
          <w:sz w:val="22"/>
          <w:szCs w:val="22"/>
        </w:rPr>
        <w:t xml:space="preserve"> change that will lead to broader adoption of sustainable solutions to global environmental problems. </w:t>
      </w:r>
    </w:p>
    <w:p w14:paraId="0EC588B4" w14:textId="77777777" w:rsidR="0071779B" w:rsidRDefault="0071779B" w:rsidP="0071779B">
      <w:pPr>
        <w:spacing w:before="280" w:after="280"/>
        <w:jc w:val="both"/>
        <w:rPr>
          <w:rFonts w:asciiTheme="minorHAnsi" w:hAnsiTheme="minorHAnsi" w:cstheme="minorHAnsi"/>
          <w:sz w:val="22"/>
          <w:szCs w:val="22"/>
        </w:rPr>
      </w:pPr>
      <w:r>
        <w:rPr>
          <w:rFonts w:asciiTheme="minorHAnsi" w:hAnsiTheme="minorHAnsi" w:cstheme="minorHAnsi"/>
          <w:sz w:val="22"/>
          <w:szCs w:val="22"/>
        </w:rPr>
        <w:t xml:space="preserve">The project will aim at enhancing portfolio capacity building at the local, regional and global levels, and to establish effective portfolio‐wide dialogue opportunities for south‐to‐south learning through a suite of programs and events. It will stimulate increased collaboration and learning exchanges South-to-South between the transboundary water bodies. This will be done in particular in Component 3 of the project, which aims at stimulating the </w:t>
      </w:r>
      <w:r>
        <w:rPr>
          <w:rFonts w:asciiTheme="minorHAnsi" w:hAnsiTheme="minorHAnsi" w:cstheme="minorHAnsi"/>
          <w:color w:val="000000"/>
          <w:sz w:val="22"/>
          <w:szCs w:val="22"/>
        </w:rPr>
        <w:t xml:space="preserve">Intra and Inter-Regional Knowledge Management Across Focal Areas in Small Island Developing States. </w:t>
      </w:r>
    </w:p>
    <w:p w14:paraId="23268849" w14:textId="77777777" w:rsidR="0071779B" w:rsidRPr="0071779B" w:rsidRDefault="0071779B" w:rsidP="0071779B"/>
    <w:p w14:paraId="7B3087CB" w14:textId="735E773C" w:rsidR="0071779B" w:rsidRDefault="0071779B" w:rsidP="0071779B">
      <w:pPr>
        <w:pStyle w:val="Heading2"/>
        <w:rPr>
          <w:rFonts w:asciiTheme="minorHAnsi" w:hAnsiTheme="minorHAnsi" w:cstheme="minorHAnsi"/>
          <w:b/>
          <w:bCs/>
          <w:color w:val="000000" w:themeColor="text1"/>
          <w:sz w:val="32"/>
          <w:szCs w:val="32"/>
        </w:rPr>
      </w:pPr>
      <w:bookmarkStart w:id="37" w:name="_Toc115094383"/>
      <w:r w:rsidRPr="0075012D">
        <w:rPr>
          <w:rFonts w:asciiTheme="minorHAnsi" w:hAnsiTheme="minorHAnsi" w:cstheme="minorHAnsi"/>
          <w:b/>
          <w:bCs/>
          <w:color w:val="000000" w:themeColor="text1"/>
          <w:sz w:val="32"/>
          <w:szCs w:val="32"/>
        </w:rPr>
        <w:t>3.</w:t>
      </w:r>
      <w:r>
        <w:rPr>
          <w:rFonts w:asciiTheme="minorHAnsi" w:hAnsiTheme="minorHAnsi" w:cstheme="minorHAnsi"/>
          <w:b/>
          <w:bCs/>
          <w:color w:val="000000" w:themeColor="text1"/>
          <w:sz w:val="32"/>
          <w:szCs w:val="32"/>
        </w:rPr>
        <w:t>5</w:t>
      </w:r>
      <w:r w:rsidRPr="0075012D">
        <w:rPr>
          <w:rFonts w:asciiTheme="minorHAnsi" w:hAnsiTheme="minorHAnsi" w:cstheme="minorHAnsi"/>
          <w:b/>
          <w:bCs/>
          <w:color w:val="000000" w:themeColor="text1"/>
          <w:sz w:val="32"/>
          <w:szCs w:val="32"/>
        </w:rPr>
        <w:t>.</w:t>
      </w:r>
      <w:r w:rsidRPr="0075012D">
        <w:rPr>
          <w:rFonts w:asciiTheme="minorHAnsi" w:hAnsiTheme="minorHAnsi" w:cstheme="minorHAnsi"/>
          <w:b/>
          <w:bCs/>
          <w:color w:val="000000" w:themeColor="text1"/>
          <w:sz w:val="32"/>
          <w:szCs w:val="32"/>
        </w:rPr>
        <w:tab/>
      </w:r>
      <w:r w:rsidRPr="0071779B">
        <w:rPr>
          <w:rFonts w:asciiTheme="minorHAnsi" w:hAnsiTheme="minorHAnsi" w:cstheme="minorHAnsi"/>
          <w:b/>
          <w:bCs/>
          <w:color w:val="000000" w:themeColor="text1"/>
          <w:sz w:val="32"/>
          <w:szCs w:val="32"/>
        </w:rPr>
        <w:t>Gender equality and women's empowerment</w:t>
      </w:r>
      <w:bookmarkEnd w:id="37"/>
    </w:p>
    <w:p w14:paraId="29CA1C84" w14:textId="77777777" w:rsidR="00964647" w:rsidRDefault="00964647" w:rsidP="0071779B">
      <w:pPr>
        <w:shd w:val="clear" w:color="auto" w:fill="FFFFFF"/>
        <w:jc w:val="both"/>
        <w:rPr>
          <w:rFonts w:asciiTheme="minorHAnsi" w:hAnsiTheme="minorHAnsi" w:cstheme="minorHAnsi"/>
          <w:color w:val="000000"/>
          <w:sz w:val="22"/>
          <w:szCs w:val="22"/>
        </w:rPr>
      </w:pPr>
    </w:p>
    <w:p w14:paraId="21903529" w14:textId="2EBD2891" w:rsidR="0071779B" w:rsidRDefault="0071779B" w:rsidP="0071779B">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Women play a central role in the provision, management and safeguarding of freshwater and marine ecosystems. How water and marine resources are distributed, who has access and can make decisions on its use, depends on various social factors, including gender norms. While in the majority of societies women and girls are responsible for fetching and carrying water, and for using it for the health and wellbeing of their families, these women and girls rarely have the decision-making power it takes to control and preserve water and marine resources. This is true at the community, national, transboundary and international level. In addition, women are rarely represented in ministries responsible for decision making about water and marine ecosystems, and are generally not found in technical management roles. </w:t>
      </w:r>
    </w:p>
    <w:p w14:paraId="34542B5B" w14:textId="77777777" w:rsidR="0071779B" w:rsidRDefault="0071779B" w:rsidP="0071779B">
      <w:pPr>
        <w:shd w:val="clear" w:color="auto" w:fill="FFFFFF"/>
        <w:jc w:val="both"/>
        <w:rPr>
          <w:rFonts w:asciiTheme="minorHAnsi" w:hAnsiTheme="minorHAnsi" w:cstheme="minorHAnsi"/>
          <w:color w:val="000000"/>
          <w:sz w:val="22"/>
          <w:szCs w:val="22"/>
        </w:rPr>
      </w:pPr>
    </w:p>
    <w:p w14:paraId="1C100426" w14:textId="77777777" w:rsidR="0071779B" w:rsidRDefault="0071779B" w:rsidP="0071779B">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Gender mainstreaming and promoting women’s empowerment are strategic and operational imperatives for the GEF. Having launched its initial gender policy in 2011, the GEF approved a reinforced policy in October 2017, shifting the focus from </w:t>
      </w:r>
      <w:r>
        <w:rPr>
          <w:rFonts w:asciiTheme="minorHAnsi" w:hAnsiTheme="minorHAnsi" w:cstheme="minorHAnsi"/>
          <w:i/>
          <w:color w:val="000000"/>
          <w:sz w:val="22"/>
          <w:szCs w:val="22"/>
        </w:rPr>
        <w:t>a gender-aware do no harm</w:t>
      </w:r>
      <w:r>
        <w:rPr>
          <w:rFonts w:asciiTheme="minorHAnsi" w:hAnsiTheme="minorHAnsi" w:cstheme="minorHAnsi"/>
          <w:color w:val="000000"/>
          <w:sz w:val="22"/>
          <w:szCs w:val="22"/>
        </w:rPr>
        <w:t xml:space="preserve"> approach to a </w:t>
      </w:r>
      <w:r>
        <w:rPr>
          <w:rFonts w:asciiTheme="minorHAnsi" w:hAnsiTheme="minorHAnsi" w:cstheme="minorHAnsi"/>
          <w:i/>
          <w:color w:val="000000"/>
          <w:sz w:val="22"/>
          <w:szCs w:val="22"/>
        </w:rPr>
        <w:t>gender-responsive do good</w:t>
      </w:r>
      <w:r>
        <w:rPr>
          <w:rFonts w:asciiTheme="minorHAnsi" w:hAnsiTheme="minorHAnsi" w:cstheme="minorHAnsi"/>
          <w:color w:val="000000"/>
          <w:sz w:val="22"/>
          <w:szCs w:val="22"/>
        </w:rPr>
        <w:t xml:space="preserve"> approach. Men and women have differentiated access to natural resources and, as a result, they are affected differently by changes to these resources and dependent livelihoods. Gender inequality and social exclusion increase the negative effects of environmental degradation on women and girls. Despite recent promising policy and legal reforms, and the full appreciation in the region that women in decision-making spaces can promote sustainable water resource use and management</w:t>
      </w:r>
      <w:r>
        <w:rPr>
          <w:rFonts w:asciiTheme="minorHAnsi" w:hAnsiTheme="minorHAnsi" w:cstheme="minorHAnsi"/>
          <w:color w:val="555555"/>
          <w:sz w:val="22"/>
          <w:szCs w:val="22"/>
        </w:rPr>
        <w:t xml:space="preserve">, </w:t>
      </w:r>
      <w:r>
        <w:rPr>
          <w:rFonts w:asciiTheme="minorHAnsi" w:hAnsiTheme="minorHAnsi" w:cstheme="minorHAnsi"/>
          <w:color w:val="000000"/>
          <w:sz w:val="22"/>
          <w:szCs w:val="22"/>
        </w:rPr>
        <w:t>persistent gender-discriminatory social and cultural norms, unequal access to land, water and productive assets, and unequal decision-making power continue to constrain women and men from equally participating in, contributing to, and benefitting from environmental projects and programs.</w:t>
      </w:r>
    </w:p>
    <w:p w14:paraId="2D7BE139" w14:textId="77777777" w:rsidR="0071779B" w:rsidRDefault="0071779B" w:rsidP="0071779B">
      <w:pPr>
        <w:shd w:val="clear" w:color="auto" w:fill="FFFFFF"/>
        <w:jc w:val="both"/>
        <w:rPr>
          <w:rFonts w:asciiTheme="minorHAnsi" w:hAnsiTheme="minorHAnsi" w:cstheme="minorHAnsi"/>
          <w:color w:val="000000"/>
          <w:sz w:val="22"/>
          <w:szCs w:val="22"/>
        </w:rPr>
      </w:pPr>
    </w:p>
    <w:p w14:paraId="047C2320" w14:textId="77777777" w:rsidR="0071779B" w:rsidRDefault="0071779B" w:rsidP="0071779B">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During its new phase, GEF IW:LEARN, as the portfolio coordination mechanism, has the responsibility to provide programmatic guidance support to the IW portfolio as well as execute other activities to help portfolio projects support gender mainstreaming throughout the portfolio. Making a case for gender mainstreaming activities means to provide a learning example for external partners, governments and institutions on how to improve their own water and marine programs and training tools. </w:t>
      </w:r>
    </w:p>
    <w:p w14:paraId="295C26D1" w14:textId="77777777" w:rsidR="0071779B" w:rsidRDefault="0071779B" w:rsidP="0071779B">
      <w:pPr>
        <w:shd w:val="clear" w:color="auto" w:fill="FFFFFF"/>
        <w:jc w:val="both"/>
        <w:rPr>
          <w:rFonts w:asciiTheme="minorHAnsi" w:hAnsiTheme="minorHAnsi" w:cstheme="minorHAnsi"/>
          <w:color w:val="000000"/>
          <w:sz w:val="22"/>
          <w:szCs w:val="22"/>
        </w:rPr>
      </w:pPr>
    </w:p>
    <w:p w14:paraId="4F49EF80" w14:textId="77777777" w:rsidR="0071779B" w:rsidRDefault="0071779B" w:rsidP="0071779B">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project will continue to address the gender dimension, in particular through activity 4.4.3 with the aim of streamlining this aspect into the TDA-SAP process. The project will capitalize on the materials developed and lessons learned and apply these to maximize uptake by the GEF IW portfolio either via innovative training techniques (online/face to face) or committed targeted support delivered by partners. The aim will continue to be to introduce systematic consideration of gender equity, woman empowerment and social inclusion in GEF’s international waters portfolio approach for the improved management of transboundary waters and for more integrated resources management initiatives. The project will accelerate portfolio learning on this key thematic priority for the GEF portfolio. It will provide access to GEF IW partners, IW projects, and recipient countries (scientific institutes, national bodies, basin organizations, non-governmental organizations, universities, students) to relevant training materials, and cutting-edge experience on gender-responsive indicators, including but not limited to sex-disaggregated data collection. </w:t>
      </w:r>
    </w:p>
    <w:p w14:paraId="6275D797" w14:textId="77777777" w:rsidR="0071779B" w:rsidRDefault="0071779B" w:rsidP="0071779B">
      <w:pPr>
        <w:shd w:val="clear" w:color="auto" w:fill="FFFFFF"/>
        <w:jc w:val="both"/>
        <w:rPr>
          <w:rFonts w:asciiTheme="minorHAnsi" w:hAnsiTheme="minorHAnsi" w:cstheme="minorHAnsi"/>
          <w:color w:val="000000"/>
          <w:sz w:val="22"/>
          <w:szCs w:val="22"/>
        </w:rPr>
      </w:pPr>
    </w:p>
    <w:p w14:paraId="0A1125D2" w14:textId="60C2516C" w:rsidR="0071779B" w:rsidRDefault="0071779B" w:rsidP="0071779B">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Finally, the project could facilitate exchanges of experiences and online learning mechanisms on gender integration and the use of gender indicators. These may include ad-hoc trainings and workshops on sex-disaggregated water data collection and analysis, and on gender sensitive indicators. These </w:t>
      </w:r>
      <w:proofErr w:type="spellStart"/>
      <w:r>
        <w:rPr>
          <w:rFonts w:asciiTheme="minorHAnsi" w:hAnsiTheme="minorHAnsi" w:cstheme="minorHAnsi"/>
          <w:color w:val="000000"/>
          <w:sz w:val="22"/>
          <w:szCs w:val="22"/>
        </w:rPr>
        <w:t>twinnings</w:t>
      </w:r>
      <w:proofErr w:type="spellEnd"/>
      <w:r>
        <w:rPr>
          <w:rFonts w:asciiTheme="minorHAnsi" w:hAnsiTheme="minorHAnsi" w:cstheme="minorHAnsi"/>
          <w:color w:val="000000"/>
          <w:sz w:val="22"/>
          <w:szCs w:val="22"/>
        </w:rPr>
        <w:t xml:space="preserve"> (between projects) or wider trainings could be based on the 5 multi-faceted macro-modules – each composed by one or more sub-modules and exercises already developed in the previous phase, which offer a theoretical, interactive and practical learning experience.</w:t>
      </w:r>
    </w:p>
    <w:p w14:paraId="19BA96F8" w14:textId="77777777" w:rsidR="0071779B" w:rsidRPr="0071779B" w:rsidRDefault="0071779B" w:rsidP="0071779B"/>
    <w:p w14:paraId="699DEBFD" w14:textId="174ADEBB" w:rsidR="00964647" w:rsidRDefault="00964647" w:rsidP="00964647">
      <w:pPr>
        <w:pStyle w:val="Heading2"/>
        <w:rPr>
          <w:rFonts w:asciiTheme="minorHAnsi" w:hAnsiTheme="minorHAnsi" w:cstheme="minorHAnsi"/>
          <w:b/>
          <w:bCs/>
          <w:color w:val="000000" w:themeColor="text1"/>
          <w:sz w:val="32"/>
          <w:szCs w:val="32"/>
        </w:rPr>
      </w:pPr>
      <w:bookmarkStart w:id="38" w:name="_Toc115094384"/>
      <w:r w:rsidRPr="0075012D">
        <w:rPr>
          <w:rFonts w:asciiTheme="minorHAnsi" w:hAnsiTheme="minorHAnsi" w:cstheme="minorHAnsi"/>
          <w:b/>
          <w:bCs/>
          <w:color w:val="000000" w:themeColor="text1"/>
          <w:sz w:val="32"/>
          <w:szCs w:val="32"/>
        </w:rPr>
        <w:t>3.</w:t>
      </w:r>
      <w:r>
        <w:rPr>
          <w:rFonts w:asciiTheme="minorHAnsi" w:hAnsiTheme="minorHAnsi" w:cstheme="minorHAnsi"/>
          <w:b/>
          <w:bCs/>
          <w:color w:val="000000" w:themeColor="text1"/>
          <w:sz w:val="32"/>
          <w:szCs w:val="32"/>
        </w:rPr>
        <w:t>6</w:t>
      </w:r>
      <w:r w:rsidRPr="0075012D">
        <w:rPr>
          <w:rFonts w:asciiTheme="minorHAnsi" w:hAnsiTheme="minorHAnsi" w:cstheme="minorHAnsi"/>
          <w:b/>
          <w:bCs/>
          <w:color w:val="000000" w:themeColor="text1"/>
          <w:sz w:val="32"/>
          <w:szCs w:val="32"/>
        </w:rPr>
        <w:t>.</w:t>
      </w:r>
      <w:r w:rsidRPr="0075012D">
        <w:rPr>
          <w:rFonts w:asciiTheme="minorHAnsi" w:hAnsiTheme="minorHAnsi" w:cstheme="minorHAnsi"/>
          <w:b/>
          <w:bCs/>
          <w:color w:val="000000" w:themeColor="text1"/>
          <w:sz w:val="32"/>
          <w:szCs w:val="32"/>
        </w:rPr>
        <w:tab/>
      </w:r>
      <w:r w:rsidRPr="00964647">
        <w:rPr>
          <w:rFonts w:asciiTheme="minorHAnsi" w:hAnsiTheme="minorHAnsi" w:cstheme="minorHAnsi"/>
          <w:b/>
          <w:bCs/>
          <w:color w:val="000000" w:themeColor="text1"/>
          <w:sz w:val="32"/>
          <w:szCs w:val="32"/>
        </w:rPr>
        <w:t>Innovativeness, sustainability and potential for scaling up</w:t>
      </w:r>
      <w:bookmarkEnd w:id="38"/>
    </w:p>
    <w:p w14:paraId="04077FC4" w14:textId="77777777" w:rsidR="00964647" w:rsidRDefault="00964647" w:rsidP="00964647">
      <w:pPr>
        <w:jc w:val="both"/>
        <w:rPr>
          <w:rFonts w:asciiTheme="minorHAnsi" w:hAnsiTheme="minorHAnsi" w:cstheme="minorHAnsi"/>
          <w:color w:val="000000"/>
          <w:sz w:val="22"/>
          <w:szCs w:val="22"/>
        </w:rPr>
      </w:pPr>
    </w:p>
    <w:p w14:paraId="25539013" w14:textId="20B96940" w:rsidR="00964647" w:rsidRDefault="00964647" w:rsidP="00964647">
      <w:pPr>
        <w:jc w:val="both"/>
        <w:rPr>
          <w:rFonts w:asciiTheme="minorHAnsi" w:hAnsiTheme="minorHAnsi" w:cstheme="minorHAnsi"/>
          <w:color w:val="000000"/>
          <w:sz w:val="22"/>
          <w:szCs w:val="22"/>
        </w:rPr>
      </w:pPr>
      <w:r>
        <w:rPr>
          <w:rFonts w:asciiTheme="minorHAnsi" w:hAnsiTheme="minorHAnsi" w:cstheme="minorHAnsi"/>
          <w:color w:val="000000"/>
          <w:sz w:val="22"/>
          <w:szCs w:val="22"/>
        </w:rPr>
        <w:t>With regard to innovation, the GEF IW:LEARN previous phases have been repeatedly upheld as an innovative model, including by the GEF itself. The project continues to innovate itself, both in the design phases and during the implementation. This proposed new phase will incorporate feedback from the portfolio obtained through portfolio surveys and event evaluation forms of GEF Biennial International Waters Conferences and regional workshops. The new project will contain innovative approaches as well as tried and tested methods. </w:t>
      </w:r>
    </w:p>
    <w:p w14:paraId="11CB0105" w14:textId="77777777" w:rsidR="00964647" w:rsidRDefault="00964647" w:rsidP="00964647">
      <w:pPr>
        <w:jc w:val="both"/>
        <w:rPr>
          <w:rFonts w:asciiTheme="minorHAnsi" w:hAnsiTheme="minorHAnsi" w:cstheme="minorHAnsi"/>
          <w:sz w:val="22"/>
          <w:szCs w:val="22"/>
        </w:rPr>
      </w:pPr>
    </w:p>
    <w:p w14:paraId="33F2E7AC" w14:textId="77777777" w:rsidR="00964647" w:rsidRDefault="00964647" w:rsidP="00964647">
      <w:pPr>
        <w:jc w:val="both"/>
        <w:rPr>
          <w:rFonts w:asciiTheme="minorHAnsi" w:hAnsiTheme="minorHAnsi" w:cstheme="minorHAnsi"/>
          <w:color w:val="000000"/>
          <w:sz w:val="22"/>
          <w:szCs w:val="22"/>
        </w:rPr>
      </w:pPr>
      <w:r>
        <w:rPr>
          <w:rFonts w:asciiTheme="minorHAnsi" w:hAnsiTheme="minorHAnsi" w:cstheme="minorHAnsi"/>
          <w:color w:val="000000"/>
          <w:sz w:val="22"/>
          <w:szCs w:val="22"/>
        </w:rPr>
        <w:t>With regard to scaling up potential, the 5</w:t>
      </w:r>
      <w:r>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GEF Operational Performance study notably calls IW:LEARN, the GEF’s “one highly effective learning mechanism”. The most recent independent evaluation of IW:LEARN (2018) noted that existing phase of the project moved from a demonstration phase where successful knowledge management services to GEF IW projects were piloted, tested and replicated, towards a scaled-up project which became a hub for global learning on transboundary waters, working both inside and outside the GEF-financed portfolio. The 2018  evaluation state further that this “enhanced role as a global knowledge hub will support the scale up of GEF IW investments globally, as the project will harness experience from more than 27 years of GEF portfolio and partner activities to improve the current and future portfolios and impacts of investments. GEF IW:LEARN will also help GEF IW projects in improving their project outcomes sustainably by linking them up to the global processes and framework, as well as partners at the regional and basin levels.” Based on the experience to date, there remains significant potential to scale up the work of the project, particularly on the latter point of linking the portfolio to global processes and frameworks. </w:t>
      </w:r>
    </w:p>
    <w:p w14:paraId="08AE7692" w14:textId="77777777" w:rsidR="00964647" w:rsidRDefault="00964647" w:rsidP="00964647">
      <w:pPr>
        <w:jc w:val="both"/>
        <w:rPr>
          <w:rFonts w:asciiTheme="minorHAnsi" w:hAnsiTheme="minorHAnsi" w:cstheme="minorHAnsi"/>
          <w:sz w:val="22"/>
          <w:szCs w:val="22"/>
        </w:rPr>
      </w:pPr>
    </w:p>
    <w:p w14:paraId="280784A6" w14:textId="49B5F7AC" w:rsidR="00964647" w:rsidRDefault="00964647" w:rsidP="00964647">
      <w:pPr>
        <w:jc w:val="both"/>
        <w:rPr>
          <w:rFonts w:asciiTheme="minorHAnsi" w:hAnsiTheme="minorHAnsi" w:cstheme="minorHAnsi"/>
          <w:color w:val="000000"/>
          <w:sz w:val="22"/>
          <w:szCs w:val="22"/>
        </w:rPr>
      </w:pPr>
      <w:r>
        <w:rPr>
          <w:rFonts w:asciiTheme="minorHAnsi" w:hAnsiTheme="minorHAnsi" w:cstheme="minorHAnsi"/>
          <w:color w:val="000000"/>
          <w:sz w:val="22"/>
          <w:szCs w:val="22"/>
        </w:rPr>
        <w:t>In the absence of the GEF increment, and a fully executed IW:LEARN Sustainability Plan to facilitate knowledge management across the GEF agencies and IW portfolio, learning and information transfer would revert to ad hoc arrangements. Project personnel, agencies and government partners would operate in an experience vacuum, creating project isolation and sacrificing momentum, institutional memory and continuity, which would ultimately constrain the pace and quality of project implementation and delivery and limit the overall performance and impact of the GEF IW portfolio. Furthermore, without the GEF increment, potential synergies among the GEF IW portfolio, the private sector and other global environmental efforts will likely not be realized. Without the GEF increment, there would be no dedicated knowledge management agenda to exert positive pressure on IW projects to interact and share experiences and results, reducing the potential for scaling up successful approaches to management and governance of IW.</w:t>
      </w:r>
    </w:p>
    <w:p w14:paraId="3047A618" w14:textId="77777777" w:rsidR="00FA5AC7" w:rsidRDefault="00FA5AC7" w:rsidP="00FA5AC7">
      <w:pPr>
        <w:pStyle w:val="Heading1"/>
        <w:numPr>
          <w:ilvl w:val="0"/>
          <w:numId w:val="0"/>
        </w:numPr>
        <w:ind w:left="720" w:hanging="720"/>
        <w:rPr>
          <w:rFonts w:ascii="Calibri" w:hAnsi="Calibri"/>
          <w:szCs w:val="28"/>
        </w:rPr>
        <w:sectPr w:rsidR="00FA5AC7">
          <w:pgSz w:w="11906" w:h="16838"/>
          <w:pgMar w:top="1440" w:right="1440" w:bottom="1440" w:left="1440" w:header="708" w:footer="708" w:gutter="0"/>
          <w:cols w:space="708"/>
          <w:docGrid w:linePitch="360"/>
        </w:sectPr>
      </w:pPr>
      <w:bookmarkStart w:id="39" w:name="_Toc46749080"/>
    </w:p>
    <w:p w14:paraId="7B52E4DB" w14:textId="143C1CA3" w:rsidR="007E0E95" w:rsidRPr="007E0E95" w:rsidRDefault="00FA5AC7" w:rsidP="007E0E95">
      <w:pPr>
        <w:pStyle w:val="Heading1"/>
        <w:rPr>
          <w:rFonts w:ascii="Calibri" w:hAnsi="Calibri"/>
          <w:szCs w:val="28"/>
        </w:rPr>
      </w:pPr>
      <w:bookmarkStart w:id="40" w:name="_Toc115094385"/>
      <w:r>
        <w:rPr>
          <w:rFonts w:ascii="Calibri" w:hAnsi="Calibri"/>
          <w:szCs w:val="28"/>
        </w:rPr>
        <w:lastRenderedPageBreak/>
        <w:t>Project Results Framework</w:t>
      </w:r>
      <w:bookmarkEnd w:id="39"/>
      <w:bookmarkEnd w:id="40"/>
    </w:p>
    <w:tbl>
      <w:tblPr>
        <w:tblW w:w="13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4228"/>
        <w:gridCol w:w="2159"/>
        <w:gridCol w:w="2519"/>
        <w:gridCol w:w="2229"/>
      </w:tblGrid>
      <w:tr w:rsidR="007E0E95" w:rsidRPr="007E0E95" w14:paraId="66F6A159" w14:textId="77777777" w:rsidTr="007E0E95">
        <w:trPr>
          <w:trHeight w:val="305"/>
          <w:jc w:val="center"/>
        </w:trPr>
        <w:tc>
          <w:tcPr>
            <w:tcW w:w="13745" w:type="dxa"/>
            <w:gridSpan w:val="5"/>
            <w:tcBorders>
              <w:top w:val="single" w:sz="4" w:space="0" w:color="000000"/>
              <w:left w:val="single" w:sz="4" w:space="0" w:color="000000"/>
              <w:bottom w:val="single" w:sz="4" w:space="0" w:color="000000"/>
              <w:right w:val="single" w:sz="4" w:space="0" w:color="000000"/>
            </w:tcBorders>
            <w:shd w:val="clear" w:color="auto" w:fill="DFDFDF"/>
            <w:hideMark/>
          </w:tcPr>
          <w:p w14:paraId="36228FE2" w14:textId="77777777" w:rsidR="007E0E95" w:rsidRDefault="007E0E95">
            <w:pPr>
              <w:rPr>
                <w:rFonts w:asciiTheme="minorHAnsi" w:hAnsiTheme="minorHAnsi" w:cstheme="minorHAnsi"/>
                <w:sz w:val="18"/>
                <w:szCs w:val="18"/>
              </w:rPr>
            </w:pPr>
            <w:r>
              <w:rPr>
                <w:rFonts w:asciiTheme="minorHAnsi" w:hAnsiTheme="minorHAnsi" w:cstheme="minorHAnsi"/>
                <w:b/>
                <w:sz w:val="18"/>
                <w:szCs w:val="18"/>
              </w:rPr>
              <w:t>This project will contribute to the following Sustainable Development Goal (s):  6, 14</w:t>
            </w:r>
          </w:p>
        </w:tc>
      </w:tr>
      <w:tr w:rsidR="007E0E95" w:rsidRPr="007E0E95" w14:paraId="654EBF17" w14:textId="77777777" w:rsidTr="007E0E95">
        <w:trPr>
          <w:trHeight w:val="287"/>
          <w:jc w:val="center"/>
        </w:trPr>
        <w:tc>
          <w:tcPr>
            <w:tcW w:w="13745" w:type="dxa"/>
            <w:gridSpan w:val="5"/>
            <w:tcBorders>
              <w:top w:val="single" w:sz="4" w:space="0" w:color="000000"/>
              <w:left w:val="single" w:sz="4" w:space="0" w:color="000000"/>
              <w:bottom w:val="single" w:sz="4" w:space="0" w:color="000000"/>
              <w:right w:val="single" w:sz="4" w:space="0" w:color="000000"/>
            </w:tcBorders>
            <w:shd w:val="clear" w:color="auto" w:fill="DFDFDF"/>
            <w:hideMark/>
          </w:tcPr>
          <w:p w14:paraId="1E98C1C7" w14:textId="77777777" w:rsidR="007E0E95" w:rsidRDefault="007E0E95">
            <w:pPr>
              <w:rPr>
                <w:rFonts w:asciiTheme="minorHAnsi" w:hAnsiTheme="minorHAnsi" w:cstheme="minorHAnsi"/>
                <w:b/>
              </w:rPr>
            </w:pPr>
            <w:r>
              <w:rPr>
                <w:rFonts w:asciiTheme="minorHAnsi" w:hAnsiTheme="minorHAnsi" w:cstheme="minorHAnsi"/>
                <w:b/>
                <w:sz w:val="18"/>
                <w:szCs w:val="18"/>
              </w:rPr>
              <w:t>This project will contribute to the following country outcome (UNDAF/CPD, RPD, GPD):  Not Applicable</w:t>
            </w:r>
          </w:p>
        </w:tc>
      </w:tr>
      <w:tr w:rsidR="007E0E95" w14:paraId="64FDE6CF" w14:textId="77777777" w:rsidTr="007E0E95">
        <w:trPr>
          <w:trHeight w:val="544"/>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tcPr>
          <w:p w14:paraId="1905C05B" w14:textId="77777777" w:rsidR="007E0E95" w:rsidRDefault="007E0E95">
            <w:pPr>
              <w:jc w:val="center"/>
              <w:rPr>
                <w:rFonts w:asciiTheme="minorHAnsi" w:hAnsiTheme="minorHAnsi" w:cstheme="minorHAnsi"/>
                <w:b/>
                <w:sz w:val="18"/>
                <w:szCs w:val="18"/>
              </w:rPr>
            </w:pPr>
          </w:p>
        </w:tc>
        <w:tc>
          <w:tcPr>
            <w:tcW w:w="4230" w:type="dxa"/>
            <w:tcBorders>
              <w:top w:val="single" w:sz="4" w:space="0" w:color="000000"/>
              <w:left w:val="single" w:sz="4" w:space="0" w:color="000000"/>
              <w:bottom w:val="single" w:sz="4" w:space="0" w:color="000000"/>
              <w:right w:val="single" w:sz="4" w:space="0" w:color="000000"/>
            </w:tcBorders>
            <w:shd w:val="clear" w:color="auto" w:fill="DFDFDF"/>
            <w:hideMark/>
          </w:tcPr>
          <w:p w14:paraId="0CB12539" w14:textId="77777777" w:rsidR="007E0E95" w:rsidRDefault="007E0E95">
            <w:pPr>
              <w:jc w:val="center"/>
              <w:rPr>
                <w:rFonts w:asciiTheme="minorHAnsi" w:hAnsiTheme="minorHAnsi" w:cstheme="minorHAnsi"/>
                <w:b/>
                <w:sz w:val="18"/>
                <w:szCs w:val="18"/>
              </w:rPr>
            </w:pPr>
            <w:r>
              <w:rPr>
                <w:rFonts w:asciiTheme="minorHAnsi" w:hAnsiTheme="minorHAnsi" w:cstheme="minorHAnsi"/>
                <w:b/>
                <w:sz w:val="18"/>
                <w:szCs w:val="18"/>
              </w:rPr>
              <w:t>Objective and Outcome Indicators</w:t>
            </w:r>
          </w:p>
          <w:p w14:paraId="02EDBE19" w14:textId="77777777" w:rsidR="007E0E95" w:rsidRDefault="007E0E95">
            <w:pPr>
              <w:jc w:val="center"/>
              <w:rPr>
                <w:rFonts w:asciiTheme="minorHAnsi" w:hAnsiTheme="minorHAnsi" w:cstheme="minorHAnsi"/>
                <w:b/>
                <w:sz w:val="18"/>
                <w:szCs w:val="18"/>
              </w:rPr>
            </w:pPr>
            <w:r>
              <w:rPr>
                <w:rFonts w:asciiTheme="minorHAnsi" w:hAnsiTheme="minorHAnsi" w:cstheme="minorHAnsi"/>
                <w:b/>
                <w:sz w:val="18"/>
                <w:szCs w:val="18"/>
              </w:rPr>
              <w:t>(no more than a total of 20 indicators)</w:t>
            </w:r>
          </w:p>
        </w:tc>
        <w:tc>
          <w:tcPr>
            <w:tcW w:w="2160" w:type="dxa"/>
            <w:tcBorders>
              <w:top w:val="single" w:sz="4" w:space="0" w:color="000000"/>
              <w:left w:val="single" w:sz="4" w:space="0" w:color="000000"/>
              <w:bottom w:val="single" w:sz="4" w:space="0" w:color="000000"/>
              <w:right w:val="single" w:sz="4" w:space="0" w:color="000000"/>
            </w:tcBorders>
            <w:shd w:val="clear" w:color="auto" w:fill="DFDFDF"/>
          </w:tcPr>
          <w:p w14:paraId="75A27602" w14:textId="77777777" w:rsidR="007E0E95" w:rsidRDefault="007E0E95">
            <w:pPr>
              <w:jc w:val="center"/>
              <w:rPr>
                <w:rFonts w:asciiTheme="minorHAnsi" w:hAnsiTheme="minorHAnsi" w:cstheme="minorHAnsi"/>
                <w:b/>
                <w:sz w:val="18"/>
                <w:szCs w:val="18"/>
              </w:rPr>
            </w:pPr>
            <w:r>
              <w:rPr>
                <w:rFonts w:asciiTheme="minorHAnsi" w:hAnsiTheme="minorHAnsi" w:cstheme="minorHAnsi"/>
                <w:b/>
                <w:sz w:val="18"/>
                <w:szCs w:val="18"/>
              </w:rPr>
              <w:t xml:space="preserve">Baseline </w:t>
            </w:r>
          </w:p>
          <w:p w14:paraId="74961C05" w14:textId="77777777" w:rsidR="007E0E95" w:rsidRDefault="007E0E95">
            <w:pPr>
              <w:jc w:val="center"/>
              <w:rPr>
                <w:rFonts w:asciiTheme="minorHAnsi" w:hAnsiTheme="minorHAnsi" w:cstheme="minorHAnsi"/>
                <w:b/>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DFDFDF"/>
          </w:tcPr>
          <w:p w14:paraId="3DBDCEF2" w14:textId="77777777" w:rsidR="007E0E95" w:rsidRDefault="007E0E95">
            <w:pPr>
              <w:jc w:val="center"/>
              <w:rPr>
                <w:rFonts w:asciiTheme="minorHAnsi" w:hAnsiTheme="minorHAnsi" w:cstheme="minorHAnsi"/>
                <w:b/>
                <w:sz w:val="18"/>
                <w:szCs w:val="18"/>
              </w:rPr>
            </w:pPr>
            <w:r>
              <w:rPr>
                <w:rFonts w:asciiTheme="minorHAnsi" w:hAnsiTheme="minorHAnsi" w:cstheme="minorHAnsi"/>
                <w:b/>
                <w:sz w:val="18"/>
                <w:szCs w:val="18"/>
              </w:rPr>
              <w:t>Mid-term Target</w:t>
            </w:r>
          </w:p>
          <w:p w14:paraId="35B8FFBE" w14:textId="77777777" w:rsidR="007E0E95" w:rsidRDefault="007E0E95">
            <w:pPr>
              <w:jc w:val="center"/>
              <w:rPr>
                <w:rFonts w:asciiTheme="minorHAnsi" w:hAnsiTheme="minorHAnsi" w:cstheme="minorHAnsi"/>
                <w:b/>
                <w:sz w:val="18"/>
                <w:szCs w:val="18"/>
              </w:rPr>
            </w:pPr>
          </w:p>
        </w:tc>
        <w:tc>
          <w:tcPr>
            <w:tcW w:w="2230" w:type="dxa"/>
            <w:tcBorders>
              <w:top w:val="single" w:sz="4" w:space="0" w:color="000000"/>
              <w:left w:val="single" w:sz="4" w:space="0" w:color="000000"/>
              <w:bottom w:val="single" w:sz="4" w:space="0" w:color="000000"/>
              <w:right w:val="single" w:sz="4" w:space="0" w:color="000000"/>
            </w:tcBorders>
            <w:shd w:val="clear" w:color="auto" w:fill="DFDFDF"/>
          </w:tcPr>
          <w:p w14:paraId="1537F019" w14:textId="77777777" w:rsidR="007E0E95" w:rsidRDefault="007E0E95">
            <w:pPr>
              <w:jc w:val="center"/>
              <w:rPr>
                <w:rFonts w:asciiTheme="minorHAnsi" w:hAnsiTheme="minorHAnsi" w:cstheme="minorHAnsi"/>
                <w:b/>
                <w:sz w:val="18"/>
                <w:szCs w:val="18"/>
              </w:rPr>
            </w:pPr>
            <w:r>
              <w:rPr>
                <w:rFonts w:asciiTheme="minorHAnsi" w:hAnsiTheme="minorHAnsi" w:cstheme="minorHAnsi"/>
                <w:b/>
                <w:sz w:val="18"/>
                <w:szCs w:val="18"/>
              </w:rPr>
              <w:t>End of Project Target</w:t>
            </w:r>
          </w:p>
          <w:p w14:paraId="1E029AEB" w14:textId="77777777" w:rsidR="007E0E95" w:rsidRDefault="007E0E95">
            <w:pPr>
              <w:jc w:val="center"/>
              <w:rPr>
                <w:rFonts w:asciiTheme="minorHAnsi" w:hAnsiTheme="minorHAnsi" w:cstheme="minorHAnsi"/>
                <w:b/>
                <w:sz w:val="18"/>
                <w:szCs w:val="18"/>
              </w:rPr>
            </w:pPr>
          </w:p>
        </w:tc>
      </w:tr>
      <w:tr w:rsidR="007E0E95" w14:paraId="41A49E0B" w14:textId="77777777" w:rsidTr="007E0E95">
        <w:trPr>
          <w:trHeight w:val="1377"/>
          <w:jc w:val="center"/>
        </w:trPr>
        <w:tc>
          <w:tcPr>
            <w:tcW w:w="2605" w:type="dxa"/>
            <w:vMerge w:val="restart"/>
            <w:tcBorders>
              <w:top w:val="single" w:sz="4" w:space="0" w:color="000000"/>
              <w:left w:val="single" w:sz="4" w:space="0" w:color="000000"/>
              <w:bottom w:val="single" w:sz="4" w:space="0" w:color="000000"/>
              <w:right w:val="single" w:sz="4" w:space="0" w:color="000000"/>
            </w:tcBorders>
            <w:shd w:val="clear" w:color="auto" w:fill="DFDFDF"/>
            <w:hideMark/>
          </w:tcPr>
          <w:p w14:paraId="7B8C914D"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Project Objective:</w:t>
            </w:r>
          </w:p>
          <w:p w14:paraId="5AAF2BB6" w14:textId="77777777" w:rsidR="007E0E95" w:rsidRDefault="007E0E95">
            <w:pPr>
              <w:rPr>
                <w:rFonts w:asciiTheme="minorHAnsi" w:hAnsiTheme="minorHAnsi" w:cstheme="minorHAnsi"/>
                <w:b/>
                <w:i/>
                <w:sz w:val="18"/>
                <w:szCs w:val="18"/>
              </w:rPr>
            </w:pPr>
            <w:r>
              <w:rPr>
                <w:rFonts w:asciiTheme="minorHAnsi" w:hAnsiTheme="minorHAnsi" w:cstheme="minorHAnsi"/>
                <w:sz w:val="18"/>
                <w:szCs w:val="18"/>
              </w:rPr>
              <w:t>Towards a more impactful GEF portfolio: facilitating replication of good practice across GEF International Waters projects, including projects across all focal areas in Small Island Developing States, working in collaboration with development partners, supporting the delivery of training information management, providing programmatic guidance and facilitating partnership building.</w:t>
            </w:r>
          </w:p>
        </w:tc>
        <w:tc>
          <w:tcPr>
            <w:tcW w:w="4230" w:type="dxa"/>
            <w:tcBorders>
              <w:top w:val="single" w:sz="4" w:space="0" w:color="000000"/>
              <w:left w:val="single" w:sz="4" w:space="0" w:color="000000"/>
              <w:bottom w:val="single" w:sz="4" w:space="0" w:color="000000"/>
              <w:right w:val="single" w:sz="4" w:space="0" w:color="000000"/>
            </w:tcBorders>
          </w:tcPr>
          <w:p w14:paraId="0D2CBEF6" w14:textId="77777777" w:rsidR="007E0E95" w:rsidRDefault="007E0E95">
            <w:pPr>
              <w:rPr>
                <w:rFonts w:asciiTheme="minorHAnsi" w:hAnsiTheme="minorHAnsi" w:cstheme="minorHAnsi"/>
                <w:sz w:val="18"/>
                <w:szCs w:val="18"/>
              </w:rPr>
            </w:pPr>
            <w:r>
              <w:rPr>
                <w:rFonts w:asciiTheme="minorHAnsi" w:hAnsiTheme="minorHAnsi" w:cstheme="minorHAnsi"/>
                <w:i/>
                <w:sz w:val="18"/>
                <w:szCs w:val="18"/>
              </w:rPr>
              <w:t>Indicator 1 (Mandatory):</w:t>
            </w:r>
            <w:r>
              <w:rPr>
                <w:rFonts w:asciiTheme="minorHAnsi" w:hAnsiTheme="minorHAnsi" w:cstheme="minorHAnsi"/>
                <w:sz w:val="18"/>
                <w:szCs w:val="18"/>
              </w:rPr>
              <w:t xml:space="preserve">  </w:t>
            </w:r>
          </w:p>
          <w:p w14:paraId="08A68EAE"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Indicator #11: Number of direct project beneficiaries disaggregated by gender (individual people)</w:t>
            </w:r>
            <w:r>
              <w:rPr>
                <w:rFonts w:asciiTheme="minorHAnsi" w:eastAsia="Arial" w:hAnsiTheme="minorHAnsi" w:cstheme="minorHAnsi"/>
                <w:sz w:val="18"/>
                <w:szCs w:val="18"/>
                <w:vertAlign w:val="superscript"/>
              </w:rPr>
              <w:footnoteReference w:id="12"/>
            </w:r>
          </w:p>
          <w:p w14:paraId="78BC5C3C" w14:textId="77777777" w:rsidR="007E0E95" w:rsidRDefault="007E0E95">
            <w:pPr>
              <w:rPr>
                <w:rFonts w:asciiTheme="minorHAnsi" w:hAnsiTheme="minorHAnsi" w:cstheme="minorHAnsi"/>
                <w:sz w:val="18"/>
                <w:szCs w:val="18"/>
              </w:rPr>
            </w:pPr>
          </w:p>
        </w:tc>
        <w:tc>
          <w:tcPr>
            <w:tcW w:w="2160" w:type="dxa"/>
            <w:tcBorders>
              <w:top w:val="single" w:sz="4" w:space="0" w:color="000000"/>
              <w:left w:val="single" w:sz="4" w:space="0" w:color="000000"/>
              <w:bottom w:val="single" w:sz="4" w:space="0" w:color="000000"/>
              <w:right w:val="single" w:sz="4" w:space="0" w:color="000000"/>
            </w:tcBorders>
            <w:hideMark/>
          </w:tcPr>
          <w:p w14:paraId="6D2B5E62"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0</w:t>
            </w:r>
          </w:p>
        </w:tc>
        <w:tc>
          <w:tcPr>
            <w:tcW w:w="2520" w:type="dxa"/>
            <w:tcBorders>
              <w:top w:val="single" w:sz="4" w:space="0" w:color="000000"/>
              <w:left w:val="single" w:sz="4" w:space="0" w:color="000000"/>
              <w:bottom w:val="single" w:sz="4" w:space="0" w:color="000000"/>
              <w:right w:val="single" w:sz="4" w:space="0" w:color="000000"/>
            </w:tcBorders>
            <w:hideMark/>
          </w:tcPr>
          <w:p w14:paraId="33D0C7B8"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1000 females, 1000 males</w:t>
            </w:r>
          </w:p>
        </w:tc>
        <w:tc>
          <w:tcPr>
            <w:tcW w:w="2230" w:type="dxa"/>
            <w:tcBorders>
              <w:top w:val="single" w:sz="4" w:space="0" w:color="000000"/>
              <w:left w:val="single" w:sz="4" w:space="0" w:color="000000"/>
              <w:bottom w:val="single" w:sz="4" w:space="0" w:color="000000"/>
              <w:right w:val="single" w:sz="4" w:space="0" w:color="000000"/>
            </w:tcBorders>
            <w:hideMark/>
          </w:tcPr>
          <w:p w14:paraId="6B8AA9E5"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2000 females, 2000 males</w:t>
            </w:r>
          </w:p>
        </w:tc>
      </w:tr>
      <w:tr w:rsidR="007E0E95" w14:paraId="1B7F46FE" w14:textId="77777777" w:rsidTr="007E0E95">
        <w:trPr>
          <w:trHeight w:val="145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4FDC8B" w14:textId="77777777" w:rsidR="007E0E95" w:rsidRDefault="007E0E95">
            <w:pPr>
              <w:rPr>
                <w:rFonts w:asciiTheme="minorHAnsi" w:hAnsiTheme="minorHAnsi" w:cstheme="minorHAnsi"/>
                <w:b/>
                <w:i/>
                <w:sz w:val="18"/>
                <w:szCs w:val="18"/>
              </w:rPr>
            </w:pPr>
          </w:p>
        </w:tc>
        <w:tc>
          <w:tcPr>
            <w:tcW w:w="4230" w:type="dxa"/>
            <w:tcBorders>
              <w:top w:val="single" w:sz="4" w:space="0" w:color="000000"/>
              <w:left w:val="single" w:sz="4" w:space="0" w:color="000000"/>
              <w:bottom w:val="single" w:sz="4" w:space="0" w:color="000000"/>
              <w:right w:val="single" w:sz="4" w:space="0" w:color="000000"/>
            </w:tcBorders>
          </w:tcPr>
          <w:p w14:paraId="09CCA474" w14:textId="77777777" w:rsidR="007E0E95" w:rsidRDefault="007E0E95">
            <w:pPr>
              <w:rPr>
                <w:rFonts w:asciiTheme="minorHAnsi" w:hAnsiTheme="minorHAnsi" w:cstheme="minorHAnsi"/>
                <w:sz w:val="18"/>
                <w:szCs w:val="18"/>
                <w:u w:val="single"/>
              </w:rPr>
            </w:pPr>
            <w:r>
              <w:rPr>
                <w:rFonts w:asciiTheme="minorHAnsi" w:hAnsiTheme="minorHAnsi" w:cstheme="minorHAnsi"/>
                <w:i/>
                <w:sz w:val="18"/>
                <w:szCs w:val="18"/>
              </w:rPr>
              <w:t xml:space="preserve">Indicator 2 </w:t>
            </w:r>
            <w:r>
              <w:rPr>
                <w:rFonts w:asciiTheme="minorHAnsi" w:hAnsiTheme="minorHAnsi" w:cstheme="minorHAnsi"/>
                <w:sz w:val="18"/>
                <w:szCs w:val="18"/>
              </w:rPr>
              <w:t>(GEF Core Indicator)</w:t>
            </w:r>
            <w:r>
              <w:rPr>
                <w:rFonts w:asciiTheme="minorHAnsi" w:hAnsiTheme="minorHAnsi" w:cstheme="minorHAnsi"/>
                <w:sz w:val="18"/>
                <w:szCs w:val="18"/>
                <w:u w:val="single"/>
              </w:rPr>
              <w:t xml:space="preserve"> </w:t>
            </w:r>
            <w:r>
              <w:rPr>
                <w:rFonts w:asciiTheme="minorHAnsi" w:hAnsiTheme="minorHAnsi" w:cstheme="minorHAnsi"/>
                <w:i/>
                <w:sz w:val="18"/>
                <w:szCs w:val="18"/>
              </w:rPr>
              <w:t>:</w:t>
            </w:r>
          </w:p>
          <w:p w14:paraId="0ACDB575" w14:textId="77777777" w:rsidR="007E0E95" w:rsidRDefault="007E0E95">
            <w:pPr>
              <w:rPr>
                <w:rFonts w:asciiTheme="minorHAnsi" w:hAnsiTheme="minorHAnsi" w:cstheme="minorHAnsi"/>
                <w:sz w:val="18"/>
                <w:szCs w:val="18"/>
              </w:rPr>
            </w:pPr>
          </w:p>
        </w:tc>
        <w:tc>
          <w:tcPr>
            <w:tcW w:w="2160" w:type="dxa"/>
            <w:tcBorders>
              <w:top w:val="single" w:sz="4" w:space="0" w:color="000000"/>
              <w:left w:val="single" w:sz="4" w:space="0" w:color="000000"/>
              <w:bottom w:val="single" w:sz="4" w:space="0" w:color="000000"/>
              <w:right w:val="single" w:sz="4" w:space="0" w:color="000000"/>
            </w:tcBorders>
          </w:tcPr>
          <w:p w14:paraId="10B70FA4" w14:textId="77777777" w:rsidR="007E0E95" w:rsidRDefault="007E0E95">
            <w:pPr>
              <w:rPr>
                <w:rFonts w:asciiTheme="minorHAnsi" w:hAnsiTheme="minorHAnsi"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tcPr>
          <w:p w14:paraId="59DFBAA7" w14:textId="77777777" w:rsidR="007E0E95" w:rsidRDefault="007E0E95">
            <w:pPr>
              <w:rPr>
                <w:rFonts w:asciiTheme="minorHAnsi" w:hAnsiTheme="minorHAnsi" w:cstheme="minorHAnsi"/>
                <w:sz w:val="18"/>
                <w:szCs w:val="18"/>
              </w:rPr>
            </w:pPr>
          </w:p>
        </w:tc>
        <w:tc>
          <w:tcPr>
            <w:tcW w:w="2230" w:type="dxa"/>
            <w:tcBorders>
              <w:top w:val="single" w:sz="4" w:space="0" w:color="000000"/>
              <w:left w:val="single" w:sz="4" w:space="0" w:color="000000"/>
              <w:bottom w:val="single" w:sz="4" w:space="0" w:color="000000"/>
              <w:right w:val="single" w:sz="4" w:space="0" w:color="000000"/>
            </w:tcBorders>
          </w:tcPr>
          <w:p w14:paraId="77087BB8" w14:textId="77777777" w:rsidR="007E0E95" w:rsidRDefault="007E0E95">
            <w:pPr>
              <w:rPr>
                <w:rFonts w:asciiTheme="minorHAnsi" w:hAnsiTheme="minorHAnsi" w:cstheme="minorHAnsi"/>
                <w:sz w:val="18"/>
                <w:szCs w:val="18"/>
              </w:rPr>
            </w:pPr>
          </w:p>
        </w:tc>
      </w:tr>
      <w:tr w:rsidR="007E0E95" w:rsidRPr="007E0E95" w14:paraId="1319FD1C" w14:textId="77777777" w:rsidTr="007E0E95">
        <w:trPr>
          <w:trHeight w:val="575"/>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7CD34F91" w14:textId="77777777" w:rsidR="007E0E95" w:rsidRDefault="007E0E95">
            <w:pPr>
              <w:rPr>
                <w:rFonts w:asciiTheme="minorHAnsi" w:hAnsiTheme="minorHAnsi" w:cstheme="minorHAnsi"/>
                <w:b/>
                <w:i/>
                <w:sz w:val="18"/>
                <w:szCs w:val="18"/>
              </w:rPr>
            </w:pPr>
            <w:r>
              <w:rPr>
                <w:rFonts w:asciiTheme="minorHAnsi" w:hAnsiTheme="minorHAnsi" w:cstheme="minorHAnsi"/>
                <w:b/>
                <w:sz w:val="18"/>
                <w:szCs w:val="18"/>
              </w:rPr>
              <w:t xml:space="preserve">Project component 1:  </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51A070F3" w14:textId="77777777" w:rsidR="007E0E95" w:rsidRDefault="007E0E95">
            <w:pPr>
              <w:rPr>
                <w:rFonts w:asciiTheme="minorHAnsi" w:hAnsiTheme="minorHAnsi" w:cstheme="minorHAnsi"/>
                <w:i/>
                <w:sz w:val="18"/>
                <w:szCs w:val="18"/>
              </w:rPr>
            </w:pPr>
            <w:r>
              <w:rPr>
                <w:rFonts w:asciiTheme="minorHAnsi" w:hAnsiTheme="minorHAnsi" w:cstheme="minorHAnsi"/>
                <w:color w:val="000000"/>
                <w:sz w:val="18"/>
                <w:szCs w:val="18"/>
              </w:rPr>
              <w:t>Provide Targeted Knowledge Sharing and Results Showcasing Across Projects and Development Partners (Through Face-to-Face Dialogue and Training) to Advance Transboundary Water Management in All IW Focal Area Ecosystems</w:t>
            </w:r>
          </w:p>
        </w:tc>
      </w:tr>
      <w:tr w:rsidR="007E0E95" w:rsidRPr="007E0E95" w14:paraId="18E57DC0" w14:textId="77777777" w:rsidTr="007E0E95">
        <w:trPr>
          <w:trHeight w:val="575"/>
          <w:jc w:val="center"/>
        </w:trPr>
        <w:tc>
          <w:tcPr>
            <w:tcW w:w="2605"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670FE50D"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Outcome 1 (UNDP implemented)</w:t>
            </w:r>
          </w:p>
          <w:p w14:paraId="67D3014E"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Enhanced portfolio and development partner capacity</w:t>
            </w:r>
          </w:p>
          <w:p w14:paraId="24E60885"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at the national, regional and global levels, and improved</w:t>
            </w:r>
          </w:p>
          <w:p w14:paraId="27E1A179"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 xml:space="preserve">portfolio-wide project performance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hideMark/>
          </w:tcPr>
          <w:p w14:paraId="15FC598E"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3: </w:t>
            </w:r>
          </w:p>
          <w:p w14:paraId="0D0451B7"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Number of IW projects indicate at least 1 enhanced management or governance approach following workshops / IWC / twinning</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79BF84A3"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 xml:space="preserve">Partial progress of up-take of knowledge from training, twinning, IWC over time </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14:paraId="43505308"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20 IW projects indicate at least 1 enhanced management or governance approach after attending workshops/IWC/twinning</w:t>
            </w:r>
          </w:p>
        </w:tc>
        <w:tc>
          <w:tcPr>
            <w:tcW w:w="2230" w:type="dxa"/>
            <w:tcBorders>
              <w:top w:val="single" w:sz="4" w:space="0" w:color="000000"/>
              <w:left w:val="single" w:sz="4" w:space="0" w:color="000000"/>
              <w:bottom w:val="single" w:sz="4" w:space="0" w:color="000000"/>
              <w:right w:val="single" w:sz="4" w:space="0" w:color="000000"/>
            </w:tcBorders>
            <w:shd w:val="clear" w:color="auto" w:fill="FFFFFF"/>
            <w:hideMark/>
          </w:tcPr>
          <w:p w14:paraId="7B8E3072" w14:textId="77777777" w:rsidR="007E0E95" w:rsidRDefault="007E0E95">
            <w:pPr>
              <w:rPr>
                <w:rFonts w:asciiTheme="minorHAnsi" w:hAnsiTheme="minorHAnsi" w:cstheme="minorHAnsi"/>
              </w:rPr>
            </w:pPr>
            <w:r>
              <w:rPr>
                <w:rFonts w:asciiTheme="minorHAnsi" w:hAnsiTheme="minorHAnsi" w:cstheme="minorHAnsi"/>
                <w:sz w:val="18"/>
                <w:szCs w:val="18"/>
              </w:rPr>
              <w:t>60 IW projects indicate at least 1 enhanced management or governance approach after attending workshops/IWC/twinning</w:t>
            </w:r>
          </w:p>
        </w:tc>
      </w:tr>
      <w:tr w:rsidR="007E0E95" w:rsidRPr="007E0E95" w14:paraId="02BE58A0" w14:textId="77777777" w:rsidTr="007E0E95">
        <w:trPr>
          <w:trHeight w:val="57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715FDCD" w14:textId="77777777" w:rsidR="007E0E95" w:rsidRDefault="007E0E95">
            <w:pPr>
              <w:rPr>
                <w:rFonts w:asciiTheme="minorHAnsi" w:hAnsiTheme="minorHAnsi" w:cstheme="minorHAnsi"/>
                <w:i/>
                <w:sz w:val="18"/>
                <w:szCs w:val="18"/>
              </w:rPr>
            </w:pPr>
          </w:p>
        </w:tc>
        <w:tc>
          <w:tcPr>
            <w:tcW w:w="4230" w:type="dxa"/>
            <w:tcBorders>
              <w:top w:val="single" w:sz="4" w:space="0" w:color="000000"/>
              <w:left w:val="single" w:sz="4" w:space="0" w:color="000000"/>
              <w:bottom w:val="single" w:sz="4" w:space="0" w:color="000000"/>
              <w:right w:val="single" w:sz="4" w:space="0" w:color="000000"/>
            </w:tcBorders>
            <w:shd w:val="clear" w:color="auto" w:fill="FFFFFF"/>
            <w:hideMark/>
          </w:tcPr>
          <w:p w14:paraId="61B66D26"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Indicator 4:</w:t>
            </w:r>
          </w:p>
          <w:p w14:paraId="2E86362E"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Basins have enhanced co-operation or thematic knowledge as a result of IWL activities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6DD94159" w14:textId="77777777" w:rsidR="007E0E95" w:rsidRDefault="007E0E95">
            <w:pPr>
              <w:widowControl w:val="0"/>
              <w:spacing w:line="276" w:lineRule="auto"/>
              <w:rPr>
                <w:rFonts w:asciiTheme="minorHAnsi" w:hAnsiTheme="minorHAnsi" w:cstheme="minorHAnsi"/>
                <w:sz w:val="18"/>
                <w:szCs w:val="18"/>
              </w:rPr>
            </w:pPr>
            <w:r>
              <w:rPr>
                <w:rFonts w:asciiTheme="minorHAnsi" w:hAnsiTheme="minorHAnsi" w:cstheme="minorHAnsi"/>
                <w:sz w:val="18"/>
                <w:szCs w:val="18"/>
              </w:rPr>
              <w:t>Current cooperation between basins on an ad-hoc basis</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14:paraId="42ACEDD7"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2 Basins have enhanced cooperation or thematic knowledge as a result of IWL</w:t>
            </w:r>
          </w:p>
        </w:tc>
        <w:tc>
          <w:tcPr>
            <w:tcW w:w="2230" w:type="dxa"/>
            <w:tcBorders>
              <w:top w:val="single" w:sz="4" w:space="0" w:color="000000"/>
              <w:left w:val="single" w:sz="4" w:space="0" w:color="000000"/>
              <w:bottom w:val="single" w:sz="4" w:space="0" w:color="000000"/>
              <w:right w:val="single" w:sz="4" w:space="0" w:color="000000"/>
            </w:tcBorders>
            <w:shd w:val="clear" w:color="auto" w:fill="FFFFFF"/>
            <w:hideMark/>
          </w:tcPr>
          <w:p w14:paraId="7F2D2A57"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4 Basins have enhanced cooperation or thematic knowledge as a result of IWL</w:t>
            </w:r>
          </w:p>
        </w:tc>
      </w:tr>
      <w:tr w:rsidR="007E0E95" w:rsidRPr="007E0E95" w14:paraId="749F110E" w14:textId="77777777" w:rsidTr="007E0E95">
        <w:trPr>
          <w:trHeight w:val="274"/>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9D9D9"/>
            <w:hideMark/>
          </w:tcPr>
          <w:p w14:paraId="5B5A9FE8"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Outputs to achieve Outcome 1</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3EB56073"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t xml:space="preserve">GEF Biennial International Waters Conferences 10 and 11 for GEF wide portfolio of IW projects </w:t>
            </w:r>
          </w:p>
          <w:p w14:paraId="4F41EC1A"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t>Training strategy to address GEF IW portfolio learning gaps activity</w:t>
            </w:r>
          </w:p>
          <w:p w14:paraId="2F0B707F"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t>Training modules on cross-cutting issues</w:t>
            </w:r>
          </w:p>
          <w:p w14:paraId="64E783D0"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lastRenderedPageBreak/>
              <w:t>6 regional training workshops for GEF IW projects and development partners on cross-cutting themes</w:t>
            </w:r>
          </w:p>
          <w:p w14:paraId="20B8ADF0"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t>3 structured and iterative twinning exchange programs</w:t>
            </w:r>
          </w:p>
          <w:p w14:paraId="67F58ED3"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t>6 ad-hoc twinning exchange programs</w:t>
            </w:r>
          </w:p>
          <w:p w14:paraId="52752F29" w14:textId="77777777" w:rsidR="007E0E95" w:rsidRDefault="007E0E95" w:rsidP="007E0E95">
            <w:pPr>
              <w:numPr>
                <w:ilvl w:val="0"/>
                <w:numId w:val="74"/>
              </w:numPr>
              <w:ind w:left="264" w:hanging="283"/>
              <w:rPr>
                <w:rFonts w:asciiTheme="minorHAnsi" w:hAnsiTheme="minorHAnsi" w:cstheme="minorHAnsi"/>
                <w:i/>
                <w:color w:val="000000"/>
                <w:sz w:val="18"/>
                <w:szCs w:val="18"/>
              </w:rPr>
            </w:pPr>
            <w:r>
              <w:rPr>
                <w:rFonts w:asciiTheme="minorHAnsi" w:hAnsiTheme="minorHAnsi" w:cstheme="minorHAnsi"/>
                <w:color w:val="000000"/>
                <w:sz w:val="18"/>
                <w:szCs w:val="18"/>
              </w:rPr>
              <w:t>3 regional transboundary and 2 thematic dialogues</w:t>
            </w:r>
          </w:p>
        </w:tc>
      </w:tr>
      <w:tr w:rsidR="007E0E95" w:rsidRPr="007E0E95" w14:paraId="06BB1A1F" w14:textId="77777777" w:rsidTr="007E0E95">
        <w:trPr>
          <w:trHeight w:val="485"/>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9D9D9"/>
            <w:hideMark/>
          </w:tcPr>
          <w:p w14:paraId="155E4C23"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lastRenderedPageBreak/>
              <w:t>Outcome 2 (UNDP implemented)</w:t>
            </w:r>
          </w:p>
          <w:p w14:paraId="5D9B8C8A"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Increased global awareness of GEF results and increased GEF</w:t>
            </w:r>
          </w:p>
          <w:p w14:paraId="336B8252" w14:textId="77777777" w:rsidR="007E0E95" w:rsidRDefault="007E0E95">
            <w:pPr>
              <w:rPr>
                <w:rFonts w:asciiTheme="minorHAnsi" w:hAnsiTheme="minorHAnsi" w:cstheme="minorHAnsi"/>
                <w:b/>
                <w:sz w:val="18"/>
                <w:szCs w:val="18"/>
              </w:rPr>
            </w:pPr>
            <w:r>
              <w:rPr>
                <w:rFonts w:asciiTheme="minorHAnsi" w:hAnsiTheme="minorHAnsi" w:cstheme="minorHAnsi"/>
                <w:sz w:val="18"/>
                <w:szCs w:val="18"/>
              </w:rPr>
              <w:t>Partnerships beyond the portfolio</w:t>
            </w:r>
          </w:p>
        </w:tc>
        <w:tc>
          <w:tcPr>
            <w:tcW w:w="4230" w:type="dxa"/>
            <w:tcBorders>
              <w:top w:val="single" w:sz="4" w:space="0" w:color="000000"/>
              <w:left w:val="single" w:sz="4" w:space="0" w:color="000000"/>
              <w:bottom w:val="single" w:sz="4" w:space="0" w:color="000000"/>
              <w:right w:val="single" w:sz="4" w:space="0" w:color="000000"/>
            </w:tcBorders>
            <w:shd w:val="clear" w:color="auto" w:fill="FFFFFF"/>
            <w:hideMark/>
          </w:tcPr>
          <w:p w14:paraId="3E7344C1"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5: </w:t>
            </w:r>
          </w:p>
          <w:p w14:paraId="67216618"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GEF IW projects have increased visibility at key global dialogue events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07569996"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On average, small increase in interest for sessions beyond GEF IW community</w:t>
            </w:r>
          </w:p>
        </w:tc>
        <w:tc>
          <w:tcPr>
            <w:tcW w:w="2520" w:type="dxa"/>
            <w:tcBorders>
              <w:top w:val="single" w:sz="4" w:space="0" w:color="000000"/>
              <w:left w:val="single" w:sz="4" w:space="0" w:color="000000"/>
              <w:bottom w:val="single" w:sz="4" w:space="0" w:color="000000"/>
              <w:right w:val="single" w:sz="4" w:space="0" w:color="000000"/>
            </w:tcBorders>
            <w:shd w:val="clear" w:color="auto" w:fill="FFFFFF"/>
            <w:hideMark/>
          </w:tcPr>
          <w:p w14:paraId="204ED46E"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2 projects report new project partners as a result of global dialogue participation</w:t>
            </w:r>
          </w:p>
        </w:tc>
        <w:tc>
          <w:tcPr>
            <w:tcW w:w="2230" w:type="dxa"/>
            <w:tcBorders>
              <w:top w:val="single" w:sz="4" w:space="0" w:color="000000"/>
              <w:left w:val="single" w:sz="4" w:space="0" w:color="000000"/>
              <w:bottom w:val="single" w:sz="4" w:space="0" w:color="000000"/>
              <w:right w:val="single" w:sz="4" w:space="0" w:color="000000"/>
            </w:tcBorders>
            <w:shd w:val="clear" w:color="auto" w:fill="FFFFFF"/>
            <w:hideMark/>
          </w:tcPr>
          <w:p w14:paraId="0B3837A3" w14:textId="77777777" w:rsidR="007E0E95" w:rsidRDefault="007E0E95">
            <w:pPr>
              <w:rPr>
                <w:rFonts w:asciiTheme="minorHAnsi" w:hAnsiTheme="minorHAnsi" w:cstheme="minorHAnsi"/>
              </w:rPr>
            </w:pPr>
            <w:r>
              <w:rPr>
                <w:rFonts w:asciiTheme="minorHAnsi" w:hAnsiTheme="minorHAnsi" w:cstheme="minorHAnsi"/>
                <w:sz w:val="18"/>
                <w:szCs w:val="18"/>
              </w:rPr>
              <w:t>6 projects report new project partners as a result of global dialogue participation</w:t>
            </w:r>
          </w:p>
        </w:tc>
      </w:tr>
      <w:tr w:rsidR="007E0E95" w:rsidRPr="007E0E95" w14:paraId="7F1779CC" w14:textId="77777777" w:rsidTr="007E0E95">
        <w:trPr>
          <w:trHeight w:val="411"/>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9D9D9"/>
            <w:hideMark/>
          </w:tcPr>
          <w:p w14:paraId="52E5C9B0"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Outputs to achieve Outcome 2</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54774824" w14:textId="77777777" w:rsidR="007E0E95" w:rsidRDefault="007E0E95" w:rsidP="007E0E95">
            <w:pPr>
              <w:numPr>
                <w:ilvl w:val="0"/>
                <w:numId w:val="75"/>
              </w:numPr>
              <w:ind w:left="233" w:hanging="283"/>
              <w:rPr>
                <w:rFonts w:asciiTheme="minorHAnsi" w:hAnsiTheme="minorHAnsi" w:cstheme="minorHAnsi"/>
                <w:i/>
                <w:color w:val="000000"/>
                <w:sz w:val="18"/>
                <w:szCs w:val="18"/>
              </w:rPr>
            </w:pPr>
            <w:r>
              <w:rPr>
                <w:rFonts w:asciiTheme="minorHAnsi" w:hAnsiTheme="minorHAnsi" w:cstheme="minorHAnsi"/>
                <w:color w:val="000000"/>
                <w:sz w:val="18"/>
                <w:szCs w:val="18"/>
              </w:rPr>
              <w:t>6 sessions in key global events to showcase GEF IW results, build partnerships and facilitate cooperation</w:t>
            </w:r>
          </w:p>
        </w:tc>
      </w:tr>
      <w:tr w:rsidR="007E0E95" w:rsidRPr="007E0E95" w14:paraId="30DF8908" w14:textId="77777777" w:rsidTr="007E0E95">
        <w:trPr>
          <w:trHeight w:val="533"/>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42A87674" w14:textId="77777777" w:rsidR="007E0E95" w:rsidRDefault="007E0E95">
            <w:pPr>
              <w:rPr>
                <w:rFonts w:asciiTheme="minorHAnsi" w:hAnsiTheme="minorHAnsi" w:cstheme="minorHAnsi"/>
                <w:b/>
                <w:i/>
                <w:sz w:val="18"/>
                <w:szCs w:val="18"/>
              </w:rPr>
            </w:pPr>
            <w:r>
              <w:rPr>
                <w:rFonts w:asciiTheme="minorHAnsi" w:hAnsiTheme="minorHAnsi" w:cstheme="minorHAnsi"/>
                <w:b/>
                <w:sz w:val="18"/>
                <w:szCs w:val="18"/>
              </w:rPr>
              <w:t xml:space="preserve">Project component 2 </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53D516FB"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Support the Communication and Replication of Portfolio Results and Experiences</w:t>
            </w:r>
          </w:p>
        </w:tc>
      </w:tr>
      <w:tr w:rsidR="007E0E95" w:rsidRPr="007E0E95" w14:paraId="074A194C" w14:textId="77777777" w:rsidTr="007E0E95">
        <w:trPr>
          <w:trHeight w:val="413"/>
          <w:jc w:val="center"/>
        </w:trPr>
        <w:tc>
          <w:tcPr>
            <w:tcW w:w="2605" w:type="dxa"/>
            <w:vMerge w:val="restart"/>
            <w:tcBorders>
              <w:top w:val="single" w:sz="4" w:space="0" w:color="000000"/>
              <w:left w:val="single" w:sz="4" w:space="0" w:color="000000"/>
              <w:bottom w:val="single" w:sz="4" w:space="0" w:color="000000"/>
              <w:right w:val="single" w:sz="4" w:space="0" w:color="000000"/>
            </w:tcBorders>
            <w:shd w:val="clear" w:color="auto" w:fill="DFDFDF"/>
            <w:hideMark/>
          </w:tcPr>
          <w:p w14:paraId="0A98B653"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Outcome 3 (UNDP implemented)</w:t>
            </w:r>
          </w:p>
          <w:p w14:paraId="1F974D65" w14:textId="77777777" w:rsidR="007E0E95" w:rsidRDefault="007E0E95">
            <w:pPr>
              <w:rPr>
                <w:rFonts w:asciiTheme="minorHAnsi" w:hAnsiTheme="minorHAnsi" w:cstheme="minorHAnsi"/>
                <w:b/>
                <w:sz w:val="18"/>
                <w:szCs w:val="18"/>
              </w:rPr>
            </w:pPr>
            <w:r>
              <w:rPr>
                <w:rFonts w:asciiTheme="minorHAnsi" w:hAnsiTheme="minorHAnsi" w:cstheme="minorHAnsi"/>
                <w:sz w:val="18"/>
                <w:szCs w:val="18"/>
              </w:rPr>
              <w:t xml:space="preserve">Increased experience sharing and replication of successes within and across and beyond the IW portfolio, as well as enhanced understanding of GEF IW project interventions beyond the portfolio </w:t>
            </w:r>
          </w:p>
        </w:tc>
        <w:tc>
          <w:tcPr>
            <w:tcW w:w="4230" w:type="dxa"/>
            <w:tcBorders>
              <w:top w:val="single" w:sz="4" w:space="0" w:color="000000"/>
              <w:left w:val="single" w:sz="4" w:space="0" w:color="000000"/>
              <w:bottom w:val="single" w:sz="4" w:space="0" w:color="000000"/>
              <w:right w:val="single" w:sz="4" w:space="0" w:color="000000"/>
            </w:tcBorders>
            <w:hideMark/>
          </w:tcPr>
          <w:p w14:paraId="0A80DADC"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6: </w:t>
            </w:r>
          </w:p>
          <w:p w14:paraId="0C58E21F"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 of projects offering a website consistent with the GEF IW Website Guidelines</w:t>
            </w:r>
          </w:p>
        </w:tc>
        <w:tc>
          <w:tcPr>
            <w:tcW w:w="2160" w:type="dxa"/>
            <w:tcBorders>
              <w:top w:val="single" w:sz="4" w:space="0" w:color="000000"/>
              <w:left w:val="single" w:sz="4" w:space="0" w:color="000000"/>
              <w:bottom w:val="single" w:sz="4" w:space="0" w:color="000000"/>
              <w:right w:val="single" w:sz="4" w:space="0" w:color="000000"/>
            </w:tcBorders>
            <w:hideMark/>
          </w:tcPr>
          <w:p w14:paraId="48E77B94" w14:textId="77777777" w:rsidR="007E0E95" w:rsidRDefault="007E0E95">
            <w:pPr>
              <w:rPr>
                <w:rFonts w:asciiTheme="minorHAnsi" w:hAnsiTheme="minorHAnsi" w:cstheme="minorHAnsi"/>
                <w:color w:val="000000"/>
                <w:sz w:val="18"/>
                <w:szCs w:val="18"/>
              </w:rPr>
            </w:pPr>
            <w:r>
              <w:rPr>
                <w:rFonts w:asciiTheme="minorHAnsi" w:hAnsiTheme="minorHAnsi" w:cstheme="minorHAnsi"/>
                <w:color w:val="000000"/>
                <w:sz w:val="18"/>
                <w:szCs w:val="18"/>
              </w:rPr>
              <w:t>50% of projects offering a website consistent with the GEF IW Website Guidelines</w:t>
            </w:r>
          </w:p>
        </w:tc>
        <w:tc>
          <w:tcPr>
            <w:tcW w:w="2520" w:type="dxa"/>
            <w:tcBorders>
              <w:top w:val="single" w:sz="4" w:space="0" w:color="000000"/>
              <w:left w:val="single" w:sz="4" w:space="0" w:color="000000"/>
              <w:bottom w:val="single" w:sz="4" w:space="0" w:color="000000"/>
              <w:right w:val="single" w:sz="4" w:space="0" w:color="000000"/>
            </w:tcBorders>
            <w:hideMark/>
          </w:tcPr>
          <w:p w14:paraId="737CBF12" w14:textId="77777777" w:rsidR="007E0E95" w:rsidRDefault="007E0E95">
            <w:pPr>
              <w:rPr>
                <w:rFonts w:asciiTheme="minorHAnsi" w:hAnsiTheme="minorHAnsi" w:cstheme="minorHAnsi"/>
                <w:color w:val="000000"/>
                <w:sz w:val="18"/>
                <w:szCs w:val="18"/>
              </w:rPr>
            </w:pPr>
            <w:r>
              <w:rPr>
                <w:rFonts w:asciiTheme="minorHAnsi" w:hAnsiTheme="minorHAnsi" w:cstheme="minorHAnsi"/>
                <w:color w:val="000000"/>
                <w:sz w:val="18"/>
                <w:szCs w:val="18"/>
              </w:rPr>
              <w:t>75% of projects utilizing r offering a website consistent with the GEF IW Website Guidelines</w:t>
            </w:r>
          </w:p>
        </w:tc>
        <w:tc>
          <w:tcPr>
            <w:tcW w:w="2230" w:type="dxa"/>
            <w:tcBorders>
              <w:top w:val="single" w:sz="4" w:space="0" w:color="000000"/>
              <w:left w:val="single" w:sz="4" w:space="0" w:color="000000"/>
              <w:bottom w:val="single" w:sz="4" w:space="0" w:color="000000"/>
              <w:right w:val="single" w:sz="4" w:space="0" w:color="000000"/>
            </w:tcBorders>
            <w:hideMark/>
          </w:tcPr>
          <w:p w14:paraId="13BAFB5F" w14:textId="77777777" w:rsidR="007E0E95" w:rsidRDefault="007E0E95">
            <w:pPr>
              <w:rPr>
                <w:rFonts w:asciiTheme="minorHAnsi" w:hAnsiTheme="minorHAnsi" w:cstheme="minorHAnsi"/>
                <w:color w:val="000000"/>
              </w:rPr>
            </w:pPr>
            <w:r>
              <w:rPr>
                <w:rFonts w:asciiTheme="minorHAnsi" w:hAnsiTheme="minorHAnsi" w:cstheme="minorHAnsi"/>
                <w:sz w:val="18"/>
                <w:szCs w:val="18"/>
              </w:rPr>
              <w:t>85</w:t>
            </w:r>
            <w:r>
              <w:rPr>
                <w:rFonts w:asciiTheme="minorHAnsi" w:hAnsiTheme="minorHAnsi" w:cstheme="minorHAnsi"/>
                <w:color w:val="000000"/>
                <w:sz w:val="18"/>
                <w:szCs w:val="18"/>
              </w:rPr>
              <w:t>% of projects offering a website consistent with the GEF IW Website Guidelines</w:t>
            </w:r>
          </w:p>
        </w:tc>
      </w:tr>
      <w:tr w:rsidR="007E0E95" w:rsidRPr="007E0E95" w14:paraId="1E79E224" w14:textId="77777777" w:rsidTr="007E0E95">
        <w:trPr>
          <w:trHeight w:val="4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B92B69" w14:textId="77777777" w:rsidR="007E0E95" w:rsidRDefault="007E0E95">
            <w:pPr>
              <w:rPr>
                <w:rFonts w:asciiTheme="minorHAnsi" w:hAnsiTheme="minorHAnsi" w:cstheme="minorHAnsi"/>
                <w:b/>
                <w:sz w:val="18"/>
                <w:szCs w:val="18"/>
              </w:rPr>
            </w:pPr>
          </w:p>
        </w:tc>
        <w:tc>
          <w:tcPr>
            <w:tcW w:w="4230" w:type="dxa"/>
            <w:tcBorders>
              <w:top w:val="single" w:sz="4" w:space="0" w:color="000000"/>
              <w:left w:val="single" w:sz="4" w:space="0" w:color="000000"/>
              <w:bottom w:val="single" w:sz="4" w:space="0" w:color="0000FF"/>
              <w:right w:val="single" w:sz="4" w:space="0" w:color="000000"/>
            </w:tcBorders>
            <w:hideMark/>
          </w:tcPr>
          <w:p w14:paraId="1AC33AD5"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7: </w:t>
            </w:r>
          </w:p>
          <w:p w14:paraId="4EB4AF21" w14:textId="77777777" w:rsidR="007E0E95" w:rsidRDefault="007E0E95">
            <w:pPr>
              <w:rPr>
                <w:rFonts w:asciiTheme="minorHAnsi" w:hAnsiTheme="minorHAnsi" w:cstheme="minorHAnsi"/>
              </w:rPr>
            </w:pPr>
            <w:r>
              <w:rPr>
                <w:rFonts w:asciiTheme="minorHAnsi" w:hAnsiTheme="minorHAnsi" w:cstheme="minorHAnsi"/>
                <w:sz w:val="18"/>
                <w:szCs w:val="18"/>
              </w:rPr>
              <w:t>% of projects communicating results (via project profile, communications product or experience/results note) and through mainstream media</w:t>
            </w:r>
          </w:p>
        </w:tc>
        <w:tc>
          <w:tcPr>
            <w:tcW w:w="2160" w:type="dxa"/>
            <w:tcBorders>
              <w:top w:val="single" w:sz="4" w:space="0" w:color="000000"/>
              <w:left w:val="single" w:sz="4" w:space="0" w:color="000000"/>
              <w:bottom w:val="single" w:sz="4" w:space="0" w:color="000000"/>
              <w:right w:val="single" w:sz="4" w:space="0" w:color="000000"/>
            </w:tcBorders>
          </w:tcPr>
          <w:p w14:paraId="04AF7635"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23%</w:t>
            </w:r>
            <w:r>
              <w:rPr>
                <w:rFonts w:asciiTheme="minorHAnsi" w:hAnsiTheme="minorHAnsi" w:cstheme="minorHAnsi"/>
              </w:rPr>
              <w:t xml:space="preserve"> </w:t>
            </w:r>
            <w:r>
              <w:rPr>
                <w:rFonts w:asciiTheme="minorHAnsi" w:hAnsiTheme="minorHAnsi" w:cstheme="minorHAnsi"/>
                <w:sz w:val="18"/>
                <w:szCs w:val="18"/>
              </w:rPr>
              <w:t xml:space="preserve">of projects communicate one experience or result via project profile, communications product or website </w:t>
            </w:r>
          </w:p>
          <w:p w14:paraId="5A569456" w14:textId="77777777" w:rsidR="007E0E95" w:rsidRDefault="007E0E95">
            <w:pPr>
              <w:rPr>
                <w:rFonts w:asciiTheme="minorHAnsi" w:hAnsiTheme="minorHAnsi" w:cstheme="minorHAnsi"/>
                <w:sz w:val="18"/>
                <w:szCs w:val="18"/>
              </w:rPr>
            </w:pPr>
          </w:p>
          <w:p w14:paraId="46859337"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No major stories in mainstream media</w:t>
            </w:r>
          </w:p>
        </w:tc>
        <w:tc>
          <w:tcPr>
            <w:tcW w:w="2520" w:type="dxa"/>
            <w:tcBorders>
              <w:top w:val="single" w:sz="4" w:space="0" w:color="000000"/>
              <w:left w:val="single" w:sz="4" w:space="0" w:color="000000"/>
              <w:bottom w:val="single" w:sz="4" w:space="0" w:color="000000"/>
              <w:right w:val="single" w:sz="4" w:space="0" w:color="000000"/>
            </w:tcBorders>
          </w:tcPr>
          <w:p w14:paraId="0D6D7502"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At least 50%</w:t>
            </w:r>
            <w:r>
              <w:rPr>
                <w:rFonts w:asciiTheme="minorHAnsi" w:hAnsiTheme="minorHAnsi" w:cstheme="minorHAnsi"/>
              </w:rPr>
              <w:t xml:space="preserve"> </w:t>
            </w:r>
            <w:r>
              <w:rPr>
                <w:rFonts w:asciiTheme="minorHAnsi" w:hAnsiTheme="minorHAnsi" w:cstheme="minorHAnsi"/>
                <w:sz w:val="18"/>
                <w:szCs w:val="18"/>
              </w:rPr>
              <w:t xml:space="preserve">of projects communicate one experience or result via project profile, communications product or website </w:t>
            </w:r>
          </w:p>
          <w:p w14:paraId="3B2E80E7" w14:textId="77777777" w:rsidR="007E0E95" w:rsidRDefault="007E0E95">
            <w:pPr>
              <w:rPr>
                <w:rFonts w:asciiTheme="minorHAnsi" w:hAnsiTheme="minorHAnsi" w:cstheme="minorHAnsi"/>
                <w:sz w:val="18"/>
                <w:szCs w:val="18"/>
              </w:rPr>
            </w:pPr>
          </w:p>
          <w:p w14:paraId="0213FA15" w14:textId="77777777" w:rsidR="007E0E95" w:rsidRDefault="007E0E95">
            <w:pPr>
              <w:rPr>
                <w:rFonts w:asciiTheme="minorHAnsi" w:hAnsiTheme="minorHAnsi" w:cstheme="minorHAnsi"/>
                <w:color w:val="000000"/>
                <w:sz w:val="18"/>
                <w:szCs w:val="18"/>
              </w:rPr>
            </w:pPr>
          </w:p>
          <w:p w14:paraId="536DBB23" w14:textId="77777777" w:rsidR="007E0E95" w:rsidRDefault="007E0E95">
            <w:pPr>
              <w:rPr>
                <w:rFonts w:asciiTheme="minorHAnsi" w:hAnsiTheme="minorHAnsi" w:cstheme="minorHAnsi"/>
                <w:sz w:val="18"/>
                <w:szCs w:val="18"/>
              </w:rPr>
            </w:pPr>
            <w:r>
              <w:rPr>
                <w:rFonts w:asciiTheme="minorHAnsi" w:hAnsiTheme="minorHAnsi" w:cstheme="minorHAnsi"/>
                <w:color w:val="000000"/>
                <w:sz w:val="18"/>
                <w:szCs w:val="18"/>
              </w:rPr>
              <w:t>One (1) story or news on the work of the portfolio featured in a mainstream media channel (TV, website, radio/podcast, print)</w:t>
            </w:r>
          </w:p>
        </w:tc>
        <w:tc>
          <w:tcPr>
            <w:tcW w:w="2230" w:type="dxa"/>
            <w:tcBorders>
              <w:top w:val="single" w:sz="4" w:space="0" w:color="000000"/>
              <w:left w:val="single" w:sz="4" w:space="0" w:color="000000"/>
              <w:bottom w:val="single" w:sz="4" w:space="0" w:color="000000"/>
              <w:right w:val="single" w:sz="4" w:space="0" w:color="000000"/>
            </w:tcBorders>
          </w:tcPr>
          <w:p w14:paraId="33B120CF"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100% of projects communicate one experience or result via project profile, communications product or website</w:t>
            </w:r>
          </w:p>
          <w:p w14:paraId="2D446FAE" w14:textId="77777777" w:rsidR="007E0E95" w:rsidRDefault="007E0E95">
            <w:pPr>
              <w:rPr>
                <w:rFonts w:asciiTheme="minorHAnsi" w:hAnsiTheme="minorHAnsi" w:cstheme="minorHAnsi"/>
              </w:rPr>
            </w:pPr>
          </w:p>
          <w:p w14:paraId="357D2ED1" w14:textId="77777777" w:rsidR="007E0E95" w:rsidRDefault="007E0E95">
            <w:pPr>
              <w:rPr>
                <w:rFonts w:asciiTheme="minorHAnsi" w:hAnsiTheme="minorHAnsi" w:cstheme="minorHAnsi"/>
              </w:rPr>
            </w:pPr>
            <w:r>
              <w:rPr>
                <w:rFonts w:asciiTheme="minorHAnsi" w:hAnsiTheme="minorHAnsi" w:cstheme="minorHAnsi"/>
                <w:color w:val="000000"/>
                <w:sz w:val="18"/>
                <w:szCs w:val="18"/>
              </w:rPr>
              <w:t>Three (3) stories or news on the work of the portfolio featured in a mainstream media channel (TV, website, radio/podcast, print)</w:t>
            </w:r>
          </w:p>
        </w:tc>
      </w:tr>
      <w:tr w:rsidR="007E0E95" w:rsidRPr="007E0E95" w14:paraId="4B64EFC1" w14:textId="77777777" w:rsidTr="007E0E95">
        <w:trPr>
          <w:trHeight w:val="1860"/>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hideMark/>
          </w:tcPr>
          <w:p w14:paraId="44E54D3A"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Outputs to achieve Outcome 3</w:t>
            </w:r>
          </w:p>
        </w:tc>
        <w:tc>
          <w:tcPr>
            <w:tcW w:w="11140" w:type="dxa"/>
            <w:gridSpan w:val="4"/>
            <w:tcBorders>
              <w:top w:val="single" w:sz="4" w:space="0" w:color="0000FF"/>
              <w:left w:val="single" w:sz="4" w:space="0" w:color="000000"/>
              <w:bottom w:val="single" w:sz="4" w:space="0" w:color="000000"/>
              <w:right w:val="single" w:sz="4" w:space="0" w:color="000000"/>
            </w:tcBorders>
            <w:hideMark/>
          </w:tcPr>
          <w:p w14:paraId="2BD09538" w14:textId="77777777" w:rsidR="007E0E95" w:rsidRDefault="007E0E95" w:rsidP="007E0E95">
            <w:pPr>
              <w:numPr>
                <w:ilvl w:val="0"/>
                <w:numId w:val="76"/>
              </w:numPr>
              <w:rPr>
                <w:rFonts w:asciiTheme="minorHAnsi" w:hAnsiTheme="minorHAnsi" w:cstheme="minorHAnsi"/>
                <w:color w:val="000000"/>
                <w:sz w:val="18"/>
                <w:szCs w:val="18"/>
              </w:rPr>
            </w:pPr>
            <w:r>
              <w:rPr>
                <w:rFonts w:asciiTheme="minorHAnsi" w:hAnsiTheme="minorHAnsi" w:cstheme="minorHAnsi"/>
                <w:color w:val="000000"/>
                <w:sz w:val="18"/>
                <w:szCs w:val="18"/>
              </w:rPr>
              <w:t xml:space="preserve">Up-to-date and enhanced IW:LEARN web platform (IWLEARN.NET, Spatial Lab, </w:t>
            </w:r>
            <w:sdt>
              <w:sdtPr>
                <w:rPr>
                  <w:rFonts w:asciiTheme="minorHAnsi" w:hAnsiTheme="minorHAnsi" w:cstheme="minorHAnsi"/>
                </w:rPr>
                <w:tag w:val="goog_rdk_1364"/>
                <w:id w:val="695426885"/>
              </w:sdtPr>
              <w:sdtEndPr/>
              <w:sdtContent>
                <w:r>
                  <w:rPr>
                    <w:rFonts w:asciiTheme="minorHAnsi" w:hAnsiTheme="minorHAnsi" w:cstheme="minorHAnsi"/>
                    <w:color w:val="000000"/>
                    <w:sz w:val="18"/>
                    <w:szCs w:val="18"/>
                  </w:rPr>
                  <w:t xml:space="preserve">IW:LEARN </w:t>
                </w:r>
              </w:sdtContent>
            </w:sdt>
            <w:sdt>
              <w:sdtPr>
                <w:rPr>
                  <w:rFonts w:asciiTheme="minorHAnsi" w:hAnsiTheme="minorHAnsi" w:cstheme="minorHAnsi"/>
                </w:rPr>
                <w:tag w:val="goog_rdk_1366"/>
                <w:id w:val="1663034076"/>
              </w:sdtPr>
              <w:sdtEndPr/>
              <w:sdtContent>
                <w:r>
                  <w:rPr>
                    <w:rFonts w:asciiTheme="minorHAnsi" w:hAnsiTheme="minorHAnsi" w:cstheme="minorHAnsi"/>
                    <w:color w:val="000000"/>
                    <w:sz w:val="18"/>
                    <w:szCs w:val="18"/>
                  </w:rPr>
                  <w:t>w</w:t>
                </w:r>
              </w:sdtContent>
            </w:sdt>
            <w:r>
              <w:rPr>
                <w:rFonts w:asciiTheme="minorHAnsi" w:hAnsiTheme="minorHAnsi" w:cstheme="minorHAnsi"/>
                <w:color w:val="000000"/>
                <w:sz w:val="18"/>
                <w:szCs w:val="18"/>
              </w:rPr>
              <w:t xml:space="preserve">ebsite </w:t>
            </w:r>
            <w:sdt>
              <w:sdtPr>
                <w:rPr>
                  <w:rFonts w:asciiTheme="minorHAnsi" w:hAnsiTheme="minorHAnsi" w:cstheme="minorHAnsi"/>
                </w:rPr>
                <w:tag w:val="goog_rdk_1368"/>
                <w:id w:val="-1560010811"/>
              </w:sdtPr>
              <w:sdtEndPr/>
              <w:sdtContent>
                <w:r>
                  <w:rPr>
                    <w:rFonts w:asciiTheme="minorHAnsi" w:hAnsiTheme="minorHAnsi" w:cstheme="minorHAnsi"/>
                    <w:color w:val="000000"/>
                    <w:sz w:val="18"/>
                    <w:szCs w:val="18"/>
                  </w:rPr>
                  <w:t>solutions</w:t>
                </w:r>
              </w:sdtContent>
            </w:sdt>
            <w:r>
              <w:rPr>
                <w:rFonts w:asciiTheme="minorHAnsi" w:hAnsiTheme="minorHAnsi" w:cstheme="minorHAnsi"/>
                <w:color w:val="000000"/>
                <w:sz w:val="18"/>
                <w:szCs w:val="18"/>
              </w:rPr>
              <w:t xml:space="preserve">, including the </w:t>
            </w:r>
            <w:proofErr w:type="spellStart"/>
            <w:r>
              <w:rPr>
                <w:rFonts w:asciiTheme="minorHAnsi" w:hAnsiTheme="minorHAnsi" w:cstheme="minorHAnsi"/>
                <w:color w:val="000000"/>
                <w:sz w:val="18"/>
                <w:szCs w:val="18"/>
              </w:rPr>
              <w:t>LMEHub</w:t>
            </w:r>
            <w:proofErr w:type="spellEnd"/>
          </w:p>
          <w:p w14:paraId="7BF95570" w14:textId="77777777" w:rsidR="007E0E95" w:rsidRDefault="007E0E95" w:rsidP="007E0E95">
            <w:pPr>
              <w:numPr>
                <w:ilvl w:val="0"/>
                <w:numId w:val="76"/>
              </w:numPr>
              <w:rPr>
                <w:rFonts w:asciiTheme="minorHAnsi" w:hAnsiTheme="minorHAnsi" w:cstheme="minorHAnsi"/>
                <w:color w:val="000000"/>
                <w:sz w:val="18"/>
                <w:szCs w:val="18"/>
              </w:rPr>
            </w:pPr>
            <w:r>
              <w:rPr>
                <w:rFonts w:asciiTheme="minorHAnsi" w:hAnsiTheme="minorHAnsi" w:cstheme="minorHAnsi"/>
                <w:color w:val="000000"/>
                <w:sz w:val="18"/>
                <w:szCs w:val="18"/>
              </w:rPr>
              <w:t>50 new layers and 20 maps added to the Spatial Lab</w:t>
            </w:r>
          </w:p>
          <w:p w14:paraId="274FB08F" w14:textId="77777777" w:rsidR="007E0E95" w:rsidRDefault="007E0E95" w:rsidP="007E0E95">
            <w:pPr>
              <w:numPr>
                <w:ilvl w:val="0"/>
                <w:numId w:val="76"/>
              </w:numPr>
              <w:rPr>
                <w:rFonts w:asciiTheme="minorHAnsi" w:hAnsiTheme="minorHAnsi" w:cstheme="minorHAnsi"/>
                <w:color w:val="000000"/>
                <w:sz w:val="18"/>
                <w:szCs w:val="18"/>
              </w:rPr>
            </w:pPr>
            <w:r>
              <w:rPr>
                <w:rFonts w:asciiTheme="minorHAnsi" w:hAnsiTheme="minorHAnsi" w:cstheme="minorHAnsi"/>
                <w:sz w:val="18"/>
                <w:szCs w:val="18"/>
              </w:rPr>
              <w:t>48</w:t>
            </w:r>
            <w:r>
              <w:rPr>
                <w:rFonts w:asciiTheme="minorHAnsi" w:hAnsiTheme="minorHAnsi" w:cstheme="minorHAnsi"/>
                <w:color w:val="000000"/>
                <w:sz w:val="18"/>
                <w:szCs w:val="18"/>
              </w:rPr>
              <w:t xml:space="preserve"> issues of Portfolio Bulletin</w:t>
            </w:r>
          </w:p>
          <w:p w14:paraId="373535FE" w14:textId="77777777" w:rsidR="007E0E95" w:rsidRDefault="007E0E95" w:rsidP="007E0E95">
            <w:pPr>
              <w:numPr>
                <w:ilvl w:val="0"/>
                <w:numId w:val="76"/>
              </w:numPr>
              <w:rPr>
                <w:rFonts w:asciiTheme="minorHAnsi" w:hAnsiTheme="minorHAnsi" w:cstheme="minorHAnsi"/>
                <w:color w:val="000000"/>
                <w:sz w:val="18"/>
                <w:szCs w:val="18"/>
              </w:rPr>
            </w:pPr>
            <w:r>
              <w:rPr>
                <w:rFonts w:asciiTheme="minorHAnsi" w:hAnsiTheme="minorHAnsi" w:cstheme="minorHAnsi"/>
                <w:color w:val="000000"/>
                <w:sz w:val="18"/>
                <w:szCs w:val="18"/>
              </w:rPr>
              <w:t>Four regional workshops (two for LAC and Africa/Indian Ocean on ICT/DIM topics, two for Asia and Africa/Indian Ocean on project communications) and ten Webinars tackling innovative tools and best practices in ICT, data and info management, social media, and communications organized</w:t>
            </w:r>
          </w:p>
          <w:p w14:paraId="0F651529" w14:textId="77777777" w:rsidR="007E0E95" w:rsidRDefault="007E0E95" w:rsidP="007E0E95">
            <w:pPr>
              <w:numPr>
                <w:ilvl w:val="0"/>
                <w:numId w:val="76"/>
              </w:numPr>
              <w:rPr>
                <w:rFonts w:asciiTheme="minorHAnsi" w:hAnsiTheme="minorHAnsi" w:cstheme="minorHAnsi"/>
                <w:color w:val="000000"/>
                <w:sz w:val="18"/>
                <w:szCs w:val="18"/>
              </w:rPr>
            </w:pPr>
            <w:r>
              <w:rPr>
                <w:rFonts w:asciiTheme="minorHAnsi" w:hAnsiTheme="minorHAnsi" w:cstheme="minorHAnsi"/>
                <w:color w:val="000000"/>
                <w:sz w:val="18"/>
                <w:szCs w:val="18"/>
              </w:rPr>
              <w:t>New reference materials on project communications, DIM and website management in IWLEARN.NET</w:t>
            </w:r>
          </w:p>
          <w:p w14:paraId="33E98F1A" w14:textId="77777777" w:rsidR="007E0E95" w:rsidRDefault="007E0E95" w:rsidP="007E0E95">
            <w:pPr>
              <w:numPr>
                <w:ilvl w:val="0"/>
                <w:numId w:val="76"/>
              </w:numPr>
              <w:rPr>
                <w:rFonts w:asciiTheme="minorHAnsi" w:hAnsiTheme="minorHAnsi" w:cstheme="minorHAnsi"/>
                <w:color w:val="000000"/>
                <w:sz w:val="18"/>
                <w:szCs w:val="18"/>
              </w:rPr>
            </w:pPr>
            <w:r>
              <w:rPr>
                <w:rFonts w:asciiTheme="minorHAnsi" w:hAnsiTheme="minorHAnsi" w:cstheme="minorHAnsi"/>
                <w:color w:val="000000"/>
                <w:sz w:val="18"/>
                <w:szCs w:val="18"/>
              </w:rPr>
              <w:t>Roster of communications specialists, environmental journalists and media outlets</w:t>
            </w:r>
          </w:p>
          <w:p w14:paraId="22239DAE" w14:textId="77777777" w:rsidR="007E0E95" w:rsidRDefault="007E0E95" w:rsidP="007E0E95">
            <w:pPr>
              <w:numPr>
                <w:ilvl w:val="0"/>
                <w:numId w:val="76"/>
              </w:numPr>
              <w:rPr>
                <w:rFonts w:asciiTheme="minorHAnsi" w:hAnsiTheme="minorHAnsi" w:cstheme="minorHAnsi"/>
                <w:color w:val="0000FF"/>
                <w:sz w:val="18"/>
                <w:szCs w:val="18"/>
              </w:rPr>
            </w:pPr>
            <w:r>
              <w:rPr>
                <w:rFonts w:asciiTheme="minorHAnsi" w:hAnsiTheme="minorHAnsi" w:cstheme="minorHAnsi"/>
                <w:color w:val="000000"/>
                <w:sz w:val="18"/>
                <w:szCs w:val="18"/>
              </w:rPr>
              <w:lastRenderedPageBreak/>
              <w:t>Three new webpages in iwlearn.net, namely for SIDS, Nexus and Project Communications</w:t>
            </w:r>
          </w:p>
        </w:tc>
      </w:tr>
      <w:tr w:rsidR="007E0E95" w:rsidRPr="007E0E95" w14:paraId="030CE0E7" w14:textId="77777777" w:rsidTr="007E0E95">
        <w:trPr>
          <w:trHeight w:val="537"/>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7A4EAD41"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lastRenderedPageBreak/>
              <w:t xml:space="preserve">Project component 3 </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37599744" w14:textId="77777777" w:rsidR="007E0E95" w:rsidRDefault="007E0E95">
            <w:pPr>
              <w:rPr>
                <w:rFonts w:asciiTheme="minorHAnsi" w:hAnsiTheme="minorHAnsi" w:cstheme="minorHAnsi"/>
                <w:i/>
                <w:sz w:val="18"/>
                <w:szCs w:val="18"/>
              </w:rPr>
            </w:pPr>
            <w:r>
              <w:rPr>
                <w:rFonts w:asciiTheme="minorHAnsi" w:hAnsiTheme="minorHAnsi" w:cstheme="minorHAnsi"/>
                <w:color w:val="000000"/>
                <w:sz w:val="18"/>
                <w:szCs w:val="18"/>
              </w:rPr>
              <w:t>Deliver Intra and Inter-Regional Knowledge Management Across Focal Areas in Small Island Developing States to Improve Portfolio Performance</w:t>
            </w:r>
          </w:p>
        </w:tc>
      </w:tr>
      <w:tr w:rsidR="007E0E95" w:rsidRPr="007E0E95" w14:paraId="4949FDA7" w14:textId="77777777" w:rsidTr="007E0E95">
        <w:trPr>
          <w:trHeight w:val="1188"/>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201C9F30"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Outcome 4 (UNDP and UNEP implemented)</w:t>
            </w:r>
          </w:p>
          <w:p w14:paraId="0513C0CC" w14:textId="77777777" w:rsidR="007E0E95" w:rsidRDefault="007E0E95">
            <w:pPr>
              <w:shd w:val="clear" w:color="auto" w:fill="E7E6E6"/>
              <w:rPr>
                <w:rFonts w:asciiTheme="minorHAnsi" w:hAnsiTheme="minorHAnsi" w:cstheme="minorHAnsi"/>
                <w:b/>
                <w:sz w:val="18"/>
                <w:szCs w:val="18"/>
              </w:rPr>
            </w:pPr>
            <w:r>
              <w:rPr>
                <w:rFonts w:asciiTheme="minorHAnsi" w:hAnsiTheme="minorHAnsi" w:cstheme="minorHAnsi"/>
                <w:color w:val="000000"/>
                <w:sz w:val="18"/>
                <w:szCs w:val="18"/>
              </w:rPr>
              <w:t xml:space="preserve">Enhanced global collaboration and communication among Small Island Developing States </w:t>
            </w:r>
          </w:p>
        </w:tc>
        <w:tc>
          <w:tcPr>
            <w:tcW w:w="4230" w:type="dxa"/>
            <w:tcBorders>
              <w:top w:val="single" w:sz="4" w:space="0" w:color="000000"/>
              <w:left w:val="single" w:sz="4" w:space="0" w:color="000000"/>
              <w:bottom w:val="single" w:sz="4" w:space="0" w:color="000000"/>
              <w:right w:val="single" w:sz="4" w:space="0" w:color="000000"/>
            </w:tcBorders>
            <w:hideMark/>
          </w:tcPr>
          <w:p w14:paraId="61D7F9BF"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8: </w:t>
            </w:r>
          </w:p>
          <w:p w14:paraId="3594F199"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Number of SIDS that establish new management and governance approaches</w:t>
            </w:r>
          </w:p>
        </w:tc>
        <w:tc>
          <w:tcPr>
            <w:tcW w:w="2160" w:type="dxa"/>
            <w:tcBorders>
              <w:top w:val="single" w:sz="4" w:space="0" w:color="000000"/>
              <w:left w:val="single" w:sz="4" w:space="0" w:color="000000"/>
              <w:bottom w:val="single" w:sz="4" w:space="0" w:color="000000"/>
              <w:right w:val="single" w:sz="4" w:space="0" w:color="000000"/>
            </w:tcBorders>
            <w:hideMark/>
          </w:tcPr>
          <w:p w14:paraId="2E0552ED"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Progress of up-take of knowledge from training, twinning in SIDS related projects</w:t>
            </w:r>
          </w:p>
        </w:tc>
        <w:tc>
          <w:tcPr>
            <w:tcW w:w="2520" w:type="dxa"/>
            <w:tcBorders>
              <w:top w:val="single" w:sz="4" w:space="0" w:color="000000"/>
              <w:left w:val="single" w:sz="4" w:space="0" w:color="000000"/>
              <w:bottom w:val="single" w:sz="4" w:space="0" w:color="000000"/>
              <w:right w:val="single" w:sz="4" w:space="0" w:color="000000"/>
            </w:tcBorders>
            <w:hideMark/>
          </w:tcPr>
          <w:p w14:paraId="1D4B077F"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5 new management and governance approaches established or replicated from one SIDS to another</w:t>
            </w:r>
          </w:p>
        </w:tc>
        <w:tc>
          <w:tcPr>
            <w:tcW w:w="2230" w:type="dxa"/>
            <w:tcBorders>
              <w:top w:val="single" w:sz="4" w:space="0" w:color="000000"/>
              <w:left w:val="single" w:sz="4" w:space="0" w:color="000000"/>
              <w:bottom w:val="single" w:sz="4" w:space="0" w:color="000000"/>
              <w:right w:val="single" w:sz="4" w:space="0" w:color="000000"/>
            </w:tcBorders>
            <w:hideMark/>
          </w:tcPr>
          <w:p w14:paraId="626B4BDB" w14:textId="77777777" w:rsidR="007E0E95" w:rsidRDefault="007E0E95">
            <w:pPr>
              <w:rPr>
                <w:rFonts w:asciiTheme="minorHAnsi" w:hAnsiTheme="minorHAnsi" w:cstheme="minorHAnsi"/>
                <w:i/>
              </w:rPr>
            </w:pPr>
            <w:r>
              <w:rPr>
                <w:rFonts w:asciiTheme="minorHAnsi" w:hAnsiTheme="minorHAnsi" w:cstheme="minorHAnsi"/>
                <w:sz w:val="18"/>
                <w:szCs w:val="18"/>
              </w:rPr>
              <w:t>10 new management and governance approaches established or replicated from one SIDS to another</w:t>
            </w:r>
          </w:p>
        </w:tc>
      </w:tr>
      <w:tr w:rsidR="007E0E95" w:rsidRPr="007E0E95" w14:paraId="10127B04" w14:textId="77777777" w:rsidTr="007E0E95">
        <w:trPr>
          <w:trHeight w:val="476"/>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hideMark/>
          </w:tcPr>
          <w:p w14:paraId="3694DB7E"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Outputs to achieve Outcome 4</w:t>
            </w:r>
          </w:p>
        </w:tc>
        <w:tc>
          <w:tcPr>
            <w:tcW w:w="11140" w:type="dxa"/>
            <w:gridSpan w:val="4"/>
            <w:tcBorders>
              <w:top w:val="single" w:sz="4" w:space="0" w:color="000000"/>
              <w:left w:val="single" w:sz="4" w:space="0" w:color="000000"/>
              <w:bottom w:val="single" w:sz="4" w:space="0" w:color="000000"/>
              <w:right w:val="single" w:sz="4" w:space="0" w:color="000000"/>
            </w:tcBorders>
            <w:hideMark/>
          </w:tcPr>
          <w:p w14:paraId="07B532DD" w14:textId="77777777" w:rsidR="007E0E95" w:rsidRDefault="007E0E95" w:rsidP="007E0E95">
            <w:pPr>
              <w:numPr>
                <w:ilvl w:val="0"/>
                <w:numId w:val="77"/>
              </w:numPr>
              <w:rPr>
                <w:rFonts w:asciiTheme="minorHAnsi" w:hAnsiTheme="minorHAnsi" w:cstheme="minorHAnsi"/>
                <w:color w:val="000000"/>
                <w:sz w:val="18"/>
                <w:szCs w:val="18"/>
              </w:rPr>
            </w:pPr>
            <w:r>
              <w:rPr>
                <w:rFonts w:asciiTheme="minorHAnsi" w:hAnsiTheme="minorHAnsi" w:cstheme="minorHAnsi"/>
                <w:color w:val="000000"/>
                <w:sz w:val="18"/>
                <w:szCs w:val="18"/>
              </w:rPr>
              <w:t xml:space="preserve">At least 3 structured and iterative </w:t>
            </w:r>
            <w:proofErr w:type="spellStart"/>
            <w:r>
              <w:rPr>
                <w:rFonts w:asciiTheme="minorHAnsi" w:hAnsiTheme="minorHAnsi" w:cstheme="minorHAnsi"/>
                <w:color w:val="000000"/>
                <w:sz w:val="18"/>
                <w:szCs w:val="18"/>
              </w:rPr>
              <w:t>twinnings</w:t>
            </w:r>
            <w:proofErr w:type="spellEnd"/>
            <w:r>
              <w:rPr>
                <w:rFonts w:asciiTheme="minorHAnsi" w:hAnsiTheme="minorHAnsi" w:cstheme="minorHAnsi"/>
                <w:color w:val="000000"/>
                <w:sz w:val="18"/>
                <w:szCs w:val="18"/>
              </w:rPr>
              <w:t xml:space="preserve"> and 3 SIDS IW specific knowledge products</w:t>
            </w:r>
          </w:p>
          <w:p w14:paraId="4D6D03B4" w14:textId="77777777" w:rsidR="007E0E95" w:rsidRDefault="007E0E95" w:rsidP="007E0E95">
            <w:pPr>
              <w:numPr>
                <w:ilvl w:val="0"/>
                <w:numId w:val="77"/>
              </w:numPr>
              <w:rPr>
                <w:rFonts w:asciiTheme="minorHAnsi" w:hAnsiTheme="minorHAnsi" w:cstheme="minorHAnsi"/>
                <w:color w:val="000000"/>
                <w:sz w:val="18"/>
                <w:szCs w:val="18"/>
              </w:rPr>
            </w:pPr>
            <w:r>
              <w:rPr>
                <w:rFonts w:asciiTheme="minorHAnsi" w:hAnsiTheme="minorHAnsi" w:cstheme="minorHAnsi"/>
                <w:color w:val="000000"/>
                <w:sz w:val="18"/>
                <w:szCs w:val="18"/>
              </w:rPr>
              <w:t xml:space="preserve">At least 2 ad-hoc </w:t>
            </w:r>
            <w:proofErr w:type="spellStart"/>
            <w:r>
              <w:rPr>
                <w:rFonts w:asciiTheme="minorHAnsi" w:hAnsiTheme="minorHAnsi" w:cstheme="minorHAnsi"/>
                <w:color w:val="000000"/>
                <w:sz w:val="18"/>
                <w:szCs w:val="18"/>
              </w:rPr>
              <w:t>twinnings</w:t>
            </w:r>
            <w:proofErr w:type="spellEnd"/>
            <w:r>
              <w:rPr>
                <w:rFonts w:asciiTheme="minorHAnsi" w:hAnsiTheme="minorHAnsi" w:cstheme="minorHAnsi"/>
                <w:color w:val="000000"/>
                <w:sz w:val="18"/>
                <w:szCs w:val="18"/>
              </w:rPr>
              <w:t xml:space="preserve"> and 2 SIDS IW specific knowledge products</w:t>
            </w:r>
          </w:p>
          <w:p w14:paraId="6A33EBCD" w14:textId="77777777" w:rsidR="007E0E95" w:rsidRDefault="007E0E95" w:rsidP="007E0E95">
            <w:pPr>
              <w:numPr>
                <w:ilvl w:val="0"/>
                <w:numId w:val="77"/>
              </w:numPr>
              <w:rPr>
                <w:rFonts w:asciiTheme="minorHAnsi" w:hAnsiTheme="minorHAnsi" w:cstheme="minorHAnsi"/>
                <w:color w:val="000000"/>
                <w:sz w:val="18"/>
                <w:szCs w:val="18"/>
              </w:rPr>
            </w:pPr>
            <w:r>
              <w:rPr>
                <w:rFonts w:asciiTheme="minorHAnsi" w:hAnsiTheme="minorHAnsi" w:cstheme="minorHAnsi"/>
                <w:color w:val="000000"/>
                <w:sz w:val="18"/>
                <w:szCs w:val="18"/>
              </w:rPr>
              <w:t>SIDS hub</w:t>
            </w:r>
          </w:p>
          <w:p w14:paraId="64EA0863" w14:textId="77777777" w:rsidR="007E0E95" w:rsidRDefault="007E0E95" w:rsidP="007E0E95">
            <w:pPr>
              <w:numPr>
                <w:ilvl w:val="0"/>
                <w:numId w:val="77"/>
              </w:numPr>
              <w:rPr>
                <w:rFonts w:asciiTheme="minorHAnsi" w:hAnsiTheme="minorHAnsi" w:cstheme="minorHAnsi"/>
                <w:color w:val="000000"/>
                <w:sz w:val="18"/>
                <w:szCs w:val="18"/>
              </w:rPr>
            </w:pPr>
            <w:r>
              <w:rPr>
                <w:rFonts w:asciiTheme="minorHAnsi" w:hAnsiTheme="minorHAnsi" w:cstheme="minorHAnsi"/>
                <w:color w:val="000000"/>
                <w:sz w:val="18"/>
                <w:szCs w:val="18"/>
              </w:rPr>
              <w:t xml:space="preserve">At least 5 training course materials and guidance documents </w:t>
            </w:r>
          </w:p>
          <w:p w14:paraId="0150B3E8" w14:textId="77777777" w:rsidR="007E0E95" w:rsidRDefault="007E0E95" w:rsidP="007E0E95">
            <w:pPr>
              <w:numPr>
                <w:ilvl w:val="0"/>
                <w:numId w:val="77"/>
              </w:numPr>
              <w:rPr>
                <w:rFonts w:asciiTheme="minorHAnsi" w:hAnsiTheme="minorHAnsi" w:cstheme="minorHAnsi"/>
                <w:color w:val="000000"/>
                <w:sz w:val="18"/>
                <w:szCs w:val="18"/>
              </w:rPr>
            </w:pPr>
            <w:r>
              <w:rPr>
                <w:rFonts w:asciiTheme="minorHAnsi" w:hAnsiTheme="minorHAnsi" w:cstheme="minorHAnsi"/>
                <w:color w:val="000000"/>
                <w:sz w:val="18"/>
                <w:szCs w:val="18"/>
              </w:rPr>
              <w:t>1 SIDS pre-conference workshop held at an upcoming IW Conference</w:t>
            </w:r>
          </w:p>
        </w:tc>
      </w:tr>
      <w:tr w:rsidR="007E0E95" w:rsidRPr="007E0E95" w14:paraId="7B189FB1" w14:textId="77777777" w:rsidTr="007E0E95">
        <w:trPr>
          <w:trHeight w:val="2190"/>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3005F09E"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Outcome 5 (UNDP and UNEP implemented)</w:t>
            </w:r>
          </w:p>
          <w:p w14:paraId="6EECAA29" w14:textId="77777777" w:rsidR="007E0E95" w:rsidRDefault="007E0E95">
            <w:pPr>
              <w:shd w:val="clear" w:color="auto" w:fill="E7E6E6"/>
              <w:rPr>
                <w:rFonts w:asciiTheme="minorHAnsi" w:hAnsiTheme="minorHAnsi" w:cstheme="minorHAnsi"/>
                <w:color w:val="000000"/>
                <w:sz w:val="18"/>
                <w:szCs w:val="18"/>
              </w:rPr>
            </w:pPr>
            <w:r>
              <w:rPr>
                <w:rFonts w:asciiTheme="minorHAnsi" w:hAnsiTheme="minorHAnsi" w:cstheme="minorHAnsi"/>
                <w:color w:val="000000"/>
                <w:sz w:val="18"/>
                <w:szCs w:val="18"/>
                <w:shd w:val="clear" w:color="auto" w:fill="E7E6E6"/>
              </w:rPr>
              <w:t>Improved coordination of GEF projects and participating country counterparts in Small Island Developing States across all GEF focal areas and increased achievement of relevant environmental performance targets by project participating countries</w:t>
            </w:r>
          </w:p>
        </w:tc>
        <w:tc>
          <w:tcPr>
            <w:tcW w:w="4230" w:type="dxa"/>
            <w:tcBorders>
              <w:top w:val="single" w:sz="4" w:space="0" w:color="000000"/>
              <w:left w:val="single" w:sz="4" w:space="0" w:color="000000"/>
              <w:bottom w:val="single" w:sz="4" w:space="0" w:color="000000"/>
              <w:right w:val="single" w:sz="4" w:space="0" w:color="000000"/>
            </w:tcBorders>
          </w:tcPr>
          <w:p w14:paraId="0848D767"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9: </w:t>
            </w:r>
          </w:p>
          <w:p w14:paraId="6D7C46E2"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Number of projects report enhanced collaboration with a project or partner from another focal area</w:t>
            </w:r>
          </w:p>
          <w:p w14:paraId="53B83C58" w14:textId="77777777" w:rsidR="007E0E95" w:rsidRDefault="007E0E95">
            <w:pPr>
              <w:rPr>
                <w:rFonts w:asciiTheme="minorHAnsi" w:hAnsiTheme="minorHAnsi" w:cstheme="minorHAnsi"/>
                <w:sz w:val="18"/>
                <w:szCs w:val="18"/>
              </w:rPr>
            </w:pPr>
          </w:p>
          <w:p w14:paraId="5DEFD9B4" w14:textId="77777777" w:rsidR="007E0E95" w:rsidRDefault="007E0E95">
            <w:pPr>
              <w:rPr>
                <w:rFonts w:asciiTheme="minorHAnsi" w:hAnsiTheme="minorHAnsi" w:cstheme="minorHAnsi"/>
                <w:sz w:val="18"/>
                <w:szCs w:val="18"/>
              </w:rPr>
            </w:pPr>
          </w:p>
          <w:p w14:paraId="557FB125" w14:textId="77777777" w:rsidR="007E0E95" w:rsidRDefault="007E0E95">
            <w:pPr>
              <w:rPr>
                <w:rFonts w:asciiTheme="minorHAnsi" w:hAnsiTheme="minorHAnsi" w:cstheme="minorHAnsi"/>
                <w:i/>
                <w:iCs/>
                <w:sz w:val="18"/>
                <w:szCs w:val="18"/>
              </w:rPr>
            </w:pPr>
            <w:r>
              <w:rPr>
                <w:rFonts w:asciiTheme="minorHAnsi" w:hAnsiTheme="minorHAnsi" w:cstheme="minorHAnsi"/>
                <w:i/>
                <w:iCs/>
                <w:sz w:val="18"/>
                <w:szCs w:val="18"/>
              </w:rPr>
              <w:t>Indicator 10:</w:t>
            </w:r>
          </w:p>
          <w:p w14:paraId="1EBBC1B8"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Number of best practices in addressing environmental performance targets in SIDS generated and used as the basis for learning and replication</w:t>
            </w:r>
          </w:p>
        </w:tc>
        <w:tc>
          <w:tcPr>
            <w:tcW w:w="2160" w:type="dxa"/>
            <w:tcBorders>
              <w:top w:val="single" w:sz="4" w:space="0" w:color="000000"/>
              <w:left w:val="single" w:sz="4" w:space="0" w:color="000000"/>
              <w:bottom w:val="single" w:sz="4" w:space="0" w:color="000000"/>
              <w:right w:val="single" w:sz="4" w:space="0" w:color="000000"/>
            </w:tcBorders>
          </w:tcPr>
          <w:p w14:paraId="24036B30"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 xml:space="preserve">Collaboration among SIDS projects on cross-sectoral issues is not satisfactory </w:t>
            </w:r>
          </w:p>
          <w:p w14:paraId="3233E4E2"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 xml:space="preserve"> </w:t>
            </w:r>
          </w:p>
          <w:p w14:paraId="0BE080C8" w14:textId="77777777" w:rsidR="007E0E95" w:rsidRDefault="007E0E95">
            <w:pPr>
              <w:rPr>
                <w:rFonts w:asciiTheme="minorHAnsi" w:hAnsiTheme="minorHAnsi" w:cstheme="minorHAnsi"/>
                <w:sz w:val="18"/>
                <w:szCs w:val="18"/>
              </w:rPr>
            </w:pPr>
          </w:p>
          <w:p w14:paraId="3EB9217E" w14:textId="77777777" w:rsidR="007E0E95" w:rsidRDefault="007E0E95">
            <w:pPr>
              <w:pStyle w:val="NormalWeb"/>
              <w:ind w:left="2"/>
              <w:jc w:val="left"/>
              <w:rPr>
                <w:rFonts w:ascii="Times New Roman" w:hAnsi="Times New Roman" w:cs="Times New Roman"/>
                <w:sz w:val="24"/>
                <w:szCs w:val="24"/>
              </w:rPr>
            </w:pPr>
            <w:r>
              <w:rPr>
                <w:rFonts w:ascii="Calibri" w:hAnsi="Calibri" w:cs="Calibri"/>
                <w:sz w:val="18"/>
                <w:szCs w:val="18"/>
              </w:rPr>
              <w:t>Deficiencies in adapting to new approaches. Need for continued up-scaling and replication.</w:t>
            </w:r>
          </w:p>
          <w:p w14:paraId="5F46B863" w14:textId="77777777" w:rsidR="007E0E95" w:rsidRDefault="007E0E95">
            <w:pPr>
              <w:rPr>
                <w:rFonts w:asciiTheme="minorHAnsi" w:hAnsiTheme="minorHAnsi" w:cstheme="minorHAnsi"/>
                <w:sz w:val="18"/>
                <w:szCs w:val="18"/>
              </w:rPr>
            </w:pPr>
          </w:p>
          <w:p w14:paraId="371C9119" w14:textId="77777777" w:rsidR="007E0E95" w:rsidRDefault="007E0E95">
            <w:pPr>
              <w:rPr>
                <w:rFonts w:asciiTheme="minorHAnsi" w:hAnsiTheme="minorHAnsi"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tcPr>
          <w:p w14:paraId="5DF72B78"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2 projects report enhanced collaboration with a project or partner from another focal area</w:t>
            </w:r>
          </w:p>
          <w:p w14:paraId="6E4B8E0E" w14:textId="77777777" w:rsidR="007E0E95" w:rsidRDefault="007E0E95">
            <w:pPr>
              <w:rPr>
                <w:rFonts w:asciiTheme="minorHAnsi" w:hAnsiTheme="minorHAnsi" w:cstheme="minorHAnsi"/>
                <w:sz w:val="18"/>
                <w:szCs w:val="18"/>
              </w:rPr>
            </w:pPr>
          </w:p>
          <w:p w14:paraId="6395ABC4" w14:textId="77777777" w:rsidR="007E0E95" w:rsidRDefault="007E0E95">
            <w:pPr>
              <w:rPr>
                <w:rFonts w:asciiTheme="minorHAnsi" w:hAnsiTheme="minorHAnsi" w:cstheme="minorHAnsi"/>
                <w:sz w:val="18"/>
                <w:szCs w:val="18"/>
              </w:rPr>
            </w:pPr>
          </w:p>
          <w:p w14:paraId="7FEB61A1"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2 SIDS adopt new approaches to address environmental performance targets</w:t>
            </w:r>
          </w:p>
        </w:tc>
        <w:tc>
          <w:tcPr>
            <w:tcW w:w="2230" w:type="dxa"/>
            <w:tcBorders>
              <w:top w:val="single" w:sz="4" w:space="0" w:color="000000"/>
              <w:left w:val="single" w:sz="4" w:space="0" w:color="000000"/>
              <w:bottom w:val="single" w:sz="4" w:space="0" w:color="000000"/>
              <w:right w:val="single" w:sz="4" w:space="0" w:color="000000"/>
            </w:tcBorders>
          </w:tcPr>
          <w:p w14:paraId="040D5F1E"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4 projects report enhanced collaboration with a project or partner from another focal area</w:t>
            </w:r>
          </w:p>
          <w:p w14:paraId="1006BEAB" w14:textId="77777777" w:rsidR="007E0E95" w:rsidRDefault="007E0E95">
            <w:pPr>
              <w:rPr>
                <w:rFonts w:asciiTheme="minorHAnsi" w:hAnsiTheme="minorHAnsi" w:cstheme="minorHAnsi"/>
                <w:sz w:val="18"/>
                <w:szCs w:val="18"/>
              </w:rPr>
            </w:pPr>
          </w:p>
          <w:p w14:paraId="6DCD6582" w14:textId="77777777" w:rsidR="007E0E95" w:rsidRDefault="007E0E95">
            <w:pPr>
              <w:rPr>
                <w:rFonts w:asciiTheme="minorHAnsi" w:hAnsiTheme="minorHAnsi" w:cstheme="minorHAnsi"/>
                <w:sz w:val="18"/>
                <w:szCs w:val="18"/>
              </w:rPr>
            </w:pPr>
          </w:p>
          <w:p w14:paraId="7BBC1FB0" w14:textId="77777777" w:rsidR="007E0E95" w:rsidRDefault="007E0E95">
            <w:pPr>
              <w:rPr>
                <w:rFonts w:asciiTheme="minorHAnsi" w:hAnsiTheme="minorHAnsi" w:cstheme="minorHAnsi"/>
              </w:rPr>
            </w:pPr>
            <w:r>
              <w:rPr>
                <w:rFonts w:asciiTheme="minorHAnsi" w:hAnsiTheme="minorHAnsi" w:cstheme="minorHAnsi"/>
                <w:sz w:val="18"/>
                <w:szCs w:val="18"/>
              </w:rPr>
              <w:t>4 SIDS adopt new approaches to address environmental performance targets</w:t>
            </w:r>
          </w:p>
        </w:tc>
      </w:tr>
      <w:tr w:rsidR="007E0E95" w:rsidRPr="007E0E95" w14:paraId="6744F919" w14:textId="77777777" w:rsidTr="007E0E95">
        <w:trPr>
          <w:trHeight w:val="530"/>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7AB333C5"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Outputs to achieve Outcome 5</w:t>
            </w:r>
          </w:p>
        </w:tc>
        <w:tc>
          <w:tcPr>
            <w:tcW w:w="11140" w:type="dxa"/>
            <w:gridSpan w:val="4"/>
            <w:tcBorders>
              <w:top w:val="single" w:sz="4" w:space="0" w:color="000000"/>
              <w:left w:val="single" w:sz="4" w:space="0" w:color="000000"/>
              <w:bottom w:val="single" w:sz="4" w:space="0" w:color="000000"/>
              <w:right w:val="single" w:sz="4" w:space="0" w:color="000000"/>
            </w:tcBorders>
            <w:hideMark/>
          </w:tcPr>
          <w:p w14:paraId="47D6111D" w14:textId="77777777" w:rsidR="007E0E95" w:rsidRDefault="007E0E95" w:rsidP="007E0E95">
            <w:pPr>
              <w:numPr>
                <w:ilvl w:val="0"/>
                <w:numId w:val="78"/>
              </w:numPr>
              <w:ind w:left="375" w:hanging="375"/>
              <w:rPr>
                <w:rFonts w:asciiTheme="minorHAnsi" w:hAnsiTheme="minorHAnsi" w:cstheme="minorHAnsi"/>
                <w:color w:val="000000"/>
                <w:sz w:val="18"/>
                <w:szCs w:val="18"/>
              </w:rPr>
            </w:pPr>
            <w:r>
              <w:rPr>
                <w:rFonts w:asciiTheme="minorHAnsi" w:hAnsiTheme="minorHAnsi" w:cstheme="minorHAnsi"/>
                <w:color w:val="000000"/>
                <w:sz w:val="18"/>
                <w:szCs w:val="18"/>
              </w:rPr>
              <w:t>At least 1 inter-regional training workshops targeting SIDS related all GEF focal areas’ issues with participation of projects from three regions: Pacific, Caribbean, and Atlantic and Indian Ocean</w:t>
            </w:r>
          </w:p>
          <w:p w14:paraId="7A5B6BCF" w14:textId="77777777" w:rsidR="007E0E95" w:rsidRDefault="007E0E95" w:rsidP="007E0E95">
            <w:pPr>
              <w:numPr>
                <w:ilvl w:val="0"/>
                <w:numId w:val="78"/>
              </w:numPr>
              <w:ind w:left="375" w:hanging="375"/>
              <w:rPr>
                <w:rFonts w:asciiTheme="minorHAnsi" w:hAnsiTheme="minorHAnsi" w:cstheme="minorHAnsi"/>
                <w:color w:val="000000"/>
                <w:sz w:val="18"/>
                <w:szCs w:val="18"/>
              </w:rPr>
            </w:pPr>
            <w:r>
              <w:rPr>
                <w:rFonts w:asciiTheme="minorHAnsi" w:hAnsiTheme="minorHAnsi" w:cstheme="minorHAnsi"/>
                <w:color w:val="000000"/>
                <w:sz w:val="18"/>
                <w:szCs w:val="18"/>
              </w:rPr>
              <w:t>At least 3 intra-regional targeted cross-cutting training workshops in three regions: Pacific, Caribbean, and Atlantic and Indian Ocean</w:t>
            </w:r>
          </w:p>
          <w:p w14:paraId="2043E215" w14:textId="77777777" w:rsidR="007E0E95" w:rsidRDefault="007E0E95" w:rsidP="007E0E95">
            <w:pPr>
              <w:numPr>
                <w:ilvl w:val="0"/>
                <w:numId w:val="78"/>
              </w:numPr>
              <w:ind w:left="375" w:hanging="375"/>
              <w:rPr>
                <w:rFonts w:asciiTheme="minorHAnsi" w:hAnsiTheme="minorHAnsi" w:cstheme="minorHAnsi"/>
                <w:color w:val="000000"/>
                <w:sz w:val="18"/>
                <w:szCs w:val="18"/>
              </w:rPr>
            </w:pPr>
            <w:r>
              <w:rPr>
                <w:rFonts w:asciiTheme="minorHAnsi" w:hAnsiTheme="minorHAnsi" w:cstheme="minorHAnsi"/>
                <w:color w:val="000000"/>
                <w:sz w:val="18"/>
                <w:szCs w:val="18"/>
              </w:rPr>
              <w:t>Improved coordination of GEF projects and participating countries’ counterparts in SIDS across all GEF focal areas</w:t>
            </w:r>
          </w:p>
        </w:tc>
      </w:tr>
      <w:tr w:rsidR="007E0E95" w:rsidRPr="007E0E95" w14:paraId="638D2359" w14:textId="77777777" w:rsidTr="007E0E95">
        <w:trPr>
          <w:trHeight w:val="620"/>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E7E6E6"/>
            <w:hideMark/>
          </w:tcPr>
          <w:p w14:paraId="5C151A22"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lastRenderedPageBreak/>
              <w:t xml:space="preserve">Project component 4 </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30987354" w14:textId="77777777" w:rsidR="007E0E95" w:rsidRDefault="007E0E95">
            <w:pPr>
              <w:rPr>
                <w:rFonts w:asciiTheme="minorHAnsi" w:hAnsiTheme="minorHAnsi" w:cstheme="minorHAnsi"/>
                <w:i/>
                <w:sz w:val="18"/>
                <w:szCs w:val="18"/>
              </w:rPr>
            </w:pPr>
            <w:r>
              <w:rPr>
                <w:rFonts w:asciiTheme="minorHAnsi" w:hAnsiTheme="minorHAnsi" w:cstheme="minorHAnsi"/>
                <w:color w:val="000000"/>
                <w:sz w:val="18"/>
                <w:szCs w:val="18"/>
              </w:rPr>
              <w:t>Deliver Support to Surface Freshwater, Groundwater and Large Marine Ecosystem Subsets in Support of Portfolio Strategic Priorities</w:t>
            </w:r>
          </w:p>
        </w:tc>
      </w:tr>
      <w:tr w:rsidR="007E0E95" w:rsidRPr="007E0E95" w14:paraId="566DDB44" w14:textId="77777777" w:rsidTr="007E0E95">
        <w:trPr>
          <w:trHeight w:val="440"/>
          <w:jc w:val="center"/>
        </w:trPr>
        <w:tc>
          <w:tcPr>
            <w:tcW w:w="2605"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3891F243"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Outcome 6 (UNDP and UNEP implemented)</w:t>
            </w:r>
          </w:p>
          <w:p w14:paraId="5207C184" w14:textId="77777777" w:rsidR="007E0E95" w:rsidRDefault="007E0E95">
            <w:pPr>
              <w:rPr>
                <w:rFonts w:asciiTheme="minorHAnsi" w:hAnsiTheme="minorHAnsi" w:cstheme="minorHAnsi"/>
                <w:b/>
                <w:sz w:val="18"/>
                <w:szCs w:val="18"/>
              </w:rPr>
            </w:pPr>
            <w:r>
              <w:rPr>
                <w:rFonts w:asciiTheme="minorHAnsi" w:hAnsiTheme="minorHAnsi" w:cstheme="minorHAnsi"/>
                <w:color w:val="000000"/>
                <w:sz w:val="18"/>
                <w:szCs w:val="18"/>
              </w:rPr>
              <w:t>Improved management of transboundary freshwater and marine ecosystems</w:t>
            </w:r>
          </w:p>
          <w:p w14:paraId="0E97C23E" w14:textId="77777777" w:rsidR="007E0E95" w:rsidRDefault="007E0E95">
            <w:pPr>
              <w:rPr>
                <w:rFonts w:asciiTheme="minorHAnsi" w:hAnsiTheme="minorHAnsi" w:cstheme="minorHAnsi"/>
                <w:b/>
                <w:sz w:val="18"/>
                <w:szCs w:val="18"/>
              </w:rPr>
            </w:pPr>
          </w:p>
        </w:tc>
        <w:tc>
          <w:tcPr>
            <w:tcW w:w="4230" w:type="dxa"/>
            <w:tcBorders>
              <w:top w:val="single" w:sz="4" w:space="0" w:color="000000"/>
              <w:left w:val="single" w:sz="4" w:space="0" w:color="000000"/>
              <w:bottom w:val="single" w:sz="4" w:space="0" w:color="000000"/>
              <w:right w:val="single" w:sz="4" w:space="0" w:color="000000"/>
            </w:tcBorders>
            <w:hideMark/>
          </w:tcPr>
          <w:p w14:paraId="6F037D77"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11: </w:t>
            </w:r>
          </w:p>
          <w:p w14:paraId="73F1403A"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 of the portfolio reports either incorporation of Nexus considerations, conjunctive management, blue economy approaches or transboundary MSP approaches in their implementation</w:t>
            </w:r>
          </w:p>
        </w:tc>
        <w:tc>
          <w:tcPr>
            <w:tcW w:w="2160" w:type="dxa"/>
            <w:tcBorders>
              <w:top w:val="single" w:sz="4" w:space="0" w:color="000000"/>
              <w:left w:val="single" w:sz="4" w:space="0" w:color="000000"/>
              <w:bottom w:val="single" w:sz="4" w:space="0" w:color="000000"/>
              <w:right w:val="single" w:sz="4" w:space="0" w:color="000000"/>
            </w:tcBorders>
            <w:hideMark/>
          </w:tcPr>
          <w:p w14:paraId="0939F6F9"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Previous phases of IW:LEARN (and LME:LEARN) have built on the growing experience to implement transboundary water management, but the needs are growing and without continuous development and upgrade the future challenges would not be met</w:t>
            </w:r>
          </w:p>
        </w:tc>
        <w:tc>
          <w:tcPr>
            <w:tcW w:w="2520" w:type="dxa"/>
            <w:tcBorders>
              <w:top w:val="single" w:sz="4" w:space="0" w:color="000000"/>
              <w:left w:val="single" w:sz="4" w:space="0" w:color="000000"/>
              <w:bottom w:val="single" w:sz="4" w:space="0" w:color="000000"/>
              <w:right w:val="single" w:sz="4" w:space="0" w:color="000000"/>
            </w:tcBorders>
            <w:hideMark/>
          </w:tcPr>
          <w:p w14:paraId="0FC4525A"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50% of the portfolio reports either incorporation of Nexus considerations, conjunctive management, blue economy approaches or transboundary MSP approaches in their implementation</w:t>
            </w:r>
          </w:p>
        </w:tc>
        <w:tc>
          <w:tcPr>
            <w:tcW w:w="2230" w:type="dxa"/>
            <w:tcBorders>
              <w:top w:val="single" w:sz="4" w:space="0" w:color="000000"/>
              <w:left w:val="single" w:sz="4" w:space="0" w:color="000000"/>
              <w:bottom w:val="single" w:sz="4" w:space="0" w:color="000000"/>
              <w:right w:val="single" w:sz="4" w:space="0" w:color="000000"/>
            </w:tcBorders>
            <w:hideMark/>
          </w:tcPr>
          <w:p w14:paraId="7997FA65" w14:textId="77777777" w:rsidR="007E0E95" w:rsidRDefault="007E0E95">
            <w:pPr>
              <w:rPr>
                <w:rFonts w:asciiTheme="minorHAnsi" w:hAnsiTheme="minorHAnsi" w:cstheme="minorHAnsi"/>
              </w:rPr>
            </w:pPr>
            <w:r>
              <w:rPr>
                <w:rFonts w:asciiTheme="minorHAnsi" w:hAnsiTheme="minorHAnsi" w:cstheme="minorHAnsi"/>
                <w:sz w:val="18"/>
                <w:szCs w:val="18"/>
              </w:rPr>
              <w:t>75% of the portfolio reports either incorporation of Nexus considerations, conjunctive management, blue economy approaches or transboundary MSP approaches in their implementation</w:t>
            </w:r>
          </w:p>
        </w:tc>
      </w:tr>
      <w:tr w:rsidR="007E0E95" w:rsidRPr="007E0E95" w14:paraId="332BABA5" w14:textId="77777777" w:rsidTr="007E0E95">
        <w:trPr>
          <w:trHeight w:val="44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81B32B" w14:textId="77777777" w:rsidR="007E0E95" w:rsidRDefault="007E0E95">
            <w:pPr>
              <w:rPr>
                <w:rFonts w:asciiTheme="minorHAnsi" w:hAnsiTheme="minorHAnsi" w:cstheme="minorHAnsi"/>
                <w:b/>
                <w:sz w:val="18"/>
                <w:szCs w:val="18"/>
              </w:rPr>
            </w:pPr>
          </w:p>
        </w:tc>
        <w:tc>
          <w:tcPr>
            <w:tcW w:w="4230" w:type="dxa"/>
            <w:tcBorders>
              <w:top w:val="single" w:sz="4" w:space="0" w:color="000000"/>
              <w:left w:val="single" w:sz="4" w:space="0" w:color="000000"/>
              <w:bottom w:val="single" w:sz="4" w:space="0" w:color="000000"/>
              <w:right w:val="single" w:sz="4" w:space="0" w:color="000000"/>
            </w:tcBorders>
            <w:hideMark/>
          </w:tcPr>
          <w:p w14:paraId="3DC34EF0"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12: </w:t>
            </w:r>
          </w:p>
          <w:p w14:paraId="08B8309F" w14:textId="77777777" w:rsidR="007E0E95" w:rsidRDefault="007E0E95">
            <w:pPr>
              <w:rPr>
                <w:rFonts w:asciiTheme="minorHAnsi" w:hAnsiTheme="minorHAnsi" w:cstheme="minorHAnsi"/>
              </w:rPr>
            </w:pPr>
            <w:r>
              <w:rPr>
                <w:rFonts w:asciiTheme="minorHAnsi" w:hAnsiTheme="minorHAnsi" w:cstheme="minorHAnsi"/>
                <w:sz w:val="18"/>
                <w:szCs w:val="18"/>
              </w:rPr>
              <w:t>Number of LME's report enhanced collaboration with Regional Seas, Regional Fisheries or River Basin Management bodies</w:t>
            </w:r>
          </w:p>
        </w:tc>
        <w:tc>
          <w:tcPr>
            <w:tcW w:w="2160" w:type="dxa"/>
            <w:tcBorders>
              <w:top w:val="single" w:sz="4" w:space="0" w:color="000000"/>
              <w:left w:val="single" w:sz="4" w:space="0" w:color="000000"/>
              <w:bottom w:val="single" w:sz="4" w:space="0" w:color="000000"/>
              <w:right w:val="single" w:sz="4" w:space="0" w:color="000000"/>
            </w:tcBorders>
            <w:hideMark/>
          </w:tcPr>
          <w:p w14:paraId="1D2DF8AA"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Lack of satisfactory collaboration between Regional Seas, Regional Fisheries or River Basin Management bodies at the basin levels</w:t>
            </w:r>
          </w:p>
        </w:tc>
        <w:tc>
          <w:tcPr>
            <w:tcW w:w="2520" w:type="dxa"/>
            <w:tcBorders>
              <w:top w:val="single" w:sz="4" w:space="0" w:color="000000"/>
              <w:left w:val="single" w:sz="4" w:space="0" w:color="000000"/>
              <w:bottom w:val="single" w:sz="4" w:space="0" w:color="000000"/>
              <w:right w:val="single" w:sz="4" w:space="0" w:color="000000"/>
            </w:tcBorders>
            <w:hideMark/>
          </w:tcPr>
          <w:p w14:paraId="07A94E61"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2 LMEs report enhanced collaboration with Regional Seas, Regional Fisheries or River Basin Management bodies incorporating also the Source-to-Sea approach</w:t>
            </w:r>
          </w:p>
        </w:tc>
        <w:tc>
          <w:tcPr>
            <w:tcW w:w="2230" w:type="dxa"/>
            <w:tcBorders>
              <w:top w:val="single" w:sz="4" w:space="0" w:color="000000"/>
              <w:left w:val="single" w:sz="4" w:space="0" w:color="000000"/>
              <w:bottom w:val="single" w:sz="4" w:space="0" w:color="000000"/>
              <w:right w:val="single" w:sz="4" w:space="0" w:color="000000"/>
            </w:tcBorders>
            <w:hideMark/>
          </w:tcPr>
          <w:p w14:paraId="053090B2" w14:textId="77777777" w:rsidR="007E0E95" w:rsidRDefault="007E0E95">
            <w:pPr>
              <w:rPr>
                <w:rFonts w:asciiTheme="minorHAnsi" w:hAnsiTheme="minorHAnsi" w:cstheme="minorHAnsi"/>
              </w:rPr>
            </w:pPr>
            <w:r>
              <w:rPr>
                <w:rFonts w:asciiTheme="minorHAnsi" w:hAnsiTheme="minorHAnsi" w:cstheme="minorHAnsi"/>
                <w:sz w:val="18"/>
                <w:szCs w:val="18"/>
              </w:rPr>
              <w:t>5 LMEs report enhanced collaboration with Regional Seas, Regional Fisheries or River Basin Management bodies incorporating also the Source-to-Sea approach</w:t>
            </w:r>
          </w:p>
        </w:tc>
      </w:tr>
      <w:tr w:rsidR="007E0E95" w:rsidRPr="007E0E95" w14:paraId="74F5A584" w14:textId="77777777" w:rsidTr="007E0E95">
        <w:trPr>
          <w:trHeight w:val="1813"/>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hideMark/>
          </w:tcPr>
          <w:p w14:paraId="2D64AE83"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Outputs to achieve Outcome 6</w:t>
            </w:r>
          </w:p>
        </w:tc>
        <w:tc>
          <w:tcPr>
            <w:tcW w:w="11140" w:type="dxa"/>
            <w:gridSpan w:val="4"/>
            <w:tcBorders>
              <w:top w:val="single" w:sz="4" w:space="0" w:color="000000"/>
              <w:left w:val="single" w:sz="4" w:space="0" w:color="000000"/>
              <w:bottom w:val="single" w:sz="4" w:space="0" w:color="000000"/>
              <w:right w:val="single" w:sz="4" w:space="0" w:color="000000"/>
            </w:tcBorders>
            <w:hideMark/>
          </w:tcPr>
          <w:p w14:paraId="0A879BB4" w14:textId="77777777" w:rsidR="007E0E95" w:rsidRDefault="007E0E95" w:rsidP="007E0E95">
            <w:pPr>
              <w:numPr>
                <w:ilvl w:val="0"/>
                <w:numId w:val="79"/>
              </w:numPr>
              <w:ind w:left="400"/>
              <w:rPr>
                <w:rFonts w:asciiTheme="minorHAnsi" w:hAnsiTheme="minorHAnsi" w:cstheme="minorHAnsi"/>
                <w:color w:val="000000"/>
                <w:sz w:val="18"/>
                <w:szCs w:val="18"/>
              </w:rPr>
            </w:pPr>
            <w:r>
              <w:rPr>
                <w:rFonts w:asciiTheme="minorHAnsi" w:hAnsiTheme="minorHAnsi" w:cstheme="minorHAnsi"/>
                <w:color w:val="000000"/>
                <w:sz w:val="18"/>
                <w:szCs w:val="18"/>
              </w:rPr>
              <w:t xml:space="preserve">Toolbox platform identifying water-energy-food-ecosystem models and tools, case studies </w:t>
            </w:r>
          </w:p>
          <w:p w14:paraId="0F6D0024" w14:textId="77777777" w:rsidR="007E0E95" w:rsidRDefault="007E0E95" w:rsidP="007E0E95">
            <w:pPr>
              <w:numPr>
                <w:ilvl w:val="0"/>
                <w:numId w:val="79"/>
              </w:numPr>
              <w:ind w:left="400"/>
              <w:rPr>
                <w:rFonts w:asciiTheme="minorHAnsi" w:hAnsiTheme="minorHAnsi" w:cstheme="minorHAnsi"/>
                <w:color w:val="000000"/>
                <w:sz w:val="18"/>
                <w:szCs w:val="18"/>
              </w:rPr>
            </w:pPr>
            <w:r>
              <w:rPr>
                <w:rFonts w:asciiTheme="minorHAnsi" w:hAnsiTheme="minorHAnsi" w:cstheme="minorHAnsi"/>
                <w:color w:val="000000"/>
                <w:sz w:val="18"/>
                <w:szCs w:val="18"/>
              </w:rPr>
              <w:t>Three global and/or regional events to promote conjunctive management of surface water and groundwater GEF projects</w:t>
            </w:r>
          </w:p>
          <w:p w14:paraId="63AB1DF2" w14:textId="77777777" w:rsidR="007E0E95" w:rsidRDefault="007E0E95" w:rsidP="007E0E95">
            <w:pPr>
              <w:numPr>
                <w:ilvl w:val="0"/>
                <w:numId w:val="79"/>
              </w:numPr>
              <w:ind w:left="400"/>
              <w:rPr>
                <w:rFonts w:asciiTheme="minorHAnsi" w:hAnsiTheme="minorHAnsi" w:cstheme="minorHAnsi"/>
                <w:color w:val="000000"/>
                <w:sz w:val="18"/>
                <w:szCs w:val="18"/>
              </w:rPr>
            </w:pPr>
            <w:r>
              <w:rPr>
                <w:rFonts w:asciiTheme="minorHAnsi" w:hAnsiTheme="minorHAnsi" w:cstheme="minorHAnsi"/>
                <w:color w:val="000000"/>
                <w:sz w:val="18"/>
                <w:szCs w:val="18"/>
              </w:rPr>
              <w:t>Support to the 2022 World Water Day and World Water Development Report, and the “Groundwater Summit, the Call to Action on Global Groundwater Sustainability”</w:t>
            </w:r>
          </w:p>
          <w:p w14:paraId="36A8C7F2" w14:textId="77777777" w:rsidR="007E0E95" w:rsidRDefault="007E0E95" w:rsidP="007E0E95">
            <w:pPr>
              <w:numPr>
                <w:ilvl w:val="0"/>
                <w:numId w:val="79"/>
              </w:numPr>
              <w:ind w:left="400"/>
              <w:rPr>
                <w:rFonts w:asciiTheme="minorHAnsi" w:hAnsiTheme="minorHAnsi" w:cstheme="minorHAnsi"/>
                <w:color w:val="000000"/>
                <w:sz w:val="18"/>
                <w:szCs w:val="18"/>
              </w:rPr>
            </w:pPr>
            <w:r>
              <w:rPr>
                <w:rFonts w:asciiTheme="minorHAnsi" w:hAnsiTheme="minorHAnsi" w:cstheme="minorHAnsi"/>
                <w:color w:val="000000"/>
                <w:sz w:val="18"/>
                <w:szCs w:val="18"/>
              </w:rPr>
              <w:t>Two Nexus Roundtables in all GEF regions</w:t>
            </w:r>
          </w:p>
          <w:p w14:paraId="040B727F" w14:textId="77777777" w:rsidR="007E0E95" w:rsidRDefault="007E0E95" w:rsidP="007E0E95">
            <w:pPr>
              <w:numPr>
                <w:ilvl w:val="0"/>
                <w:numId w:val="79"/>
              </w:numPr>
              <w:ind w:left="400"/>
              <w:rPr>
                <w:rFonts w:asciiTheme="minorHAnsi" w:hAnsiTheme="minorHAnsi" w:cstheme="minorHAnsi"/>
                <w:color w:val="000000"/>
                <w:sz w:val="18"/>
                <w:szCs w:val="18"/>
              </w:rPr>
            </w:pPr>
            <w:r>
              <w:rPr>
                <w:rFonts w:asciiTheme="minorHAnsi" w:hAnsiTheme="minorHAnsi" w:cstheme="minorHAnsi"/>
                <w:color w:val="000000"/>
                <w:sz w:val="18"/>
                <w:szCs w:val="18"/>
              </w:rPr>
              <w:t>Practical approach to integrate Marine Spatial Planning into TDA-SAP process and respective training materials and tools</w:t>
            </w:r>
          </w:p>
          <w:p w14:paraId="463434F9" w14:textId="77777777" w:rsidR="007E0E95" w:rsidRDefault="007E0E95" w:rsidP="007E0E95">
            <w:pPr>
              <w:numPr>
                <w:ilvl w:val="0"/>
                <w:numId w:val="79"/>
              </w:numPr>
              <w:ind w:left="400"/>
              <w:rPr>
                <w:rFonts w:asciiTheme="minorHAnsi" w:hAnsiTheme="minorHAnsi" w:cstheme="minorHAnsi"/>
                <w:color w:val="000000"/>
                <w:sz w:val="18"/>
                <w:szCs w:val="18"/>
              </w:rPr>
            </w:pPr>
            <w:r>
              <w:rPr>
                <w:rFonts w:asciiTheme="minorHAnsi" w:hAnsiTheme="minorHAnsi" w:cstheme="minorHAnsi"/>
                <w:color w:val="000000"/>
                <w:sz w:val="18"/>
                <w:szCs w:val="18"/>
              </w:rPr>
              <w:t>At least 3 regional trainings on basic concepts and specific technical issues of MSP</w:t>
            </w:r>
          </w:p>
          <w:p w14:paraId="5BE10F32" w14:textId="77777777" w:rsidR="007E0E95" w:rsidRDefault="007E0E95" w:rsidP="007E0E95">
            <w:pPr>
              <w:numPr>
                <w:ilvl w:val="0"/>
                <w:numId w:val="79"/>
              </w:numPr>
              <w:ind w:left="400"/>
              <w:rPr>
                <w:rFonts w:asciiTheme="minorHAnsi" w:hAnsiTheme="minorHAnsi" w:cstheme="minorHAnsi"/>
                <w:i/>
                <w:color w:val="000000"/>
                <w:sz w:val="18"/>
                <w:szCs w:val="18"/>
              </w:rPr>
            </w:pPr>
            <w:r>
              <w:rPr>
                <w:rFonts w:asciiTheme="minorHAnsi" w:hAnsiTheme="minorHAnsi" w:cstheme="minorHAnsi"/>
                <w:color w:val="000000"/>
                <w:sz w:val="18"/>
                <w:szCs w:val="18"/>
              </w:rPr>
              <w:t>At least 3 regional trainings on MSP for Blue Economy in the context of the TDA-SAP process</w:t>
            </w:r>
          </w:p>
          <w:p w14:paraId="6410C9BA" w14:textId="77777777" w:rsidR="007E0E95" w:rsidRDefault="007E0E95" w:rsidP="007E0E95">
            <w:pPr>
              <w:numPr>
                <w:ilvl w:val="0"/>
                <w:numId w:val="79"/>
              </w:numPr>
              <w:ind w:left="400"/>
              <w:rPr>
                <w:rFonts w:asciiTheme="minorHAnsi" w:hAnsiTheme="minorHAnsi" w:cstheme="minorHAnsi"/>
                <w:i/>
                <w:color w:val="000000"/>
                <w:sz w:val="18"/>
                <w:szCs w:val="18"/>
              </w:rPr>
            </w:pPr>
            <w:r>
              <w:rPr>
                <w:rFonts w:asciiTheme="minorHAnsi" w:hAnsiTheme="minorHAnsi" w:cstheme="minorHAnsi"/>
                <w:color w:val="000000"/>
                <w:sz w:val="18"/>
                <w:szCs w:val="18"/>
              </w:rPr>
              <w:t>At least 4 Large Marine Ecosystem and Coastal Partner Consultations</w:t>
            </w:r>
          </w:p>
          <w:p w14:paraId="7317D93B" w14:textId="77777777" w:rsidR="007E0E95" w:rsidRDefault="007E0E95" w:rsidP="007E0E95">
            <w:pPr>
              <w:numPr>
                <w:ilvl w:val="0"/>
                <w:numId w:val="79"/>
              </w:numPr>
              <w:ind w:left="400"/>
              <w:rPr>
                <w:rFonts w:asciiTheme="minorHAnsi" w:hAnsiTheme="minorHAnsi" w:cstheme="minorHAnsi"/>
                <w:i/>
                <w:color w:val="000000"/>
                <w:sz w:val="18"/>
                <w:szCs w:val="18"/>
              </w:rPr>
            </w:pPr>
            <w:r>
              <w:rPr>
                <w:rFonts w:asciiTheme="minorHAnsi" w:hAnsiTheme="minorHAnsi" w:cstheme="minorHAnsi"/>
                <w:color w:val="000000"/>
                <w:sz w:val="18"/>
                <w:szCs w:val="18"/>
              </w:rPr>
              <w:t>At least 3 regional ocean governance dialogues</w:t>
            </w:r>
          </w:p>
        </w:tc>
      </w:tr>
      <w:tr w:rsidR="007E0E95" w:rsidRPr="007E0E95" w14:paraId="42E30F64" w14:textId="77777777" w:rsidTr="007E0E95">
        <w:trPr>
          <w:trHeight w:val="489"/>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hideMark/>
          </w:tcPr>
          <w:p w14:paraId="0EDBA72D"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t>Project component 5</w:t>
            </w:r>
          </w:p>
        </w:tc>
        <w:tc>
          <w:tcPr>
            <w:tcW w:w="11140"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1BA92452" w14:textId="77777777" w:rsidR="007E0E95" w:rsidRDefault="007E0E95">
            <w:pPr>
              <w:rPr>
                <w:rFonts w:asciiTheme="minorHAnsi" w:hAnsiTheme="minorHAnsi" w:cstheme="minorHAnsi"/>
                <w:i/>
                <w:sz w:val="18"/>
                <w:szCs w:val="18"/>
              </w:rPr>
            </w:pPr>
            <w:r>
              <w:rPr>
                <w:rFonts w:asciiTheme="minorHAnsi" w:hAnsiTheme="minorHAnsi" w:cstheme="minorHAnsi"/>
                <w:color w:val="000000"/>
                <w:sz w:val="18"/>
                <w:szCs w:val="18"/>
              </w:rPr>
              <w:t>Mobilize Public and Private Partnership to Enhance Long-term Sustainability of Project Interventions</w:t>
            </w:r>
          </w:p>
        </w:tc>
      </w:tr>
      <w:tr w:rsidR="007E0E95" w:rsidRPr="007E0E95" w14:paraId="345FD7CB" w14:textId="77777777" w:rsidTr="007E0E95">
        <w:trPr>
          <w:trHeight w:val="1339"/>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tcPr>
          <w:p w14:paraId="1BD2529C" w14:textId="77777777" w:rsidR="007E0E95" w:rsidRDefault="007E0E95">
            <w:pPr>
              <w:rPr>
                <w:rFonts w:asciiTheme="minorHAnsi" w:hAnsiTheme="minorHAnsi" w:cstheme="minorHAnsi"/>
                <w:color w:val="000000"/>
                <w:sz w:val="18"/>
                <w:szCs w:val="18"/>
              </w:rPr>
            </w:pPr>
            <w:r>
              <w:rPr>
                <w:rFonts w:asciiTheme="minorHAnsi" w:hAnsiTheme="minorHAnsi" w:cstheme="minorHAnsi"/>
                <w:b/>
                <w:sz w:val="18"/>
                <w:szCs w:val="18"/>
              </w:rPr>
              <w:t>Outcome 7</w:t>
            </w:r>
            <w:r>
              <w:rPr>
                <w:rFonts w:asciiTheme="minorHAnsi" w:hAnsiTheme="minorHAnsi" w:cstheme="minorHAnsi"/>
                <w:color w:val="000000"/>
                <w:sz w:val="18"/>
                <w:szCs w:val="18"/>
              </w:rPr>
              <w:t xml:space="preserve"> </w:t>
            </w:r>
            <w:r>
              <w:rPr>
                <w:rFonts w:asciiTheme="minorHAnsi" w:hAnsiTheme="minorHAnsi" w:cstheme="minorHAnsi"/>
                <w:b/>
                <w:color w:val="000000"/>
                <w:sz w:val="18"/>
                <w:szCs w:val="18"/>
              </w:rPr>
              <w:t>(UNDP implemented)</w:t>
            </w:r>
          </w:p>
          <w:p w14:paraId="6EB7F7FF" w14:textId="77777777" w:rsidR="007E0E95" w:rsidRDefault="007E0E95">
            <w:pPr>
              <w:rPr>
                <w:rFonts w:asciiTheme="minorHAnsi" w:hAnsiTheme="minorHAnsi" w:cstheme="minorHAnsi"/>
                <w:b/>
                <w:sz w:val="18"/>
                <w:szCs w:val="18"/>
              </w:rPr>
            </w:pPr>
            <w:r>
              <w:rPr>
                <w:rFonts w:asciiTheme="minorHAnsi" w:hAnsiTheme="minorHAnsi" w:cstheme="minorHAnsi"/>
                <w:color w:val="000000"/>
                <w:sz w:val="18"/>
                <w:szCs w:val="18"/>
              </w:rPr>
              <w:t>Enhanced number of partnerships and resources mobilized for the portfolio</w:t>
            </w:r>
          </w:p>
          <w:p w14:paraId="22B1DCDC" w14:textId="77777777" w:rsidR="007E0E95" w:rsidRDefault="007E0E95">
            <w:pPr>
              <w:rPr>
                <w:rFonts w:asciiTheme="minorHAnsi" w:hAnsiTheme="minorHAnsi" w:cstheme="minorHAnsi"/>
                <w:b/>
                <w:sz w:val="18"/>
                <w:szCs w:val="18"/>
              </w:rPr>
            </w:pPr>
          </w:p>
        </w:tc>
        <w:tc>
          <w:tcPr>
            <w:tcW w:w="4230" w:type="dxa"/>
            <w:tcBorders>
              <w:top w:val="single" w:sz="4" w:space="0" w:color="000000"/>
              <w:left w:val="single" w:sz="4" w:space="0" w:color="000000"/>
              <w:bottom w:val="single" w:sz="4" w:space="0" w:color="000000"/>
              <w:right w:val="single" w:sz="4" w:space="0" w:color="000000"/>
            </w:tcBorders>
            <w:hideMark/>
          </w:tcPr>
          <w:p w14:paraId="1C72BB11" w14:textId="77777777" w:rsidR="007E0E95" w:rsidRDefault="007E0E95">
            <w:pPr>
              <w:rPr>
                <w:rFonts w:asciiTheme="minorHAnsi" w:hAnsiTheme="minorHAnsi" w:cstheme="minorHAnsi"/>
                <w:i/>
                <w:sz w:val="18"/>
                <w:szCs w:val="18"/>
              </w:rPr>
            </w:pPr>
            <w:r>
              <w:rPr>
                <w:rFonts w:asciiTheme="minorHAnsi" w:hAnsiTheme="minorHAnsi" w:cstheme="minorHAnsi"/>
                <w:i/>
                <w:sz w:val="18"/>
                <w:szCs w:val="18"/>
              </w:rPr>
              <w:t xml:space="preserve">Indicator 13: </w:t>
            </w:r>
          </w:p>
          <w:p w14:paraId="787F382A" w14:textId="77777777" w:rsidR="007E0E95" w:rsidRDefault="007E0E95">
            <w:pPr>
              <w:rPr>
                <w:rFonts w:asciiTheme="minorHAnsi" w:hAnsiTheme="minorHAnsi" w:cstheme="minorHAnsi"/>
                <w:sz w:val="18"/>
                <w:szCs w:val="18"/>
              </w:rPr>
            </w:pPr>
            <w:r>
              <w:rPr>
                <w:rFonts w:asciiTheme="minorHAnsi" w:hAnsiTheme="minorHAnsi" w:cstheme="minorHAnsi"/>
                <w:sz w:val="18"/>
                <w:szCs w:val="18"/>
              </w:rPr>
              <w:t>Number of projects supported in developing a private sector partnership in transboundary water management</w:t>
            </w:r>
          </w:p>
        </w:tc>
        <w:tc>
          <w:tcPr>
            <w:tcW w:w="2160" w:type="dxa"/>
            <w:tcBorders>
              <w:top w:val="single" w:sz="4" w:space="0" w:color="000000"/>
              <w:left w:val="single" w:sz="4" w:space="0" w:color="000000"/>
              <w:bottom w:val="single" w:sz="4" w:space="0" w:color="000000"/>
              <w:right w:val="single" w:sz="4" w:space="0" w:color="000000"/>
            </w:tcBorders>
            <w:hideMark/>
          </w:tcPr>
          <w:p w14:paraId="439A9DEA" w14:textId="77777777" w:rsidR="007E0E95" w:rsidRDefault="007E0E95">
            <w:pPr>
              <w:rPr>
                <w:rFonts w:asciiTheme="minorHAnsi" w:hAnsiTheme="minorHAnsi" w:cstheme="minorHAnsi"/>
                <w:i/>
                <w:sz w:val="18"/>
                <w:szCs w:val="18"/>
              </w:rPr>
            </w:pPr>
            <w:r>
              <w:rPr>
                <w:rFonts w:asciiTheme="minorHAnsi" w:hAnsiTheme="minorHAnsi" w:cstheme="minorHAnsi"/>
                <w:color w:val="000000"/>
                <w:sz w:val="18"/>
                <w:szCs w:val="18"/>
              </w:rPr>
              <w:t>Lack of partnership approach tailored specifically to the GEF IW context results in minimal amount of investments to implement the activities</w:t>
            </w:r>
          </w:p>
        </w:tc>
        <w:tc>
          <w:tcPr>
            <w:tcW w:w="2520" w:type="dxa"/>
            <w:tcBorders>
              <w:top w:val="single" w:sz="4" w:space="0" w:color="000000"/>
              <w:left w:val="single" w:sz="4" w:space="0" w:color="000000"/>
              <w:bottom w:val="single" w:sz="4" w:space="0" w:color="000000"/>
              <w:right w:val="single" w:sz="4" w:space="0" w:color="000000"/>
            </w:tcBorders>
            <w:hideMark/>
          </w:tcPr>
          <w:p w14:paraId="1DA90130" w14:textId="77777777" w:rsidR="007E0E95" w:rsidRDefault="007E0E95">
            <w:pPr>
              <w:rPr>
                <w:rFonts w:asciiTheme="minorHAnsi" w:hAnsiTheme="minorHAnsi" w:cstheme="minorHAnsi"/>
                <w:i/>
                <w:sz w:val="18"/>
                <w:szCs w:val="18"/>
              </w:rPr>
            </w:pPr>
            <w:r>
              <w:rPr>
                <w:rFonts w:asciiTheme="minorHAnsi" w:hAnsiTheme="minorHAnsi" w:cstheme="minorHAnsi"/>
                <w:sz w:val="18"/>
                <w:szCs w:val="18"/>
              </w:rPr>
              <w:t>2 projects identify GEF IW:LEARN support as resulting in a private sector partnership</w:t>
            </w:r>
          </w:p>
        </w:tc>
        <w:tc>
          <w:tcPr>
            <w:tcW w:w="2230" w:type="dxa"/>
            <w:tcBorders>
              <w:top w:val="single" w:sz="4" w:space="0" w:color="000000"/>
              <w:left w:val="single" w:sz="4" w:space="0" w:color="000000"/>
              <w:bottom w:val="single" w:sz="4" w:space="0" w:color="000000"/>
              <w:right w:val="single" w:sz="4" w:space="0" w:color="000000"/>
            </w:tcBorders>
            <w:hideMark/>
          </w:tcPr>
          <w:p w14:paraId="779F467B" w14:textId="77777777" w:rsidR="007E0E95" w:rsidRDefault="007E0E95">
            <w:pPr>
              <w:rPr>
                <w:rFonts w:asciiTheme="minorHAnsi" w:hAnsiTheme="minorHAnsi" w:cstheme="minorHAnsi"/>
              </w:rPr>
            </w:pPr>
            <w:r>
              <w:rPr>
                <w:rFonts w:asciiTheme="minorHAnsi" w:hAnsiTheme="minorHAnsi" w:cstheme="minorHAnsi"/>
                <w:sz w:val="18"/>
                <w:szCs w:val="18"/>
              </w:rPr>
              <w:t>5 projects identify GEF IW:LEARN support as resulting in a private sector partnership</w:t>
            </w:r>
          </w:p>
        </w:tc>
      </w:tr>
      <w:tr w:rsidR="007E0E95" w:rsidRPr="007E0E95" w14:paraId="15D446B3" w14:textId="77777777" w:rsidTr="007E0E95">
        <w:trPr>
          <w:trHeight w:val="350"/>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DFDFDF"/>
            <w:hideMark/>
          </w:tcPr>
          <w:p w14:paraId="5BE64B01" w14:textId="77777777" w:rsidR="007E0E95" w:rsidRDefault="007E0E95">
            <w:pPr>
              <w:rPr>
                <w:rFonts w:asciiTheme="minorHAnsi" w:hAnsiTheme="minorHAnsi" w:cstheme="minorHAnsi"/>
                <w:b/>
                <w:sz w:val="18"/>
                <w:szCs w:val="18"/>
              </w:rPr>
            </w:pPr>
            <w:r>
              <w:rPr>
                <w:rFonts w:asciiTheme="minorHAnsi" w:hAnsiTheme="minorHAnsi" w:cstheme="minorHAnsi"/>
                <w:b/>
                <w:sz w:val="18"/>
                <w:szCs w:val="18"/>
              </w:rPr>
              <w:lastRenderedPageBreak/>
              <w:t>Outputs to achieve Outcome 7</w:t>
            </w:r>
          </w:p>
        </w:tc>
        <w:tc>
          <w:tcPr>
            <w:tcW w:w="11140" w:type="dxa"/>
            <w:gridSpan w:val="4"/>
            <w:tcBorders>
              <w:top w:val="single" w:sz="4" w:space="0" w:color="000000"/>
              <w:left w:val="single" w:sz="4" w:space="0" w:color="000000"/>
              <w:bottom w:val="single" w:sz="4" w:space="0" w:color="000000"/>
              <w:right w:val="single" w:sz="4" w:space="0" w:color="000000"/>
            </w:tcBorders>
            <w:hideMark/>
          </w:tcPr>
          <w:p w14:paraId="2CD85169" w14:textId="77777777" w:rsidR="007E0E95" w:rsidRDefault="007E0E95" w:rsidP="007E0E95">
            <w:pPr>
              <w:numPr>
                <w:ilvl w:val="0"/>
                <w:numId w:val="80"/>
              </w:numPr>
              <w:rPr>
                <w:rFonts w:asciiTheme="minorHAnsi" w:hAnsiTheme="minorHAnsi" w:cstheme="minorHAnsi"/>
                <w:color w:val="000000"/>
                <w:sz w:val="18"/>
                <w:szCs w:val="18"/>
              </w:rPr>
            </w:pPr>
            <w:r>
              <w:rPr>
                <w:rFonts w:asciiTheme="minorHAnsi" w:hAnsiTheme="minorHAnsi" w:cstheme="minorHAnsi"/>
                <w:color w:val="000000"/>
                <w:sz w:val="18"/>
                <w:szCs w:val="18"/>
              </w:rPr>
              <w:t>Global IW Partnerships Advisory Panel, including two Panel meetings</w:t>
            </w:r>
          </w:p>
          <w:p w14:paraId="01B80024" w14:textId="77777777" w:rsidR="007E0E95" w:rsidRDefault="007E0E95" w:rsidP="007E0E95">
            <w:pPr>
              <w:numPr>
                <w:ilvl w:val="0"/>
                <w:numId w:val="80"/>
              </w:numPr>
              <w:rPr>
                <w:rFonts w:asciiTheme="minorHAnsi" w:hAnsiTheme="minorHAnsi" w:cstheme="minorHAnsi"/>
                <w:color w:val="000000"/>
                <w:sz w:val="18"/>
                <w:szCs w:val="18"/>
              </w:rPr>
            </w:pPr>
            <w:r>
              <w:rPr>
                <w:rFonts w:asciiTheme="minorHAnsi" w:hAnsiTheme="minorHAnsi" w:cstheme="minorHAnsi"/>
                <w:color w:val="000000"/>
                <w:sz w:val="18"/>
                <w:szCs w:val="18"/>
              </w:rPr>
              <w:t>Making the business case for the relevant portfolio of projects</w:t>
            </w:r>
          </w:p>
          <w:p w14:paraId="0AEA1423" w14:textId="77777777" w:rsidR="007E0E95" w:rsidRDefault="007E0E95" w:rsidP="007E0E95">
            <w:pPr>
              <w:numPr>
                <w:ilvl w:val="0"/>
                <w:numId w:val="80"/>
              </w:numPr>
              <w:rPr>
                <w:rFonts w:asciiTheme="minorHAnsi" w:hAnsiTheme="minorHAnsi" w:cstheme="minorHAnsi"/>
                <w:color w:val="000000"/>
                <w:sz w:val="18"/>
                <w:szCs w:val="18"/>
              </w:rPr>
            </w:pPr>
            <w:r>
              <w:rPr>
                <w:rFonts w:asciiTheme="minorHAnsi" w:hAnsiTheme="minorHAnsi" w:cstheme="minorHAnsi"/>
                <w:color w:val="000000"/>
                <w:sz w:val="18"/>
                <w:szCs w:val="18"/>
              </w:rPr>
              <w:t xml:space="preserve">Strategy and Action Plan for International Waters on how to engage and partner with the private and public sector </w:t>
            </w:r>
          </w:p>
          <w:p w14:paraId="511338E4" w14:textId="77777777" w:rsidR="007E0E95" w:rsidRDefault="007E0E95" w:rsidP="007E0E95">
            <w:pPr>
              <w:numPr>
                <w:ilvl w:val="0"/>
                <w:numId w:val="80"/>
              </w:numPr>
              <w:rPr>
                <w:rFonts w:asciiTheme="minorHAnsi" w:hAnsiTheme="minorHAnsi" w:cstheme="minorHAnsi"/>
                <w:color w:val="000000"/>
                <w:sz w:val="18"/>
                <w:szCs w:val="18"/>
              </w:rPr>
            </w:pPr>
            <w:r>
              <w:rPr>
                <w:rFonts w:asciiTheme="minorHAnsi" w:hAnsiTheme="minorHAnsi" w:cstheme="minorHAnsi"/>
                <w:color w:val="000000"/>
                <w:sz w:val="18"/>
                <w:szCs w:val="18"/>
              </w:rPr>
              <w:t>3</w:t>
            </w:r>
            <w:r>
              <w:rPr>
                <w:rFonts w:asciiTheme="minorHAnsi" w:hAnsiTheme="minorHAnsi" w:cstheme="minorHAnsi"/>
                <w:color w:val="000000"/>
                <w:szCs w:val="22"/>
              </w:rPr>
              <w:t xml:space="preserve"> </w:t>
            </w:r>
            <w:r>
              <w:rPr>
                <w:rFonts w:asciiTheme="minorHAnsi" w:hAnsiTheme="minorHAnsi" w:cstheme="minorHAnsi"/>
                <w:color w:val="000000"/>
                <w:sz w:val="18"/>
                <w:szCs w:val="18"/>
              </w:rPr>
              <w:t xml:space="preserve">regional-level dialogue sessions aimed at private sector engagement, with at least 3 regional Investment Forums to facilitate regional-level networking and partnerships creation between projects and the business community  </w:t>
            </w:r>
          </w:p>
          <w:p w14:paraId="697A59CF" w14:textId="77777777" w:rsidR="007E0E95" w:rsidRDefault="007E0E95" w:rsidP="007E0E95">
            <w:pPr>
              <w:numPr>
                <w:ilvl w:val="0"/>
                <w:numId w:val="80"/>
              </w:numPr>
              <w:rPr>
                <w:rFonts w:asciiTheme="minorHAnsi" w:hAnsiTheme="minorHAnsi" w:cstheme="minorHAnsi"/>
                <w:color w:val="000000"/>
                <w:sz w:val="18"/>
                <w:szCs w:val="18"/>
              </w:rPr>
            </w:pPr>
            <w:r>
              <w:rPr>
                <w:rFonts w:asciiTheme="minorHAnsi" w:hAnsiTheme="minorHAnsi" w:cstheme="minorHAnsi"/>
                <w:color w:val="000000"/>
                <w:sz w:val="18"/>
                <w:szCs w:val="18"/>
              </w:rPr>
              <w:t xml:space="preserve">3 training sessions to portfolio on attracting sustainable financing to address SAP investment priorities </w:t>
            </w:r>
          </w:p>
        </w:tc>
      </w:tr>
    </w:tbl>
    <w:p w14:paraId="0BA8F51B" w14:textId="77777777" w:rsidR="007E0E95" w:rsidRDefault="007E0E95" w:rsidP="007E0E95">
      <w:pPr>
        <w:rPr>
          <w:rFonts w:asciiTheme="minorHAnsi" w:hAnsiTheme="minorHAnsi" w:cstheme="minorHAnsi"/>
          <w:i/>
          <w:szCs w:val="20"/>
        </w:rPr>
      </w:pPr>
    </w:p>
    <w:p w14:paraId="6BCFC980" w14:textId="77777777" w:rsidR="007E0E95" w:rsidRDefault="007E0E95" w:rsidP="007E0E95">
      <w:pPr>
        <w:rPr>
          <w:rFonts w:asciiTheme="minorHAnsi" w:hAnsiTheme="minorHAnsi" w:cstheme="minorHAnsi"/>
          <w:i/>
          <w:szCs w:val="20"/>
        </w:rPr>
      </w:pPr>
    </w:p>
    <w:p w14:paraId="47BBA536" w14:textId="358195DE" w:rsidR="007E0E95" w:rsidRDefault="007E0E95" w:rsidP="00FA5AC7">
      <w:pPr>
        <w:rPr>
          <w:lang w:eastAsia="en-US"/>
        </w:rPr>
        <w:sectPr w:rsidR="007E0E95" w:rsidSect="00FA5AC7">
          <w:pgSz w:w="16838" w:h="11906" w:orient="landscape" w:code="9"/>
          <w:pgMar w:top="1440" w:right="1440" w:bottom="1440" w:left="1440" w:header="706" w:footer="706" w:gutter="0"/>
          <w:cols w:space="708"/>
          <w:docGrid w:linePitch="360"/>
        </w:sectPr>
      </w:pPr>
    </w:p>
    <w:p w14:paraId="01C9A83C" w14:textId="77777777" w:rsidR="00FA5AC7" w:rsidRPr="00FA5AC7" w:rsidRDefault="00FA5AC7" w:rsidP="00FA5AC7">
      <w:pPr>
        <w:rPr>
          <w:lang w:eastAsia="en-US"/>
        </w:rPr>
      </w:pPr>
    </w:p>
    <w:p w14:paraId="612342E0" w14:textId="463DBC07" w:rsidR="007E0E95" w:rsidRDefault="007E0E95" w:rsidP="007E0E95">
      <w:pPr>
        <w:pStyle w:val="Heading1"/>
        <w:spacing w:before="0" w:after="60"/>
        <w:jc w:val="left"/>
        <w:rPr>
          <w:rFonts w:ascii="Calibri" w:eastAsia="SimSun" w:hAnsi="Calibri"/>
          <w:szCs w:val="28"/>
        </w:rPr>
      </w:pPr>
      <w:bookmarkStart w:id="41" w:name="_Toc46749081"/>
      <w:bookmarkStart w:id="42" w:name="_Toc115094386"/>
      <w:r>
        <w:rPr>
          <w:rFonts w:ascii="Calibri" w:eastAsia="SimSun" w:hAnsi="Calibri"/>
          <w:szCs w:val="28"/>
        </w:rPr>
        <w:t>Monitoring and Evaluation (M&amp;E) Plan</w:t>
      </w:r>
      <w:bookmarkEnd w:id="41"/>
      <w:bookmarkEnd w:id="42"/>
    </w:p>
    <w:p w14:paraId="3C5ED1C4" w14:textId="77777777" w:rsidR="00F373B7" w:rsidRDefault="00F373B7" w:rsidP="007E0E95">
      <w:pPr>
        <w:jc w:val="both"/>
        <w:rPr>
          <w:rFonts w:asciiTheme="minorHAnsi" w:hAnsiTheme="minorHAnsi" w:cstheme="minorHAnsi"/>
          <w:sz w:val="22"/>
          <w:szCs w:val="22"/>
        </w:rPr>
      </w:pPr>
    </w:p>
    <w:p w14:paraId="375F40AA" w14:textId="4737A26C"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Annex 3 details the roles, responsibilities, and frequency of monitoring project results. </w:t>
      </w:r>
    </w:p>
    <w:p w14:paraId="5C408270" w14:textId="77777777" w:rsidR="007E0E95" w:rsidRDefault="007E0E95" w:rsidP="007E0E95">
      <w:pPr>
        <w:jc w:val="both"/>
        <w:rPr>
          <w:rFonts w:asciiTheme="minorHAnsi" w:hAnsiTheme="minorHAnsi" w:cstheme="minorHAnsi"/>
          <w:sz w:val="22"/>
          <w:szCs w:val="22"/>
        </w:rPr>
      </w:pPr>
    </w:p>
    <w:p w14:paraId="31D8E3DF" w14:textId="77777777" w:rsidR="007E0E95" w:rsidRDefault="007E0E95" w:rsidP="007E0E95">
      <w:pPr>
        <w:jc w:val="both"/>
        <w:rPr>
          <w:rStyle w:val="Hyperlink"/>
          <w:rFonts w:asciiTheme="minorHAnsi" w:hAnsiTheme="minorHAnsi" w:cstheme="minorHAnsi"/>
        </w:rPr>
      </w:pPr>
      <w:r>
        <w:rPr>
          <w:rFonts w:asciiTheme="minorHAnsi" w:hAnsiTheme="minorHAnsi" w:cstheme="minorHAnsi"/>
          <w:sz w:val="22"/>
          <w:szCs w:val="22"/>
        </w:rPr>
        <w:t xml:space="preserve">Project-level monitoring and evaluation will be undertaken in compliance with UNDP requirements as outlined in the </w:t>
      </w:r>
      <w:hyperlink r:id="rId25" w:history="1">
        <w:r>
          <w:rPr>
            <w:rStyle w:val="Hyperlink"/>
            <w:rFonts w:asciiTheme="minorHAnsi" w:hAnsiTheme="minorHAnsi" w:cstheme="minorHAnsi"/>
            <w:sz w:val="22"/>
            <w:szCs w:val="22"/>
          </w:rPr>
          <w:t>UNDP POPP</w:t>
        </w:r>
      </w:hyperlink>
      <w:r>
        <w:rPr>
          <w:rStyle w:val="Hyperlink"/>
          <w:rFonts w:asciiTheme="minorHAnsi" w:hAnsiTheme="minorHAnsi" w:cstheme="minorHAnsi"/>
          <w:sz w:val="22"/>
          <w:szCs w:val="22"/>
        </w:rPr>
        <w:t xml:space="preserve"> and </w:t>
      </w:r>
      <w:hyperlink r:id="rId26" w:history="1">
        <w:r>
          <w:rPr>
            <w:rStyle w:val="Hyperlink"/>
            <w:rFonts w:asciiTheme="minorHAnsi" w:hAnsiTheme="minorHAnsi" w:cstheme="minorHAnsi"/>
            <w:sz w:val="22"/>
            <w:szCs w:val="22"/>
          </w:rPr>
          <w:t>UNDP Evaluation Policy</w:t>
        </w:r>
      </w:hyperlink>
      <w:r>
        <w:rPr>
          <w:rStyle w:val="Hyperlink"/>
          <w:rFonts w:asciiTheme="minorHAnsi" w:hAnsiTheme="minorHAnsi" w:cstheme="minorHAnsi"/>
          <w:sz w:val="22"/>
          <w:szCs w:val="22"/>
        </w:rPr>
        <w:t xml:space="preserve">. </w:t>
      </w:r>
    </w:p>
    <w:p w14:paraId="68AAAC0A" w14:textId="77777777" w:rsidR="007E0E95" w:rsidRDefault="007E0E95" w:rsidP="007E0E95">
      <w:pPr>
        <w:jc w:val="both"/>
      </w:pPr>
    </w:p>
    <w:p w14:paraId="7696E727"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Additional mandatory GEF-specific M&amp;E requirements will be undertaken in accordance with the </w:t>
      </w:r>
      <w:hyperlink r:id="rId27" w:history="1">
        <w:r>
          <w:rPr>
            <w:rStyle w:val="Hyperlink"/>
            <w:rFonts w:asciiTheme="minorHAnsi" w:hAnsiTheme="minorHAnsi" w:cstheme="minorHAnsi"/>
            <w:sz w:val="22"/>
            <w:szCs w:val="22"/>
          </w:rPr>
          <w:t>GEF Monitoring Policy</w:t>
        </w:r>
      </w:hyperlink>
      <w:r>
        <w:rPr>
          <w:rFonts w:asciiTheme="minorHAnsi" w:hAnsiTheme="minorHAnsi" w:cstheme="minorHAnsi"/>
          <w:sz w:val="22"/>
          <w:szCs w:val="22"/>
        </w:rPr>
        <w:t xml:space="preserve"> and the </w:t>
      </w:r>
      <w:hyperlink r:id="rId28" w:history="1">
        <w:r>
          <w:rPr>
            <w:rStyle w:val="Hyperlink"/>
            <w:rFonts w:asciiTheme="minorHAnsi" w:hAnsiTheme="minorHAnsi" w:cstheme="minorHAnsi"/>
            <w:sz w:val="22"/>
            <w:szCs w:val="22"/>
          </w:rPr>
          <w:t>GEF Evaluation Policy</w:t>
        </w:r>
      </w:hyperlink>
      <w:r>
        <w:rPr>
          <w:rFonts w:asciiTheme="minorHAnsi" w:hAnsiTheme="minorHAnsi" w:cstheme="minorHAnsi"/>
          <w:sz w:val="22"/>
          <w:szCs w:val="22"/>
        </w:rPr>
        <w:t xml:space="preserve"> and other </w:t>
      </w:r>
      <w:hyperlink r:id="rId29" w:history="1">
        <w:r>
          <w:rPr>
            <w:rStyle w:val="Hyperlink"/>
            <w:rFonts w:asciiTheme="minorHAnsi" w:hAnsiTheme="minorHAnsi" w:cstheme="minorHAnsi"/>
            <w:sz w:val="22"/>
            <w:szCs w:val="22"/>
          </w:rPr>
          <w:t>relevant GEF policies</w:t>
        </w:r>
      </w:hyperlink>
      <w:r>
        <w:rPr>
          <w:rStyle w:val="FootnoteReference"/>
          <w:rFonts w:asciiTheme="minorHAnsi" w:hAnsiTheme="minorHAnsi" w:cstheme="minorHAnsi"/>
          <w:sz w:val="22"/>
          <w:szCs w:val="22"/>
        </w:rPr>
        <w:footnoteReference w:id="13"/>
      </w:r>
      <w:r>
        <w:rPr>
          <w:rFonts w:asciiTheme="minorHAnsi" w:hAnsiTheme="minorHAnsi" w:cstheme="minorHAnsi"/>
          <w:sz w:val="22"/>
          <w:szCs w:val="22"/>
        </w:rPr>
        <w:t>. The costed M&amp;E plan included below, and the Monitoring plan in Annex, will guide the GEF-specific M&amp;E activities to be undertaken by this project.</w:t>
      </w:r>
    </w:p>
    <w:p w14:paraId="162EB61C" w14:textId="77777777" w:rsidR="007E0E95" w:rsidRDefault="007E0E95" w:rsidP="007E0E95">
      <w:pPr>
        <w:jc w:val="both"/>
        <w:rPr>
          <w:rFonts w:asciiTheme="minorHAnsi" w:hAnsiTheme="minorHAnsi" w:cstheme="minorHAnsi"/>
          <w:sz w:val="22"/>
          <w:szCs w:val="22"/>
        </w:rPr>
      </w:pPr>
    </w:p>
    <w:p w14:paraId="190D1C3A"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In addition to these mandatory UNDP and GEF M&amp;E requirements, other M&amp;E activities deemed necessary to support project-level adaptive management will be agreed during the Project Inception Workshop and will be detailed in the Inception Report. These activities may include UNDP guidance regarding adopting remote monitoring approaches and for M&amp;E procedures as a whole during the COVID-19 global pandemic.</w:t>
      </w:r>
    </w:p>
    <w:p w14:paraId="27009E8F" w14:textId="77777777" w:rsidR="007E0E95" w:rsidRDefault="007E0E95" w:rsidP="007E0E95">
      <w:pPr>
        <w:jc w:val="both"/>
        <w:rPr>
          <w:rFonts w:asciiTheme="minorHAnsi" w:hAnsiTheme="minorHAnsi" w:cstheme="minorHAnsi"/>
          <w:sz w:val="22"/>
          <w:szCs w:val="22"/>
        </w:rPr>
      </w:pPr>
    </w:p>
    <w:p w14:paraId="5DCFA459" w14:textId="77777777" w:rsidR="007E0E95" w:rsidRDefault="007E0E95" w:rsidP="007E0E95">
      <w:pPr>
        <w:rPr>
          <w:rFonts w:asciiTheme="minorHAnsi" w:hAnsiTheme="minorHAnsi" w:cstheme="minorHAnsi"/>
          <w:i/>
          <w:sz w:val="22"/>
          <w:szCs w:val="22"/>
        </w:rPr>
      </w:pPr>
      <w:r>
        <w:rPr>
          <w:rFonts w:asciiTheme="minorHAnsi" w:hAnsiTheme="minorHAnsi" w:cstheme="minorHAnsi"/>
          <w:b/>
          <w:sz w:val="22"/>
          <w:szCs w:val="22"/>
        </w:rPr>
        <w:t>Additional GEF monitoring and reporting requirements:</w:t>
      </w:r>
      <w:r>
        <w:rPr>
          <w:rFonts w:asciiTheme="minorHAnsi" w:hAnsiTheme="minorHAnsi" w:cstheme="minorHAnsi"/>
          <w:i/>
          <w:sz w:val="22"/>
          <w:szCs w:val="22"/>
        </w:rPr>
        <w:t xml:space="preserve"> </w:t>
      </w:r>
    </w:p>
    <w:p w14:paraId="01E0C05B" w14:textId="77777777" w:rsidR="007E0E95" w:rsidRDefault="007E0E95" w:rsidP="007E0E95">
      <w:pPr>
        <w:rPr>
          <w:rFonts w:asciiTheme="minorHAnsi" w:hAnsiTheme="minorHAnsi" w:cstheme="minorHAnsi"/>
          <w:sz w:val="22"/>
          <w:szCs w:val="22"/>
          <w:u w:val="single"/>
        </w:rPr>
      </w:pPr>
    </w:p>
    <w:p w14:paraId="26400441" w14:textId="77777777" w:rsidR="007E0E95" w:rsidRDefault="007E0E95" w:rsidP="007E0E95">
      <w:pPr>
        <w:jc w:val="both"/>
        <w:rPr>
          <w:rFonts w:cs="Calibri"/>
          <w:sz w:val="22"/>
          <w:szCs w:val="22"/>
        </w:rPr>
      </w:pPr>
      <w:r>
        <w:rPr>
          <w:rFonts w:asciiTheme="minorHAnsi" w:hAnsiTheme="minorHAnsi" w:cstheme="minorHAnsi"/>
          <w:sz w:val="22"/>
          <w:szCs w:val="22"/>
          <w:u w:val="single"/>
        </w:rPr>
        <w:t>Inception Workshop and Report</w:t>
      </w:r>
      <w:r>
        <w:rPr>
          <w:rFonts w:asciiTheme="minorHAnsi" w:hAnsiTheme="minorHAnsi" w:cstheme="minorHAnsi"/>
          <w:sz w:val="22"/>
          <w:szCs w:val="22"/>
        </w:rPr>
        <w:t>:  A project inception workshop will be held within 60 days of project CEO endorsement, with the aim to</w:t>
      </w:r>
      <w:r>
        <w:rPr>
          <w:rFonts w:cs="Calibri"/>
          <w:sz w:val="22"/>
          <w:szCs w:val="22"/>
        </w:rPr>
        <w:t xml:space="preserve">: </w:t>
      </w:r>
    </w:p>
    <w:p w14:paraId="00EFF701" w14:textId="77777777" w:rsidR="007E0E95" w:rsidRDefault="007E0E95" w:rsidP="007E0E95">
      <w:pPr>
        <w:jc w:val="both"/>
        <w:rPr>
          <w:rFonts w:cs="Calibri"/>
          <w:sz w:val="22"/>
          <w:szCs w:val="22"/>
        </w:rPr>
      </w:pPr>
    </w:p>
    <w:p w14:paraId="10E38D20" w14:textId="77777777" w:rsidR="007E0E95" w:rsidRDefault="007E0E95" w:rsidP="007E0E95">
      <w:pPr>
        <w:pStyle w:val="ListParagraph"/>
        <w:numPr>
          <w:ilvl w:val="0"/>
          <w:numId w:val="81"/>
        </w:numPr>
        <w:contextualSpacing w:val="0"/>
        <w:jc w:val="both"/>
        <w:rPr>
          <w:rFonts w:cs="Calibri"/>
          <w:sz w:val="22"/>
          <w:szCs w:val="22"/>
        </w:rPr>
      </w:pPr>
      <w:r>
        <w:rPr>
          <w:rFonts w:ascii="Calibri" w:hAnsi="Calibri" w:cs="Calibri"/>
          <w:sz w:val="22"/>
          <w:szCs w:val="22"/>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04A9BB1A" w14:textId="77777777" w:rsidR="007E0E95" w:rsidRDefault="007E0E95" w:rsidP="007E0E95">
      <w:pPr>
        <w:pStyle w:val="ListParagraph"/>
        <w:numPr>
          <w:ilvl w:val="0"/>
          <w:numId w:val="81"/>
        </w:numPr>
        <w:contextualSpacing w:val="0"/>
        <w:jc w:val="both"/>
        <w:rPr>
          <w:rFonts w:cs="Calibri"/>
          <w:sz w:val="22"/>
          <w:szCs w:val="22"/>
        </w:rPr>
      </w:pPr>
      <w:r>
        <w:rPr>
          <w:rFonts w:ascii="Calibri" w:hAnsi="Calibri" w:cs="Calibri"/>
          <w:sz w:val="22"/>
          <w:szCs w:val="22"/>
        </w:rPr>
        <w:t xml:space="preserve">Discuss the roles and responsibilities of the project team, including reporting lines, stakeholder engagement strategies and conflict resolution mechanisms. </w:t>
      </w:r>
    </w:p>
    <w:p w14:paraId="7E7B9571" w14:textId="77777777" w:rsidR="007E0E95" w:rsidRDefault="007E0E95" w:rsidP="007E0E95">
      <w:pPr>
        <w:pStyle w:val="ListParagraph"/>
        <w:numPr>
          <w:ilvl w:val="0"/>
          <w:numId w:val="81"/>
        </w:numPr>
        <w:contextualSpacing w:val="0"/>
        <w:jc w:val="both"/>
        <w:rPr>
          <w:rFonts w:cs="Calibri"/>
          <w:sz w:val="22"/>
          <w:szCs w:val="22"/>
        </w:rPr>
      </w:pPr>
      <w:r>
        <w:rPr>
          <w:rFonts w:ascii="Calibri" w:hAnsi="Calibri" w:cs="Calibri"/>
          <w:sz w:val="22"/>
          <w:szCs w:val="22"/>
        </w:rPr>
        <w:t xml:space="preserve">Review the results framework and monitoring plan. </w:t>
      </w:r>
    </w:p>
    <w:p w14:paraId="66211310" w14:textId="77777777" w:rsidR="007E0E95" w:rsidRDefault="007E0E95" w:rsidP="007E0E95">
      <w:pPr>
        <w:pStyle w:val="ListParagraph"/>
        <w:numPr>
          <w:ilvl w:val="0"/>
          <w:numId w:val="81"/>
        </w:numPr>
        <w:contextualSpacing w:val="0"/>
        <w:jc w:val="both"/>
        <w:rPr>
          <w:rFonts w:asciiTheme="minorHAnsi" w:hAnsiTheme="minorHAnsi" w:cs="Calibri"/>
          <w:sz w:val="22"/>
          <w:szCs w:val="22"/>
        </w:rPr>
      </w:pPr>
      <w:r>
        <w:rPr>
          <w:rFonts w:asciiTheme="minorHAnsi" w:hAnsiTheme="minorHAnsi"/>
          <w:sz w:val="22"/>
          <w:szCs w:val="22"/>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1DE52A8D" w14:textId="77777777" w:rsidR="007E0E95" w:rsidRDefault="007E0E95" w:rsidP="007E0E95">
      <w:pPr>
        <w:pStyle w:val="ListParagraph"/>
        <w:numPr>
          <w:ilvl w:val="0"/>
          <w:numId w:val="81"/>
        </w:numPr>
        <w:contextualSpacing w:val="0"/>
        <w:jc w:val="both"/>
        <w:rPr>
          <w:rFonts w:asciiTheme="minorHAnsi" w:hAnsiTheme="minorHAnsi"/>
          <w:sz w:val="22"/>
          <w:szCs w:val="22"/>
        </w:rPr>
      </w:pPr>
      <w:r>
        <w:rPr>
          <w:rFonts w:asciiTheme="minorHAnsi" w:hAnsiTheme="minorHAnsi"/>
          <w:sz w:val="22"/>
          <w:szCs w:val="22"/>
        </w:rPr>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7B9E1F9D" w14:textId="77777777" w:rsidR="007E0E95" w:rsidRDefault="007E0E95" w:rsidP="007E0E95">
      <w:pPr>
        <w:pStyle w:val="ListParagraph"/>
        <w:numPr>
          <w:ilvl w:val="0"/>
          <w:numId w:val="81"/>
        </w:numPr>
        <w:contextualSpacing w:val="0"/>
        <w:jc w:val="both"/>
        <w:rPr>
          <w:rFonts w:asciiTheme="minorHAnsi" w:hAnsiTheme="minorHAnsi"/>
          <w:sz w:val="22"/>
          <w:szCs w:val="22"/>
        </w:rPr>
      </w:pPr>
      <w:r>
        <w:rPr>
          <w:rFonts w:asciiTheme="minorHAnsi" w:hAnsiTheme="minorHAnsi"/>
          <w:sz w:val="22"/>
          <w:szCs w:val="22"/>
        </w:rPr>
        <w:t xml:space="preserve">Review financial reporting procedures and budget monitoring and other mandatory requirements and agree on the arrangements for the annual audit. </w:t>
      </w:r>
    </w:p>
    <w:p w14:paraId="7C2FB34E" w14:textId="77777777" w:rsidR="007E0E95" w:rsidRDefault="007E0E95" w:rsidP="007E0E95">
      <w:pPr>
        <w:pStyle w:val="ListParagraph"/>
        <w:numPr>
          <w:ilvl w:val="0"/>
          <w:numId w:val="81"/>
        </w:numPr>
        <w:contextualSpacing w:val="0"/>
        <w:jc w:val="both"/>
        <w:rPr>
          <w:rFonts w:asciiTheme="minorHAnsi" w:hAnsiTheme="minorHAnsi"/>
          <w:sz w:val="22"/>
          <w:szCs w:val="22"/>
        </w:rPr>
      </w:pPr>
      <w:r>
        <w:rPr>
          <w:rFonts w:asciiTheme="minorHAnsi" w:hAnsiTheme="minorHAnsi"/>
          <w:sz w:val="22"/>
          <w:szCs w:val="22"/>
        </w:rPr>
        <w:t xml:space="preserve">Plan and schedule Project Board meetings and finalize the first-year annual work plan.  </w:t>
      </w:r>
    </w:p>
    <w:p w14:paraId="4CFEBF7B" w14:textId="77777777" w:rsidR="007E0E95" w:rsidRDefault="007E0E95" w:rsidP="007E0E95">
      <w:pPr>
        <w:pStyle w:val="ListParagraph"/>
        <w:numPr>
          <w:ilvl w:val="0"/>
          <w:numId w:val="81"/>
        </w:numPr>
        <w:contextualSpacing w:val="0"/>
        <w:jc w:val="both"/>
        <w:rPr>
          <w:rFonts w:asciiTheme="minorHAnsi" w:hAnsiTheme="minorHAnsi"/>
          <w:sz w:val="22"/>
          <w:szCs w:val="22"/>
        </w:rPr>
      </w:pPr>
      <w:r>
        <w:rPr>
          <w:rFonts w:asciiTheme="minorHAnsi" w:hAnsiTheme="minorHAnsi"/>
          <w:sz w:val="22"/>
          <w:szCs w:val="22"/>
        </w:rPr>
        <w:t>Formally launch the Project.</w:t>
      </w:r>
    </w:p>
    <w:p w14:paraId="6404AD2B" w14:textId="77777777" w:rsidR="007E0E95" w:rsidRDefault="007E0E95" w:rsidP="007E0E95">
      <w:pPr>
        <w:pStyle w:val="NormalWeb"/>
        <w:spacing w:before="0"/>
        <w:jc w:val="left"/>
        <w:rPr>
          <w:rFonts w:ascii="Calibri" w:hAnsi="Calibri" w:cs="Calibri"/>
          <w:u w:val="single"/>
        </w:rPr>
      </w:pPr>
    </w:p>
    <w:p w14:paraId="22744282" w14:textId="77777777" w:rsidR="007E0E95" w:rsidRDefault="007E0E95" w:rsidP="007E0E95">
      <w:pPr>
        <w:jc w:val="both"/>
        <w:rPr>
          <w:rFonts w:asciiTheme="minorHAnsi" w:hAnsiTheme="minorHAnsi" w:cstheme="minorHAnsi"/>
          <w:i/>
          <w:sz w:val="22"/>
          <w:szCs w:val="22"/>
        </w:rPr>
      </w:pPr>
      <w:r>
        <w:rPr>
          <w:rFonts w:asciiTheme="minorHAnsi" w:hAnsiTheme="minorHAnsi" w:cstheme="minorHAnsi"/>
          <w:sz w:val="22"/>
          <w:szCs w:val="22"/>
          <w:u w:val="single"/>
        </w:rPr>
        <w:t>GEF Project Implementation Report (PIR</w:t>
      </w:r>
      <w:r>
        <w:rPr>
          <w:rFonts w:asciiTheme="minorHAnsi" w:hAnsiTheme="minorHAnsi" w:cstheme="minorHAnsi"/>
          <w:sz w:val="22"/>
          <w:szCs w:val="22"/>
        </w:rPr>
        <w:t xml:space="preserve">): </w:t>
      </w:r>
    </w:p>
    <w:p w14:paraId="612840AD" w14:textId="77777777" w:rsidR="007E0E95" w:rsidRDefault="007E0E95" w:rsidP="007E0E95">
      <w:pPr>
        <w:pStyle w:val="NormalWeb"/>
        <w:spacing w:before="0"/>
        <w:rPr>
          <w:rFonts w:ascii="Calibri" w:hAnsi="Calibri" w:cs="Calibri"/>
        </w:rPr>
      </w:pPr>
      <w:r>
        <w:rPr>
          <w:rFonts w:ascii="Calibri" w:hAnsi="Calibri" w:cs="Calibri"/>
        </w:rPr>
        <w:lastRenderedPageBreak/>
        <w:t xml:space="preserve">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Project Board. The quality rating of the previous year’s PIR will be used to inform the preparation of the subsequent PIR.  </w:t>
      </w:r>
    </w:p>
    <w:p w14:paraId="604629AD" w14:textId="77777777" w:rsidR="007E0E95" w:rsidRDefault="007E0E95" w:rsidP="007E0E95">
      <w:pPr>
        <w:pStyle w:val="NormalWeb"/>
        <w:spacing w:before="0"/>
        <w:rPr>
          <w:rFonts w:ascii="Calibri" w:hAnsi="Calibri" w:cs="Calibri"/>
          <w:u w:val="single"/>
          <w:lang w:val="en-GB"/>
        </w:rPr>
      </w:pPr>
    </w:p>
    <w:p w14:paraId="7EB9C336" w14:textId="77777777" w:rsidR="007E0E95" w:rsidRDefault="007E0E95" w:rsidP="007E0E95">
      <w:pPr>
        <w:jc w:val="both"/>
        <w:rPr>
          <w:rFonts w:asciiTheme="minorHAnsi" w:hAnsiTheme="minorHAnsi" w:cstheme="minorHAnsi"/>
          <w:i/>
          <w:sz w:val="22"/>
          <w:szCs w:val="22"/>
        </w:rPr>
      </w:pPr>
      <w:r>
        <w:rPr>
          <w:rFonts w:asciiTheme="minorHAnsi" w:hAnsiTheme="minorHAnsi" w:cstheme="minorHAnsi"/>
          <w:sz w:val="22"/>
          <w:szCs w:val="22"/>
          <w:u w:val="single"/>
          <w:lang w:val="en-GB"/>
        </w:rPr>
        <w:t>GEF Core Indicators</w:t>
      </w:r>
      <w:r>
        <w:rPr>
          <w:rFonts w:asciiTheme="minorHAnsi" w:hAnsiTheme="minorHAnsi" w:cstheme="minorHAnsi"/>
          <w:sz w:val="22"/>
          <w:szCs w:val="22"/>
          <w:lang w:val="en-GB"/>
        </w:rPr>
        <w:t xml:space="preserve">: </w:t>
      </w:r>
      <w:r>
        <w:rPr>
          <w:rFonts w:asciiTheme="minorHAnsi" w:hAnsiTheme="minorHAnsi" w:cstheme="minorHAnsi"/>
          <w:b/>
          <w:sz w:val="22"/>
          <w:szCs w:val="22"/>
          <w:lang w:val="en-GB"/>
        </w:rPr>
        <w:t xml:space="preserve"> </w:t>
      </w:r>
    </w:p>
    <w:p w14:paraId="3782E800" w14:textId="77777777" w:rsidR="007E0E95" w:rsidRDefault="007E0E95" w:rsidP="007E0E95">
      <w:pPr>
        <w:pStyle w:val="NormalWeb"/>
        <w:spacing w:before="0"/>
        <w:rPr>
          <w:rFonts w:ascii="Calibri" w:hAnsi="Calibri" w:cs="Calibri"/>
          <w:lang w:val="en-GB"/>
        </w:rPr>
      </w:pPr>
      <w:r>
        <w:rPr>
          <w:rFonts w:ascii="Calibri" w:hAnsi="Calibri" w:cs="Calibri"/>
          <w:lang w:val="en-GB"/>
        </w:rPr>
        <w:t xml:space="preserve">The GEF Core indicators included as Annex 9 will be used to monitor global environmental benefits and will be updated for reporting to the GEF prior to MTR and TE. Note that the project team is responsible for updating the indicator status. The updated monitoring data should be shared with MTR/TE consultants </w:t>
      </w:r>
      <w:r>
        <w:rPr>
          <w:rFonts w:ascii="Calibri" w:hAnsi="Calibri" w:cs="Calibri"/>
          <w:u w:val="single"/>
          <w:lang w:val="en-GB"/>
        </w:rPr>
        <w:t>prior</w:t>
      </w:r>
      <w:r>
        <w:rPr>
          <w:rFonts w:ascii="Calibri" w:hAnsi="Calibri" w:cs="Calibri"/>
          <w:lang w:val="en-GB"/>
        </w:rPr>
        <w:t xml:space="preserve"> to required evaluation missions, so these can be used for subsequent ground-truthing. The methodologies to be used in data collection have been defined by the GEF and are available on the GEF </w:t>
      </w:r>
      <w:hyperlink r:id="rId30" w:history="1">
        <w:r>
          <w:rPr>
            <w:rStyle w:val="Hyperlink"/>
            <w:rFonts w:ascii="Calibri" w:hAnsi="Calibri" w:cs="Calibri"/>
            <w:lang w:val="en-GB"/>
          </w:rPr>
          <w:t>website</w:t>
        </w:r>
      </w:hyperlink>
      <w:r>
        <w:rPr>
          <w:rFonts w:ascii="Calibri" w:hAnsi="Calibri" w:cs="Calibri"/>
          <w:lang w:val="en-GB"/>
        </w:rPr>
        <w:t xml:space="preserve">. </w:t>
      </w:r>
    </w:p>
    <w:p w14:paraId="340B2BBB" w14:textId="77777777" w:rsidR="007E0E95" w:rsidRDefault="007E0E95" w:rsidP="007E0E95">
      <w:pPr>
        <w:pStyle w:val="NormalWeb"/>
        <w:spacing w:before="0"/>
        <w:rPr>
          <w:rFonts w:ascii="Calibri" w:hAnsi="Calibri" w:cs="Calibri"/>
          <w:lang w:val="en-GB"/>
        </w:rPr>
      </w:pPr>
    </w:p>
    <w:p w14:paraId="2B9975B5" w14:textId="77777777" w:rsidR="007E0E95" w:rsidRDefault="007E0E95" w:rsidP="007E0E95">
      <w:pPr>
        <w:jc w:val="both"/>
        <w:rPr>
          <w:rFonts w:asciiTheme="minorHAnsi" w:hAnsiTheme="minorHAnsi" w:cstheme="minorHAnsi"/>
          <w:i/>
          <w:color w:val="FF0000"/>
          <w:sz w:val="22"/>
          <w:szCs w:val="22"/>
        </w:rPr>
      </w:pPr>
      <w:r>
        <w:rPr>
          <w:rFonts w:asciiTheme="minorHAnsi" w:hAnsiTheme="minorHAnsi" w:cstheme="minorHAnsi"/>
          <w:i/>
          <w:sz w:val="22"/>
          <w:szCs w:val="22"/>
          <w:u w:val="single"/>
        </w:rPr>
        <w:t>Independent Mid-term Review (MTR)</w:t>
      </w:r>
      <w:r>
        <w:rPr>
          <w:rFonts w:asciiTheme="minorHAnsi" w:hAnsiTheme="minorHAnsi" w:cstheme="minorHAnsi"/>
          <w:i/>
          <w:sz w:val="22"/>
          <w:szCs w:val="22"/>
        </w:rPr>
        <w:t xml:space="preserve">: </w:t>
      </w:r>
    </w:p>
    <w:p w14:paraId="39457340"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The terms of reference, the review process and the final MTR report will follow the standard templates and guidance for GEF-financed projects available on the </w:t>
      </w:r>
      <w:hyperlink r:id="rId31" w:anchor="gef" w:history="1">
        <w:r>
          <w:rPr>
            <w:rStyle w:val="Hyperlink"/>
            <w:rFonts w:asciiTheme="minorHAnsi" w:hAnsiTheme="minorHAnsi" w:cstheme="minorHAnsi"/>
            <w:sz w:val="22"/>
            <w:szCs w:val="22"/>
          </w:rPr>
          <w:t>UNDP Evaluation Resource Center</w:t>
        </w:r>
      </w:hyperlink>
      <w:r>
        <w:rPr>
          <w:rStyle w:val="Hyperlink"/>
          <w:rFonts w:asciiTheme="minorHAnsi" w:hAnsiTheme="minorHAnsi" w:cstheme="minorHAnsi"/>
          <w:sz w:val="22"/>
          <w:szCs w:val="22"/>
        </w:rPr>
        <w:t xml:space="preserve"> (ERC).</w:t>
      </w:r>
      <w:r>
        <w:rPr>
          <w:rFonts w:asciiTheme="minorHAnsi" w:hAnsiTheme="minorHAnsi" w:cstheme="minorHAnsi"/>
          <w:sz w:val="22"/>
          <w:szCs w:val="22"/>
        </w:rPr>
        <w:t xml:space="preserve"> </w:t>
      </w:r>
    </w:p>
    <w:p w14:paraId="38633791" w14:textId="77777777" w:rsidR="007E0E95" w:rsidRDefault="007E0E95" w:rsidP="007E0E95">
      <w:pPr>
        <w:jc w:val="both"/>
        <w:rPr>
          <w:rFonts w:asciiTheme="minorHAnsi" w:hAnsiTheme="minorHAnsi" w:cstheme="minorHAnsi"/>
          <w:sz w:val="22"/>
          <w:szCs w:val="22"/>
        </w:rPr>
      </w:pPr>
    </w:p>
    <w:p w14:paraId="51577CEF"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2460ACB3" w14:textId="77777777" w:rsidR="007E0E95" w:rsidRDefault="007E0E95" w:rsidP="007E0E95">
      <w:pPr>
        <w:jc w:val="both"/>
        <w:rPr>
          <w:rFonts w:asciiTheme="minorHAnsi" w:hAnsiTheme="minorHAnsi" w:cstheme="minorHAnsi"/>
          <w:sz w:val="22"/>
          <w:szCs w:val="22"/>
        </w:rPr>
      </w:pPr>
    </w:p>
    <w:p w14:paraId="2BCE1AA2"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The GEF Operational Focal Point and other stakeholders will be actively involved and consulted during the evaluation process. Additional quality assurance support is available from BPPS/GEF Directorate.</w:t>
      </w:r>
    </w:p>
    <w:p w14:paraId="1CE076E5" w14:textId="77777777" w:rsidR="007E0E95" w:rsidRDefault="007E0E95" w:rsidP="007E0E95">
      <w:pPr>
        <w:jc w:val="both"/>
        <w:rPr>
          <w:rFonts w:asciiTheme="minorHAnsi" w:hAnsiTheme="minorHAnsi" w:cstheme="minorHAnsi"/>
          <w:sz w:val="22"/>
          <w:szCs w:val="22"/>
        </w:rPr>
      </w:pPr>
    </w:p>
    <w:p w14:paraId="6A3DF1F3" w14:textId="77777777" w:rsidR="007E0E95" w:rsidRDefault="007E0E95" w:rsidP="007E0E95">
      <w:pPr>
        <w:jc w:val="both"/>
        <w:rPr>
          <w:rFonts w:asciiTheme="minorHAnsi" w:hAnsiTheme="minorHAnsi" w:cstheme="minorHAnsi"/>
          <w:i/>
          <w:color w:val="FF0000"/>
          <w:sz w:val="22"/>
          <w:szCs w:val="22"/>
        </w:rPr>
      </w:pPr>
      <w:r>
        <w:rPr>
          <w:rFonts w:asciiTheme="minorHAnsi" w:hAnsiTheme="minorHAnsi" w:cstheme="minorHAnsi"/>
          <w:sz w:val="22"/>
          <w:szCs w:val="22"/>
        </w:rPr>
        <w:t xml:space="preserve">The final MTR report and MTR TOR will be publicly available in English and will be posted on the UNDP ERC by </w:t>
      </w:r>
      <w:r>
        <w:rPr>
          <w:rFonts w:asciiTheme="minorHAnsi" w:hAnsiTheme="minorHAnsi" w:cstheme="minorHAnsi"/>
          <w:b/>
          <w:bCs/>
          <w:color w:val="000000" w:themeColor="text1"/>
          <w:sz w:val="22"/>
          <w:szCs w:val="22"/>
        </w:rPr>
        <w:t>15 October 2023</w:t>
      </w:r>
      <w:r>
        <w:rPr>
          <w:rFonts w:asciiTheme="minorHAnsi" w:hAnsiTheme="minorHAnsi" w:cstheme="minorHAnsi"/>
          <w:color w:val="000000" w:themeColor="text1"/>
          <w:sz w:val="22"/>
          <w:szCs w:val="22"/>
        </w:rPr>
        <w:t>.</w:t>
      </w:r>
      <w:r>
        <w:rPr>
          <w:rFonts w:asciiTheme="minorHAnsi" w:hAnsiTheme="minorHAnsi" w:cstheme="minorHAnsi"/>
          <w:color w:val="FF0000"/>
          <w:sz w:val="22"/>
          <w:szCs w:val="22"/>
        </w:rPr>
        <w:t xml:space="preserve"> </w:t>
      </w:r>
      <w:r>
        <w:rPr>
          <w:rFonts w:asciiTheme="minorHAnsi" w:hAnsiTheme="minorHAnsi" w:cstheme="minorHAnsi"/>
          <w:sz w:val="22"/>
          <w:szCs w:val="22"/>
        </w:rPr>
        <w:t>A management response to MTR recommendations will be posted in the ERC within six weeks of the MTR report’s completion.</w:t>
      </w:r>
    </w:p>
    <w:p w14:paraId="6577F169" w14:textId="77777777" w:rsidR="007E0E95" w:rsidRDefault="007E0E95" w:rsidP="007E0E95">
      <w:pPr>
        <w:jc w:val="both"/>
        <w:rPr>
          <w:rFonts w:asciiTheme="minorHAnsi" w:hAnsiTheme="minorHAnsi" w:cstheme="minorHAnsi"/>
          <w:sz w:val="22"/>
          <w:szCs w:val="22"/>
          <w:u w:val="single"/>
        </w:rPr>
      </w:pPr>
    </w:p>
    <w:p w14:paraId="457525D5" w14:textId="77777777" w:rsidR="007E0E95" w:rsidRDefault="007E0E95" w:rsidP="007E0E95">
      <w:pPr>
        <w:jc w:val="both"/>
        <w:rPr>
          <w:rFonts w:asciiTheme="minorHAnsi" w:hAnsiTheme="minorHAnsi" w:cstheme="minorHAnsi"/>
          <w:i/>
          <w:sz w:val="22"/>
          <w:szCs w:val="22"/>
        </w:rPr>
      </w:pPr>
      <w:r>
        <w:rPr>
          <w:rFonts w:asciiTheme="minorHAnsi" w:hAnsiTheme="minorHAnsi" w:cstheme="minorHAnsi"/>
          <w:sz w:val="22"/>
          <w:szCs w:val="22"/>
          <w:u w:val="single"/>
        </w:rPr>
        <w:t>Terminal Evaluation (TE)</w:t>
      </w:r>
      <w:r>
        <w:rPr>
          <w:rFonts w:asciiTheme="minorHAnsi" w:hAnsiTheme="minorHAnsi" w:cstheme="minorHAnsi"/>
          <w:sz w:val="22"/>
          <w:szCs w:val="22"/>
        </w:rPr>
        <w:t xml:space="preserve">:  </w:t>
      </w:r>
    </w:p>
    <w:p w14:paraId="3A392A4E"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32" w:anchor="gef" w:history="1">
        <w:r>
          <w:rPr>
            <w:rStyle w:val="Hyperlink"/>
            <w:rFonts w:asciiTheme="minorHAnsi" w:hAnsiTheme="minorHAnsi" w:cstheme="minorHAnsi"/>
            <w:sz w:val="22"/>
            <w:szCs w:val="22"/>
          </w:rPr>
          <w:t>UNDP Evaluation Resource Center</w:t>
        </w:r>
      </w:hyperlink>
      <w:r>
        <w:rPr>
          <w:rStyle w:val="Hyperlink"/>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Arial"/>
          <w:color w:val="222222"/>
          <w:sz w:val="22"/>
          <w:szCs w:val="22"/>
          <w:shd w:val="clear" w:color="auto" w:fill="FFFFFF"/>
        </w:rPr>
        <w:t xml:space="preserve">UNDP will liaise with the UNEP Evaluation Office throughout the TE process. Key decision points in the evaluation process will be made jointly by both Evaluation Offices in a collaborative manner </w:t>
      </w:r>
      <w:r>
        <w:rPr>
          <w:rFonts w:asciiTheme="minorHAnsi" w:hAnsiTheme="minorHAnsi" w:cs="Arial"/>
          <w:color w:val="222222"/>
          <w:sz w:val="22"/>
          <w:szCs w:val="22"/>
          <w:shd w:val="clear" w:color="auto" w:fill="FFFFFF"/>
          <w:lang w:val="hr-HR"/>
        </w:rPr>
        <w:t>(</w:t>
      </w:r>
      <w:proofErr w:type="spellStart"/>
      <w:r>
        <w:rPr>
          <w:rFonts w:asciiTheme="minorHAnsi" w:hAnsiTheme="minorHAnsi" w:cs="Arial"/>
          <w:color w:val="222222"/>
          <w:sz w:val="22"/>
          <w:szCs w:val="22"/>
          <w:shd w:val="clear" w:color="auto" w:fill="FFFFFF"/>
        </w:rPr>
        <w:t>finalisation</w:t>
      </w:r>
      <w:proofErr w:type="spellEnd"/>
      <w:r>
        <w:rPr>
          <w:rFonts w:asciiTheme="minorHAnsi" w:hAnsiTheme="minorHAnsi" w:cs="Arial"/>
          <w:color w:val="222222"/>
          <w:sz w:val="22"/>
          <w:szCs w:val="22"/>
          <w:shd w:val="clear" w:color="auto" w:fill="FFFFFF"/>
        </w:rPr>
        <w:t xml:space="preserve"> of Evaluation </w:t>
      </w:r>
      <w:proofErr w:type="spellStart"/>
      <w:r>
        <w:rPr>
          <w:rFonts w:asciiTheme="minorHAnsi" w:hAnsiTheme="minorHAnsi" w:cs="Arial"/>
          <w:color w:val="222222"/>
          <w:sz w:val="22"/>
          <w:szCs w:val="22"/>
          <w:shd w:val="clear" w:color="auto" w:fill="FFFFFF"/>
        </w:rPr>
        <w:t>ToRs</w:t>
      </w:r>
      <w:proofErr w:type="spellEnd"/>
      <w:r>
        <w:rPr>
          <w:rFonts w:asciiTheme="minorHAnsi" w:hAnsiTheme="minorHAnsi" w:cs="Arial"/>
          <w:color w:val="222222"/>
          <w:sz w:val="22"/>
          <w:szCs w:val="22"/>
          <w:shd w:val="clear" w:color="auto" w:fill="FFFFFF"/>
        </w:rPr>
        <w:t>, selection of evaluation consultants, review of draft report and acceptance of final report</w:t>
      </w:r>
      <w:r>
        <w:rPr>
          <w:rFonts w:asciiTheme="minorHAnsi" w:hAnsiTheme="minorHAnsi" w:cs="Arial"/>
          <w:color w:val="222222"/>
          <w:sz w:val="22"/>
          <w:szCs w:val="22"/>
          <w:shd w:val="clear" w:color="auto" w:fill="FFFFFF"/>
          <w:lang w:val="hr-HR"/>
        </w:rPr>
        <w:t>)</w:t>
      </w:r>
      <w:r>
        <w:rPr>
          <w:rFonts w:asciiTheme="minorHAnsi" w:hAnsiTheme="minorHAnsi" w:cs="Arial"/>
          <w:color w:val="222222"/>
          <w:sz w:val="22"/>
          <w:szCs w:val="22"/>
          <w:shd w:val="clear" w:color="auto" w:fill="FFFFFF"/>
        </w:rPr>
        <w:t>.</w:t>
      </w:r>
    </w:p>
    <w:p w14:paraId="3E18C894" w14:textId="77777777" w:rsidR="007E0E95" w:rsidRDefault="007E0E95" w:rsidP="007E0E95">
      <w:pPr>
        <w:jc w:val="both"/>
        <w:rPr>
          <w:rFonts w:asciiTheme="minorHAnsi" w:hAnsiTheme="minorHAnsi" w:cstheme="minorHAnsi"/>
          <w:sz w:val="22"/>
          <w:szCs w:val="22"/>
        </w:rPr>
      </w:pPr>
    </w:p>
    <w:p w14:paraId="57D3B23A"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being evaluated.</w:t>
      </w:r>
    </w:p>
    <w:p w14:paraId="6F693A74" w14:textId="77777777" w:rsidR="007E0E95" w:rsidRDefault="007E0E95" w:rsidP="007E0E95">
      <w:pPr>
        <w:jc w:val="both"/>
        <w:rPr>
          <w:rFonts w:asciiTheme="minorHAnsi" w:hAnsiTheme="minorHAnsi" w:cstheme="minorHAnsi"/>
          <w:sz w:val="22"/>
          <w:szCs w:val="22"/>
        </w:rPr>
      </w:pPr>
    </w:p>
    <w:p w14:paraId="32F456BF"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The GEF Operational Focal Point and other stakeholders will be actively involved and consulted during the terminal evaluation process. Additional quality assurance support is available from the BPPS/GEF Directorate. </w:t>
      </w:r>
    </w:p>
    <w:p w14:paraId="62B0B8B9"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lastRenderedPageBreak/>
        <w:t xml:space="preserve">The final TE report and TE TOR will be publicly available in English and posted on the UNDP ERC by </w:t>
      </w:r>
      <w:r>
        <w:rPr>
          <w:rFonts w:asciiTheme="minorHAnsi" w:hAnsiTheme="minorHAnsi" w:cstheme="minorHAnsi"/>
          <w:b/>
          <w:bCs/>
          <w:sz w:val="22"/>
          <w:szCs w:val="22"/>
        </w:rPr>
        <w:t>15 July 2025</w:t>
      </w:r>
      <w:r>
        <w:rPr>
          <w:rFonts w:asciiTheme="minorHAnsi" w:hAnsiTheme="minorHAnsi" w:cstheme="minorHAnsi"/>
          <w:sz w:val="22"/>
          <w:szCs w:val="22"/>
        </w:rPr>
        <w:t>. A management response to the TE recommendations will be posted to the ERC within six weeks of the TE report’s completion.</w:t>
      </w:r>
    </w:p>
    <w:p w14:paraId="30AB7B28" w14:textId="77777777" w:rsidR="007E0E95" w:rsidRDefault="007E0E95" w:rsidP="007E0E95">
      <w:pPr>
        <w:jc w:val="both"/>
        <w:rPr>
          <w:rFonts w:asciiTheme="minorHAnsi" w:hAnsiTheme="minorHAnsi" w:cstheme="minorHAnsi"/>
          <w:sz w:val="22"/>
          <w:szCs w:val="22"/>
        </w:rPr>
      </w:pPr>
    </w:p>
    <w:p w14:paraId="3DA0813A" w14:textId="77777777" w:rsidR="007E0E95" w:rsidRDefault="007E0E95" w:rsidP="007E0E95">
      <w:pPr>
        <w:jc w:val="both"/>
        <w:rPr>
          <w:rFonts w:asciiTheme="minorHAnsi" w:hAnsiTheme="minorHAnsi" w:cstheme="minorHAnsi"/>
          <w:i/>
          <w:sz w:val="22"/>
          <w:szCs w:val="22"/>
        </w:rPr>
      </w:pPr>
      <w:r>
        <w:rPr>
          <w:rFonts w:asciiTheme="minorHAnsi" w:hAnsiTheme="minorHAnsi" w:cstheme="minorHAnsi"/>
          <w:sz w:val="22"/>
          <w:szCs w:val="22"/>
          <w:u w:val="single"/>
        </w:rPr>
        <w:t>Final Report</w:t>
      </w:r>
      <w:r>
        <w:rPr>
          <w:rFonts w:asciiTheme="minorHAnsi" w:hAnsiTheme="minorHAnsi" w:cstheme="minorHAnsi"/>
          <w:sz w:val="22"/>
          <w:szCs w:val="22"/>
        </w:rPr>
        <w:t xml:space="preserve">: </w:t>
      </w:r>
    </w:p>
    <w:p w14:paraId="518A63CA" w14:textId="77777777" w:rsidR="007E0E95" w:rsidRDefault="007E0E95" w:rsidP="007E0E95">
      <w:pPr>
        <w:jc w:val="both"/>
        <w:rPr>
          <w:rFonts w:asciiTheme="minorHAnsi" w:hAnsiTheme="minorHAnsi" w:cstheme="minorHAnsi"/>
          <w:sz w:val="22"/>
          <w:szCs w:val="22"/>
        </w:rPr>
      </w:pPr>
      <w:r>
        <w:rPr>
          <w:rFonts w:asciiTheme="minorHAnsi" w:hAnsiTheme="minorHAnsi" w:cstheme="minorHAnsi"/>
          <w:sz w:val="22"/>
          <w:szCs w:val="22"/>
        </w:rPr>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45230E6E" w14:textId="77777777" w:rsidR="007E0E95" w:rsidRDefault="007E0E95" w:rsidP="007E0E95">
      <w:pPr>
        <w:jc w:val="both"/>
        <w:rPr>
          <w:rFonts w:asciiTheme="minorHAnsi" w:hAnsiTheme="minorHAnsi" w:cstheme="minorHAnsi"/>
          <w:sz w:val="22"/>
          <w:szCs w:val="22"/>
        </w:rPr>
      </w:pPr>
    </w:p>
    <w:p w14:paraId="6CED67D4" w14:textId="77777777" w:rsidR="007E0E95" w:rsidRDefault="007E0E95" w:rsidP="007E0E95">
      <w:pPr>
        <w:jc w:val="both"/>
        <w:rPr>
          <w:rFonts w:asciiTheme="minorHAnsi" w:hAnsiTheme="minorHAnsi" w:cstheme="minorHAnsi"/>
          <w:color w:val="000000"/>
          <w:sz w:val="22"/>
          <w:szCs w:val="22"/>
        </w:rPr>
      </w:pPr>
      <w:r>
        <w:rPr>
          <w:rFonts w:asciiTheme="minorHAnsi" w:hAnsiTheme="minorHAnsi" w:cstheme="minorHAnsi"/>
          <w:sz w:val="22"/>
          <w:szCs w:val="22"/>
          <w:u w:val="single"/>
        </w:rPr>
        <w:t>Agreement on intellectual property rights and use of logo on the project’s deliverables and disclosure of information</w:t>
      </w:r>
      <w:r>
        <w:rPr>
          <w:rFonts w:asciiTheme="minorHAnsi" w:hAnsiTheme="minorHAnsi" w:cstheme="minorHAnsi"/>
          <w:b/>
          <w:sz w:val="22"/>
          <w:szCs w:val="22"/>
        </w:rPr>
        <w:t xml:space="preserve">:  </w:t>
      </w:r>
      <w:r>
        <w:rPr>
          <w:rFonts w:asciiTheme="minorHAnsi" w:hAnsiTheme="minorHAnsi" w:cstheme="minorHAnsi"/>
          <w:sz w:val="22"/>
          <w:szCs w:val="22"/>
        </w:rPr>
        <w:t>To accord proper acknowledgement to the GEF for providing grant funding, the GEF logo will appear together with the Project logo as well as UNDP and UNEP logos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w:t>
      </w:r>
      <w:r>
        <w:rPr>
          <w:rStyle w:val="FootnoteReference"/>
          <w:szCs w:val="22"/>
        </w:rPr>
        <w:footnoteReference w:id="14"/>
      </w:r>
      <w:r>
        <w:rPr>
          <w:rFonts w:asciiTheme="minorHAnsi" w:hAnsiTheme="minorHAnsi" w:cstheme="minorHAnsi"/>
          <w:sz w:val="22"/>
          <w:szCs w:val="22"/>
        </w:rPr>
        <w:t xml:space="preserve"> and UNEP Disclosure Policy and</w:t>
      </w:r>
      <w:r>
        <w:rPr>
          <w:rFonts w:asciiTheme="minorHAnsi" w:hAnsiTheme="minorHAnsi" w:cstheme="minorHAnsi"/>
          <w:color w:val="000000"/>
          <w:sz w:val="22"/>
          <w:szCs w:val="22"/>
        </w:rPr>
        <w:t xml:space="preserve"> the GEF policy on public involvement</w:t>
      </w:r>
      <w:r>
        <w:rPr>
          <w:rStyle w:val="FootnoteReference"/>
          <w:rFonts w:asciiTheme="minorHAnsi" w:hAnsiTheme="minorHAnsi" w:cstheme="minorHAnsi"/>
          <w:color w:val="000000"/>
          <w:sz w:val="22"/>
          <w:szCs w:val="22"/>
        </w:rPr>
        <w:footnoteReference w:id="15"/>
      </w:r>
      <w:r>
        <w:rPr>
          <w:rFonts w:asciiTheme="minorHAnsi" w:hAnsiTheme="minorHAnsi" w:cstheme="minorHAnsi"/>
          <w:color w:val="000000"/>
          <w:sz w:val="22"/>
          <w:szCs w:val="22"/>
        </w:rPr>
        <w:t xml:space="preserve">. </w:t>
      </w:r>
    </w:p>
    <w:p w14:paraId="6AB50FFF" w14:textId="77777777" w:rsidR="007E0E95" w:rsidRDefault="007E0E95" w:rsidP="007E0E95">
      <w:pPr>
        <w:jc w:val="both"/>
        <w:rPr>
          <w:rFonts w:cs="Calibri"/>
          <w:szCs w:val="20"/>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5"/>
        <w:gridCol w:w="1757"/>
        <w:gridCol w:w="2789"/>
        <w:gridCol w:w="2789"/>
      </w:tblGrid>
      <w:tr w:rsidR="007E0E95" w:rsidRPr="007E0E95" w14:paraId="3A35C3BB" w14:textId="77777777" w:rsidTr="007E0E95">
        <w:trPr>
          <w:trHeight w:val="319"/>
          <w:jc w:val="center"/>
        </w:trPr>
        <w:tc>
          <w:tcPr>
            <w:tcW w:w="10438" w:type="dxa"/>
            <w:gridSpan w:val="4"/>
            <w:tcBorders>
              <w:top w:val="single" w:sz="4" w:space="0" w:color="000000"/>
              <w:left w:val="single" w:sz="4" w:space="0" w:color="000000"/>
              <w:bottom w:val="single" w:sz="4" w:space="0" w:color="000000"/>
              <w:right w:val="single" w:sz="4" w:space="0" w:color="000000"/>
            </w:tcBorders>
            <w:shd w:val="clear" w:color="auto" w:fill="BFBFBF"/>
            <w:hideMark/>
          </w:tcPr>
          <w:p w14:paraId="3F339DB3" w14:textId="77777777" w:rsidR="007E0E95" w:rsidRDefault="007E0E95">
            <w:pPr>
              <w:jc w:val="center"/>
              <w:rPr>
                <w:rFonts w:asciiTheme="minorHAnsi" w:hAnsiTheme="minorHAnsi" w:cstheme="minorHAnsi"/>
                <w:b/>
                <w:sz w:val="20"/>
                <w:szCs w:val="20"/>
                <w:lang w:val="en-GB"/>
              </w:rPr>
            </w:pPr>
            <w:r>
              <w:rPr>
                <w:rFonts w:asciiTheme="minorHAnsi" w:hAnsiTheme="minorHAnsi" w:cstheme="minorHAnsi"/>
                <w:b/>
                <w:sz w:val="20"/>
                <w:szCs w:val="20"/>
                <w:lang w:val="en-GB"/>
              </w:rPr>
              <w:t>Monitoring and Evaluation Plan and Budget</w:t>
            </w:r>
          </w:p>
        </w:tc>
      </w:tr>
      <w:tr w:rsidR="007E0E95" w14:paraId="552B0780" w14:textId="77777777" w:rsidTr="007E0E95">
        <w:trPr>
          <w:trHeight w:val="833"/>
          <w:jc w:val="center"/>
        </w:trPr>
        <w:tc>
          <w:tcPr>
            <w:tcW w:w="3105" w:type="dxa"/>
            <w:tcBorders>
              <w:top w:val="single" w:sz="4" w:space="0" w:color="000000"/>
              <w:left w:val="single" w:sz="4" w:space="0" w:color="000000"/>
              <w:bottom w:val="single" w:sz="4" w:space="0" w:color="000000"/>
              <w:right w:val="single" w:sz="4" w:space="0" w:color="000000"/>
            </w:tcBorders>
            <w:shd w:val="clear" w:color="auto" w:fill="BFBFBF"/>
          </w:tcPr>
          <w:p w14:paraId="3BA29F65"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GEF M&amp;E requirements</w:t>
            </w:r>
          </w:p>
          <w:p w14:paraId="68C9C3F3" w14:textId="77777777" w:rsidR="007E0E95" w:rsidRDefault="007E0E95">
            <w:pPr>
              <w:rPr>
                <w:rFonts w:asciiTheme="minorHAnsi" w:hAnsiTheme="minorHAnsi" w:cstheme="minorHAnsi"/>
                <w:b/>
                <w:sz w:val="20"/>
                <w:szCs w:val="20"/>
              </w:rPr>
            </w:pPr>
          </w:p>
        </w:tc>
        <w:tc>
          <w:tcPr>
            <w:tcW w:w="1757" w:type="dxa"/>
            <w:tcBorders>
              <w:top w:val="single" w:sz="4" w:space="0" w:color="000000"/>
              <w:left w:val="single" w:sz="4" w:space="0" w:color="000000"/>
              <w:bottom w:val="single" w:sz="4" w:space="0" w:color="000000"/>
              <w:right w:val="single" w:sz="4" w:space="0" w:color="000000"/>
            </w:tcBorders>
            <w:shd w:val="clear" w:color="auto" w:fill="BFBFBF"/>
            <w:hideMark/>
          </w:tcPr>
          <w:p w14:paraId="1F6F2E73"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 xml:space="preserve">Indicative costs (US$) </w:t>
            </w:r>
          </w:p>
        </w:tc>
        <w:tc>
          <w:tcPr>
            <w:tcW w:w="2788" w:type="dxa"/>
            <w:tcBorders>
              <w:top w:val="single" w:sz="4" w:space="0" w:color="000000"/>
              <w:left w:val="single" w:sz="4" w:space="0" w:color="000000"/>
              <w:bottom w:val="single" w:sz="4" w:space="0" w:color="000000"/>
              <w:right w:val="single" w:sz="4" w:space="0" w:color="000000"/>
            </w:tcBorders>
            <w:shd w:val="clear" w:color="auto" w:fill="BFBFBF"/>
            <w:hideMark/>
          </w:tcPr>
          <w:p w14:paraId="0755BE35"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Time frame</w:t>
            </w:r>
          </w:p>
        </w:tc>
        <w:tc>
          <w:tcPr>
            <w:tcW w:w="2788" w:type="dxa"/>
            <w:tcBorders>
              <w:top w:val="single" w:sz="4" w:space="0" w:color="000000"/>
              <w:left w:val="single" w:sz="4" w:space="0" w:color="000000"/>
              <w:bottom w:val="single" w:sz="4" w:space="0" w:color="000000"/>
              <w:right w:val="single" w:sz="4" w:space="0" w:color="000000"/>
            </w:tcBorders>
            <w:shd w:val="clear" w:color="auto" w:fill="BFBFBF"/>
            <w:hideMark/>
          </w:tcPr>
          <w:p w14:paraId="7F6EB537"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Output Target</w:t>
            </w:r>
          </w:p>
        </w:tc>
      </w:tr>
      <w:tr w:rsidR="007E0E95" w:rsidRPr="007E0E95" w14:paraId="78A83CA6" w14:textId="77777777" w:rsidTr="007E0E95">
        <w:trPr>
          <w:trHeight w:val="568"/>
          <w:jc w:val="center"/>
        </w:trPr>
        <w:tc>
          <w:tcPr>
            <w:tcW w:w="3105" w:type="dxa"/>
            <w:tcBorders>
              <w:top w:val="single" w:sz="4" w:space="0" w:color="000000"/>
              <w:left w:val="single" w:sz="4" w:space="0" w:color="000000"/>
              <w:bottom w:val="single" w:sz="4" w:space="0" w:color="000000"/>
              <w:right w:val="single" w:sz="4" w:space="0" w:color="000000"/>
            </w:tcBorders>
            <w:hideMark/>
          </w:tcPr>
          <w:p w14:paraId="6ECB918A"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 xml:space="preserve">Inception Workshop </w:t>
            </w:r>
          </w:p>
        </w:tc>
        <w:tc>
          <w:tcPr>
            <w:tcW w:w="1757" w:type="dxa"/>
            <w:tcBorders>
              <w:top w:val="single" w:sz="4" w:space="0" w:color="000000"/>
              <w:left w:val="single" w:sz="4" w:space="0" w:color="000000"/>
              <w:bottom w:val="single" w:sz="4" w:space="0" w:color="000000"/>
              <w:right w:val="single" w:sz="4" w:space="0" w:color="000000"/>
            </w:tcBorders>
            <w:hideMark/>
          </w:tcPr>
          <w:p w14:paraId="129B4562"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20,000</w:t>
            </w:r>
          </w:p>
        </w:tc>
        <w:tc>
          <w:tcPr>
            <w:tcW w:w="2788" w:type="dxa"/>
            <w:tcBorders>
              <w:top w:val="single" w:sz="4" w:space="0" w:color="000000"/>
              <w:left w:val="single" w:sz="4" w:space="0" w:color="000000"/>
              <w:bottom w:val="single" w:sz="4" w:space="0" w:color="000000"/>
              <w:right w:val="single" w:sz="4" w:space="0" w:color="000000"/>
            </w:tcBorders>
            <w:hideMark/>
          </w:tcPr>
          <w:p w14:paraId="69C189F4"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Within 60 days of CEO endorsement of this project.</w:t>
            </w:r>
          </w:p>
        </w:tc>
        <w:tc>
          <w:tcPr>
            <w:tcW w:w="2788" w:type="dxa"/>
            <w:tcBorders>
              <w:top w:val="single" w:sz="4" w:space="0" w:color="000000"/>
              <w:left w:val="single" w:sz="4" w:space="0" w:color="000000"/>
              <w:bottom w:val="single" w:sz="4" w:space="0" w:color="000000"/>
              <w:right w:val="single" w:sz="4" w:space="0" w:color="000000"/>
            </w:tcBorders>
            <w:hideMark/>
          </w:tcPr>
          <w:p w14:paraId="40D64F2D"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1 inception workshop for project stakeholders (approximately 40 people)</w:t>
            </w:r>
          </w:p>
        </w:tc>
      </w:tr>
      <w:tr w:rsidR="007E0E95" w14:paraId="15821C98" w14:textId="77777777" w:rsidTr="007E0E95">
        <w:trPr>
          <w:trHeight w:val="548"/>
          <w:jc w:val="center"/>
        </w:trPr>
        <w:tc>
          <w:tcPr>
            <w:tcW w:w="3105" w:type="dxa"/>
            <w:tcBorders>
              <w:top w:val="single" w:sz="4" w:space="0" w:color="000000"/>
              <w:left w:val="single" w:sz="4" w:space="0" w:color="000000"/>
              <w:bottom w:val="single" w:sz="4" w:space="0" w:color="000000"/>
              <w:right w:val="single" w:sz="4" w:space="0" w:color="000000"/>
            </w:tcBorders>
            <w:hideMark/>
          </w:tcPr>
          <w:p w14:paraId="692B9B32"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Inception Report</w:t>
            </w:r>
          </w:p>
        </w:tc>
        <w:tc>
          <w:tcPr>
            <w:tcW w:w="1757" w:type="dxa"/>
            <w:tcBorders>
              <w:top w:val="single" w:sz="4" w:space="0" w:color="000000"/>
              <w:left w:val="single" w:sz="4" w:space="0" w:color="000000"/>
              <w:bottom w:val="single" w:sz="4" w:space="0" w:color="000000"/>
              <w:right w:val="single" w:sz="4" w:space="0" w:color="000000"/>
            </w:tcBorders>
            <w:hideMark/>
          </w:tcPr>
          <w:p w14:paraId="48EDC6C6"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None</w:t>
            </w:r>
          </w:p>
        </w:tc>
        <w:tc>
          <w:tcPr>
            <w:tcW w:w="2788" w:type="dxa"/>
            <w:tcBorders>
              <w:top w:val="single" w:sz="4" w:space="0" w:color="000000"/>
              <w:left w:val="single" w:sz="4" w:space="0" w:color="000000"/>
              <w:bottom w:val="single" w:sz="4" w:space="0" w:color="000000"/>
              <w:right w:val="single" w:sz="4" w:space="0" w:color="000000"/>
            </w:tcBorders>
            <w:hideMark/>
          </w:tcPr>
          <w:p w14:paraId="64EF6C33"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Within 90 days of CEO endorsement of this project.</w:t>
            </w:r>
          </w:p>
        </w:tc>
        <w:tc>
          <w:tcPr>
            <w:tcW w:w="2788" w:type="dxa"/>
            <w:tcBorders>
              <w:top w:val="single" w:sz="4" w:space="0" w:color="000000"/>
              <w:left w:val="single" w:sz="4" w:space="0" w:color="000000"/>
              <w:bottom w:val="single" w:sz="4" w:space="0" w:color="000000"/>
              <w:right w:val="single" w:sz="4" w:space="0" w:color="000000"/>
            </w:tcBorders>
            <w:hideMark/>
          </w:tcPr>
          <w:p w14:paraId="5016CB4D"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1 inception report</w:t>
            </w:r>
          </w:p>
        </w:tc>
      </w:tr>
      <w:tr w:rsidR="007E0E95" w14:paraId="589F3E55" w14:textId="77777777" w:rsidTr="007E0E95">
        <w:trPr>
          <w:trHeight w:val="557"/>
          <w:jc w:val="center"/>
        </w:trPr>
        <w:tc>
          <w:tcPr>
            <w:tcW w:w="3105" w:type="dxa"/>
            <w:tcBorders>
              <w:top w:val="single" w:sz="4" w:space="0" w:color="000000"/>
              <w:left w:val="single" w:sz="4" w:space="0" w:color="000000"/>
              <w:bottom w:val="single" w:sz="4" w:space="0" w:color="000000"/>
              <w:right w:val="single" w:sz="4" w:space="0" w:color="000000"/>
            </w:tcBorders>
            <w:hideMark/>
          </w:tcPr>
          <w:p w14:paraId="3B8FC1F8"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lang w:val="en-GB"/>
              </w:rPr>
              <w:t>M&amp;E of GEF</w:t>
            </w:r>
            <w:r>
              <w:rPr>
                <w:rFonts w:asciiTheme="minorHAnsi" w:hAnsiTheme="minorHAnsi" w:cstheme="minorHAnsi"/>
                <w:b/>
                <w:sz w:val="20"/>
                <w:szCs w:val="20"/>
              </w:rPr>
              <w:t xml:space="preserve"> indicators in project results framework </w:t>
            </w:r>
          </w:p>
        </w:tc>
        <w:tc>
          <w:tcPr>
            <w:tcW w:w="1757" w:type="dxa"/>
            <w:tcBorders>
              <w:top w:val="single" w:sz="4" w:space="0" w:color="000000"/>
              <w:left w:val="single" w:sz="4" w:space="0" w:color="000000"/>
              <w:bottom w:val="single" w:sz="4" w:space="0" w:color="000000"/>
              <w:right w:val="single" w:sz="4" w:space="0" w:color="000000"/>
            </w:tcBorders>
            <w:hideMark/>
          </w:tcPr>
          <w:p w14:paraId="15111D44" w14:textId="77777777" w:rsidR="007E0E95" w:rsidRDefault="007E0E95">
            <w:pPr>
              <w:tabs>
                <w:tab w:val="left" w:pos="547"/>
              </w:tabs>
              <w:rPr>
                <w:rFonts w:asciiTheme="minorHAnsi" w:hAnsiTheme="minorHAnsi" w:cstheme="minorHAnsi"/>
                <w:color w:val="000000"/>
                <w:sz w:val="20"/>
                <w:szCs w:val="20"/>
              </w:rPr>
            </w:pPr>
            <w:r>
              <w:rPr>
                <w:rFonts w:asciiTheme="minorHAnsi" w:hAnsiTheme="minorHAnsi" w:cstheme="minorHAnsi"/>
                <w:color w:val="000000"/>
                <w:sz w:val="20"/>
                <w:szCs w:val="20"/>
              </w:rPr>
              <w:t>None</w:t>
            </w:r>
          </w:p>
        </w:tc>
        <w:tc>
          <w:tcPr>
            <w:tcW w:w="2788" w:type="dxa"/>
            <w:tcBorders>
              <w:top w:val="single" w:sz="4" w:space="0" w:color="000000"/>
              <w:left w:val="single" w:sz="4" w:space="0" w:color="000000"/>
              <w:bottom w:val="single" w:sz="4" w:space="0" w:color="000000"/>
              <w:right w:val="single" w:sz="4" w:space="0" w:color="000000"/>
            </w:tcBorders>
            <w:hideMark/>
          </w:tcPr>
          <w:p w14:paraId="4C9C68D5"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Annually prior to GEF PIR. This will include GEF core indicators.</w:t>
            </w:r>
          </w:p>
        </w:tc>
        <w:tc>
          <w:tcPr>
            <w:tcW w:w="2788" w:type="dxa"/>
            <w:tcBorders>
              <w:top w:val="single" w:sz="4" w:space="0" w:color="000000"/>
              <w:left w:val="single" w:sz="4" w:space="0" w:color="000000"/>
              <w:bottom w:val="single" w:sz="4" w:space="0" w:color="000000"/>
              <w:right w:val="single" w:sz="4" w:space="0" w:color="000000"/>
            </w:tcBorders>
            <w:hideMark/>
          </w:tcPr>
          <w:p w14:paraId="276E96E3"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3 PIR’s</w:t>
            </w:r>
          </w:p>
        </w:tc>
      </w:tr>
      <w:tr w:rsidR="007E0E95" w14:paraId="4A2F9088" w14:textId="77777777" w:rsidTr="007E0E95">
        <w:trPr>
          <w:trHeight w:val="551"/>
          <w:jc w:val="center"/>
        </w:trPr>
        <w:tc>
          <w:tcPr>
            <w:tcW w:w="3105" w:type="dxa"/>
            <w:tcBorders>
              <w:top w:val="single" w:sz="4" w:space="0" w:color="000000"/>
              <w:left w:val="single" w:sz="4" w:space="0" w:color="000000"/>
              <w:bottom w:val="single" w:sz="4" w:space="0" w:color="000000"/>
              <w:right w:val="single" w:sz="4" w:space="0" w:color="000000"/>
            </w:tcBorders>
            <w:hideMark/>
          </w:tcPr>
          <w:p w14:paraId="702721BC"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 xml:space="preserve">GEF Project Implementation Report (PIR) </w:t>
            </w:r>
          </w:p>
        </w:tc>
        <w:tc>
          <w:tcPr>
            <w:tcW w:w="1757" w:type="dxa"/>
            <w:tcBorders>
              <w:top w:val="single" w:sz="4" w:space="0" w:color="000000"/>
              <w:left w:val="single" w:sz="4" w:space="0" w:color="000000"/>
              <w:bottom w:val="single" w:sz="4" w:space="0" w:color="000000"/>
              <w:right w:val="single" w:sz="4" w:space="0" w:color="000000"/>
            </w:tcBorders>
            <w:hideMark/>
          </w:tcPr>
          <w:p w14:paraId="284627DA" w14:textId="77777777" w:rsidR="007E0E95" w:rsidRDefault="007E0E95">
            <w:pPr>
              <w:tabs>
                <w:tab w:val="left" w:pos="547"/>
              </w:tabs>
              <w:rPr>
                <w:rFonts w:asciiTheme="minorHAnsi" w:hAnsiTheme="minorHAnsi" w:cstheme="minorHAnsi"/>
                <w:color w:val="000000"/>
                <w:sz w:val="20"/>
                <w:szCs w:val="20"/>
              </w:rPr>
            </w:pPr>
            <w:r>
              <w:rPr>
                <w:rFonts w:asciiTheme="minorHAnsi" w:hAnsiTheme="minorHAnsi" w:cstheme="minorHAnsi"/>
                <w:color w:val="000000"/>
                <w:sz w:val="20"/>
                <w:szCs w:val="20"/>
              </w:rPr>
              <w:t>None</w:t>
            </w:r>
          </w:p>
        </w:tc>
        <w:tc>
          <w:tcPr>
            <w:tcW w:w="2788" w:type="dxa"/>
            <w:tcBorders>
              <w:top w:val="single" w:sz="4" w:space="0" w:color="000000"/>
              <w:left w:val="single" w:sz="4" w:space="0" w:color="000000"/>
              <w:bottom w:val="single" w:sz="4" w:space="0" w:color="000000"/>
              <w:right w:val="single" w:sz="4" w:space="0" w:color="000000"/>
            </w:tcBorders>
            <w:hideMark/>
          </w:tcPr>
          <w:p w14:paraId="2673A818"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Annually typically between June-August</w:t>
            </w:r>
          </w:p>
        </w:tc>
        <w:tc>
          <w:tcPr>
            <w:tcW w:w="2788" w:type="dxa"/>
            <w:tcBorders>
              <w:top w:val="single" w:sz="4" w:space="0" w:color="000000"/>
              <w:left w:val="single" w:sz="4" w:space="0" w:color="000000"/>
              <w:bottom w:val="single" w:sz="4" w:space="0" w:color="000000"/>
              <w:right w:val="single" w:sz="4" w:space="0" w:color="000000"/>
            </w:tcBorders>
            <w:hideMark/>
          </w:tcPr>
          <w:p w14:paraId="3E0468A6"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3 PIR’s</w:t>
            </w:r>
          </w:p>
        </w:tc>
      </w:tr>
      <w:tr w:rsidR="007E0E95" w14:paraId="15C2CB4C" w14:textId="77777777" w:rsidTr="007E0E95">
        <w:trPr>
          <w:trHeight w:val="717"/>
          <w:jc w:val="center"/>
        </w:trPr>
        <w:tc>
          <w:tcPr>
            <w:tcW w:w="3105" w:type="dxa"/>
            <w:tcBorders>
              <w:top w:val="single" w:sz="4" w:space="0" w:color="000000"/>
              <w:left w:val="single" w:sz="4" w:space="0" w:color="000000"/>
              <w:bottom w:val="single" w:sz="4" w:space="0" w:color="000000"/>
              <w:right w:val="single" w:sz="4" w:space="0" w:color="000000"/>
            </w:tcBorders>
            <w:hideMark/>
          </w:tcPr>
          <w:p w14:paraId="1DC87E49"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Monitoring all risks (UNDP risk register)</w:t>
            </w:r>
          </w:p>
        </w:tc>
        <w:tc>
          <w:tcPr>
            <w:tcW w:w="1757" w:type="dxa"/>
            <w:tcBorders>
              <w:top w:val="single" w:sz="4" w:space="0" w:color="000000"/>
              <w:left w:val="single" w:sz="4" w:space="0" w:color="000000"/>
              <w:bottom w:val="single" w:sz="4" w:space="0" w:color="000000"/>
              <w:right w:val="single" w:sz="4" w:space="0" w:color="000000"/>
            </w:tcBorders>
            <w:hideMark/>
          </w:tcPr>
          <w:p w14:paraId="2FA177EF"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None</w:t>
            </w:r>
          </w:p>
        </w:tc>
        <w:tc>
          <w:tcPr>
            <w:tcW w:w="2788" w:type="dxa"/>
            <w:tcBorders>
              <w:top w:val="single" w:sz="4" w:space="0" w:color="000000"/>
              <w:left w:val="single" w:sz="4" w:space="0" w:color="000000"/>
              <w:bottom w:val="single" w:sz="4" w:space="0" w:color="000000"/>
              <w:right w:val="single" w:sz="4" w:space="0" w:color="000000"/>
            </w:tcBorders>
            <w:hideMark/>
          </w:tcPr>
          <w:p w14:paraId="6082D541"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 xml:space="preserve">On-going. </w:t>
            </w:r>
          </w:p>
        </w:tc>
        <w:tc>
          <w:tcPr>
            <w:tcW w:w="2788" w:type="dxa"/>
            <w:tcBorders>
              <w:top w:val="single" w:sz="4" w:space="0" w:color="000000"/>
              <w:left w:val="single" w:sz="4" w:space="0" w:color="000000"/>
              <w:bottom w:val="single" w:sz="4" w:space="0" w:color="000000"/>
              <w:right w:val="single" w:sz="4" w:space="0" w:color="000000"/>
            </w:tcBorders>
          </w:tcPr>
          <w:p w14:paraId="163BF8C1" w14:textId="77777777" w:rsidR="007E0E95" w:rsidRDefault="007E0E95">
            <w:pPr>
              <w:rPr>
                <w:rFonts w:asciiTheme="minorHAnsi" w:hAnsiTheme="minorHAnsi" w:cstheme="minorHAnsi"/>
                <w:sz w:val="20"/>
                <w:szCs w:val="20"/>
              </w:rPr>
            </w:pPr>
          </w:p>
        </w:tc>
      </w:tr>
      <w:tr w:rsidR="007E0E95" w14:paraId="02238C32" w14:textId="77777777" w:rsidTr="007E0E95">
        <w:trPr>
          <w:trHeight w:val="271"/>
          <w:jc w:val="center"/>
        </w:trPr>
        <w:tc>
          <w:tcPr>
            <w:tcW w:w="3105" w:type="dxa"/>
            <w:tcBorders>
              <w:top w:val="single" w:sz="4" w:space="0" w:color="000000"/>
              <w:left w:val="single" w:sz="4" w:space="0" w:color="000000"/>
              <w:bottom w:val="single" w:sz="4" w:space="0" w:color="000000"/>
              <w:right w:val="single" w:sz="4" w:space="0" w:color="000000"/>
            </w:tcBorders>
            <w:hideMark/>
          </w:tcPr>
          <w:p w14:paraId="6CFDEB83"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Supervision missions</w:t>
            </w:r>
          </w:p>
        </w:tc>
        <w:tc>
          <w:tcPr>
            <w:tcW w:w="1757" w:type="dxa"/>
            <w:tcBorders>
              <w:top w:val="single" w:sz="4" w:space="0" w:color="000000"/>
              <w:left w:val="single" w:sz="4" w:space="0" w:color="000000"/>
              <w:bottom w:val="single" w:sz="4" w:space="0" w:color="000000"/>
              <w:right w:val="single" w:sz="4" w:space="0" w:color="000000"/>
            </w:tcBorders>
            <w:hideMark/>
          </w:tcPr>
          <w:p w14:paraId="6440F6AD" w14:textId="77777777" w:rsidR="007E0E95" w:rsidRDefault="007E0E95">
            <w:pPr>
              <w:tabs>
                <w:tab w:val="left" w:pos="547"/>
              </w:tabs>
              <w:rPr>
                <w:rFonts w:asciiTheme="minorHAnsi" w:hAnsiTheme="minorHAnsi" w:cstheme="minorHAnsi"/>
                <w:color w:val="000000"/>
                <w:sz w:val="20"/>
                <w:szCs w:val="20"/>
              </w:rPr>
            </w:pPr>
            <w:r>
              <w:rPr>
                <w:rFonts w:asciiTheme="minorHAnsi" w:hAnsiTheme="minorHAnsi" w:cstheme="minorHAnsi"/>
                <w:color w:val="000000"/>
                <w:sz w:val="20"/>
                <w:szCs w:val="20"/>
              </w:rPr>
              <w:t>None</w:t>
            </w:r>
            <w:r>
              <w:rPr>
                <w:rFonts w:asciiTheme="minorHAnsi" w:hAnsiTheme="minorHAnsi" w:cstheme="minorHAnsi"/>
                <w:b/>
                <w:color w:val="000000"/>
                <w:sz w:val="20"/>
                <w:szCs w:val="20"/>
                <w:vertAlign w:val="superscript"/>
              </w:rPr>
              <w:footnoteReference w:id="16"/>
            </w:r>
          </w:p>
        </w:tc>
        <w:tc>
          <w:tcPr>
            <w:tcW w:w="2788" w:type="dxa"/>
            <w:tcBorders>
              <w:top w:val="single" w:sz="4" w:space="0" w:color="000000"/>
              <w:left w:val="single" w:sz="4" w:space="0" w:color="000000"/>
              <w:bottom w:val="single" w:sz="4" w:space="0" w:color="000000"/>
              <w:right w:val="single" w:sz="4" w:space="0" w:color="000000"/>
            </w:tcBorders>
            <w:hideMark/>
          </w:tcPr>
          <w:p w14:paraId="2B442EE1"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Annually</w:t>
            </w:r>
          </w:p>
        </w:tc>
        <w:tc>
          <w:tcPr>
            <w:tcW w:w="2788" w:type="dxa"/>
            <w:tcBorders>
              <w:top w:val="single" w:sz="4" w:space="0" w:color="000000"/>
              <w:left w:val="single" w:sz="4" w:space="0" w:color="000000"/>
              <w:bottom w:val="single" w:sz="4" w:space="0" w:color="000000"/>
              <w:right w:val="single" w:sz="4" w:space="0" w:color="000000"/>
            </w:tcBorders>
          </w:tcPr>
          <w:p w14:paraId="71C73405" w14:textId="77777777" w:rsidR="007E0E95" w:rsidRDefault="007E0E95">
            <w:pPr>
              <w:rPr>
                <w:rFonts w:asciiTheme="minorHAnsi" w:hAnsiTheme="minorHAnsi" w:cstheme="minorHAnsi"/>
                <w:sz w:val="20"/>
                <w:szCs w:val="20"/>
              </w:rPr>
            </w:pPr>
          </w:p>
        </w:tc>
      </w:tr>
      <w:tr w:rsidR="007E0E95" w14:paraId="1B3F3144" w14:textId="77777777" w:rsidTr="007E0E95">
        <w:trPr>
          <w:trHeight w:val="417"/>
          <w:jc w:val="center"/>
        </w:trPr>
        <w:tc>
          <w:tcPr>
            <w:tcW w:w="3105" w:type="dxa"/>
            <w:tcBorders>
              <w:top w:val="single" w:sz="4" w:space="0" w:color="000000"/>
              <w:left w:val="single" w:sz="4" w:space="0" w:color="000000"/>
              <w:bottom w:val="single" w:sz="4" w:space="0" w:color="000000"/>
              <w:right w:val="single" w:sz="4" w:space="0" w:color="000000"/>
            </w:tcBorders>
            <w:hideMark/>
          </w:tcPr>
          <w:p w14:paraId="28C60EB1" w14:textId="77777777" w:rsidR="007E0E95" w:rsidRDefault="007E0E95">
            <w:pPr>
              <w:rPr>
                <w:rFonts w:asciiTheme="minorHAnsi" w:hAnsiTheme="minorHAnsi" w:cstheme="minorHAnsi"/>
                <w:b/>
                <w:sz w:val="20"/>
                <w:szCs w:val="20"/>
              </w:rPr>
            </w:pPr>
            <w:bookmarkStart w:id="43" w:name="_heading=h.2bn6wsx"/>
            <w:bookmarkEnd w:id="43"/>
            <w:r>
              <w:rPr>
                <w:rFonts w:asciiTheme="minorHAnsi" w:hAnsiTheme="minorHAnsi" w:cstheme="minorHAnsi"/>
                <w:b/>
                <w:sz w:val="20"/>
                <w:szCs w:val="20"/>
              </w:rPr>
              <w:t>Independent Mid-term Review (MTR)</w:t>
            </w:r>
          </w:p>
        </w:tc>
        <w:tc>
          <w:tcPr>
            <w:tcW w:w="1757" w:type="dxa"/>
            <w:tcBorders>
              <w:top w:val="single" w:sz="4" w:space="0" w:color="000000"/>
              <w:left w:val="single" w:sz="4" w:space="0" w:color="000000"/>
              <w:bottom w:val="single" w:sz="4" w:space="0" w:color="000000"/>
              <w:right w:val="single" w:sz="4" w:space="0" w:color="000000"/>
            </w:tcBorders>
            <w:hideMark/>
          </w:tcPr>
          <w:p w14:paraId="512E5C71"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30,000</w:t>
            </w:r>
          </w:p>
        </w:tc>
        <w:tc>
          <w:tcPr>
            <w:tcW w:w="2788" w:type="dxa"/>
            <w:tcBorders>
              <w:top w:val="single" w:sz="4" w:space="0" w:color="000000"/>
              <w:left w:val="single" w:sz="4" w:space="0" w:color="000000"/>
              <w:bottom w:val="single" w:sz="4" w:space="0" w:color="000000"/>
              <w:right w:val="single" w:sz="4" w:space="0" w:color="000000"/>
            </w:tcBorders>
            <w:hideMark/>
          </w:tcPr>
          <w:p w14:paraId="7A9D381C"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15 October 2023</w:t>
            </w:r>
          </w:p>
        </w:tc>
        <w:tc>
          <w:tcPr>
            <w:tcW w:w="2788" w:type="dxa"/>
            <w:tcBorders>
              <w:top w:val="single" w:sz="4" w:space="0" w:color="000000"/>
              <w:left w:val="single" w:sz="4" w:space="0" w:color="000000"/>
              <w:bottom w:val="single" w:sz="4" w:space="0" w:color="000000"/>
              <w:right w:val="single" w:sz="4" w:space="0" w:color="000000"/>
            </w:tcBorders>
            <w:hideMark/>
          </w:tcPr>
          <w:p w14:paraId="7C7E7AF0"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1 MTR</w:t>
            </w:r>
          </w:p>
        </w:tc>
      </w:tr>
      <w:tr w:rsidR="007E0E95" w14:paraId="4CD3E5F3" w14:textId="77777777" w:rsidTr="007E0E95">
        <w:trPr>
          <w:trHeight w:val="408"/>
          <w:jc w:val="center"/>
        </w:trPr>
        <w:tc>
          <w:tcPr>
            <w:tcW w:w="3105" w:type="dxa"/>
            <w:tcBorders>
              <w:top w:val="single" w:sz="4" w:space="0" w:color="000000"/>
              <w:left w:val="single" w:sz="4" w:space="0" w:color="000000"/>
              <w:bottom w:val="single" w:sz="4" w:space="0" w:color="000000"/>
              <w:right w:val="single" w:sz="4" w:space="0" w:color="000000"/>
            </w:tcBorders>
            <w:hideMark/>
          </w:tcPr>
          <w:p w14:paraId="6251BCB7" w14:textId="77777777" w:rsidR="007E0E95" w:rsidRDefault="007E0E95">
            <w:pPr>
              <w:rPr>
                <w:rFonts w:asciiTheme="minorHAnsi" w:hAnsiTheme="minorHAnsi" w:cstheme="minorHAnsi"/>
                <w:b/>
                <w:sz w:val="20"/>
                <w:szCs w:val="20"/>
              </w:rPr>
            </w:pPr>
            <w:r>
              <w:rPr>
                <w:rFonts w:asciiTheme="minorHAnsi" w:hAnsiTheme="minorHAnsi" w:cstheme="minorHAnsi"/>
                <w:b/>
                <w:sz w:val="20"/>
                <w:szCs w:val="20"/>
              </w:rPr>
              <w:t xml:space="preserve">Independent Terminal Evaluation (TE) </w:t>
            </w:r>
          </w:p>
        </w:tc>
        <w:tc>
          <w:tcPr>
            <w:tcW w:w="1757" w:type="dxa"/>
            <w:tcBorders>
              <w:top w:val="single" w:sz="4" w:space="0" w:color="000000"/>
              <w:left w:val="single" w:sz="4" w:space="0" w:color="000000"/>
              <w:bottom w:val="single" w:sz="4" w:space="0" w:color="000000"/>
              <w:right w:val="single" w:sz="4" w:space="0" w:color="000000"/>
            </w:tcBorders>
            <w:hideMark/>
          </w:tcPr>
          <w:p w14:paraId="74C1AF77" w14:textId="77777777" w:rsidR="007E0E95" w:rsidRDefault="007E0E95">
            <w:pPr>
              <w:tabs>
                <w:tab w:val="center" w:pos="1216"/>
              </w:tabs>
              <w:rPr>
                <w:rFonts w:asciiTheme="minorHAnsi" w:hAnsiTheme="minorHAnsi" w:cstheme="minorHAnsi"/>
                <w:sz w:val="20"/>
                <w:szCs w:val="20"/>
              </w:rPr>
            </w:pPr>
            <w:r>
              <w:rPr>
                <w:rFonts w:asciiTheme="minorHAnsi" w:hAnsiTheme="minorHAnsi" w:cstheme="minorHAnsi"/>
                <w:sz w:val="20"/>
                <w:szCs w:val="20"/>
              </w:rPr>
              <w:t>30,000</w:t>
            </w:r>
          </w:p>
        </w:tc>
        <w:tc>
          <w:tcPr>
            <w:tcW w:w="2788" w:type="dxa"/>
            <w:tcBorders>
              <w:top w:val="single" w:sz="4" w:space="0" w:color="000000"/>
              <w:left w:val="single" w:sz="4" w:space="0" w:color="000000"/>
              <w:bottom w:val="single" w:sz="4" w:space="0" w:color="000000"/>
              <w:right w:val="single" w:sz="4" w:space="0" w:color="000000"/>
            </w:tcBorders>
            <w:hideMark/>
          </w:tcPr>
          <w:p w14:paraId="45755327"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15 July 2025</w:t>
            </w:r>
          </w:p>
        </w:tc>
        <w:tc>
          <w:tcPr>
            <w:tcW w:w="2788" w:type="dxa"/>
            <w:tcBorders>
              <w:top w:val="single" w:sz="4" w:space="0" w:color="000000"/>
              <w:left w:val="single" w:sz="4" w:space="0" w:color="000000"/>
              <w:bottom w:val="single" w:sz="4" w:space="0" w:color="000000"/>
              <w:right w:val="single" w:sz="4" w:space="0" w:color="000000"/>
            </w:tcBorders>
            <w:hideMark/>
          </w:tcPr>
          <w:p w14:paraId="4103E0CD" w14:textId="77777777" w:rsidR="007E0E95" w:rsidRDefault="007E0E95">
            <w:pPr>
              <w:rPr>
                <w:rFonts w:asciiTheme="minorHAnsi" w:hAnsiTheme="minorHAnsi" w:cstheme="minorHAnsi"/>
                <w:sz w:val="20"/>
                <w:szCs w:val="20"/>
              </w:rPr>
            </w:pPr>
            <w:r>
              <w:rPr>
                <w:rFonts w:asciiTheme="minorHAnsi" w:hAnsiTheme="minorHAnsi" w:cstheme="minorHAnsi"/>
                <w:sz w:val="20"/>
                <w:szCs w:val="20"/>
              </w:rPr>
              <w:t>1 TE</w:t>
            </w:r>
          </w:p>
        </w:tc>
      </w:tr>
      <w:tr w:rsidR="007E0E95" w14:paraId="3096D893" w14:textId="77777777" w:rsidTr="007E0E95">
        <w:trPr>
          <w:trHeight w:val="415"/>
          <w:jc w:val="center"/>
        </w:trPr>
        <w:tc>
          <w:tcPr>
            <w:tcW w:w="310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8296E12" w14:textId="77777777" w:rsidR="007E0E95" w:rsidRDefault="007E0E95">
            <w:pPr>
              <w:rPr>
                <w:rFonts w:asciiTheme="minorHAnsi" w:hAnsiTheme="minorHAnsi" w:cstheme="minorHAnsi"/>
                <w:b/>
                <w:sz w:val="20"/>
                <w:szCs w:val="20"/>
                <w:lang w:val="hr-HR"/>
              </w:rPr>
            </w:pPr>
            <w:r>
              <w:rPr>
                <w:rFonts w:asciiTheme="minorHAnsi" w:hAnsiTheme="minorHAnsi" w:cstheme="minorHAnsi"/>
                <w:b/>
                <w:sz w:val="20"/>
                <w:szCs w:val="20"/>
                <w:lang w:val="hr-HR"/>
              </w:rPr>
              <w:t xml:space="preserve">TOTAL </w:t>
            </w:r>
            <w:r>
              <w:rPr>
                <w:rFonts w:asciiTheme="minorHAnsi" w:hAnsiTheme="minorHAnsi" w:cstheme="minorHAnsi"/>
                <w:b/>
                <w:sz w:val="20"/>
                <w:szCs w:val="20"/>
                <w:lang w:val="en-GB"/>
              </w:rPr>
              <w:t>indicative C</w:t>
            </w:r>
            <w:r>
              <w:rPr>
                <w:rFonts w:asciiTheme="minorHAnsi" w:hAnsiTheme="minorHAnsi" w:cstheme="minorHAnsi"/>
                <w:b/>
                <w:sz w:val="20"/>
                <w:szCs w:val="20"/>
                <w:lang w:val="hr-HR"/>
              </w:rPr>
              <w:t>OST</w:t>
            </w:r>
          </w:p>
          <w:p w14:paraId="68709DBA" w14:textId="77777777" w:rsidR="007E0E95" w:rsidRDefault="007E0E95">
            <w:pPr>
              <w:rPr>
                <w:rFonts w:asciiTheme="minorHAnsi" w:hAnsiTheme="minorHAnsi" w:cstheme="minorHAnsi"/>
                <w:b/>
                <w:sz w:val="20"/>
                <w:szCs w:val="20"/>
                <w:lang w:val="hr-HR"/>
              </w:rPr>
            </w:pPr>
          </w:p>
        </w:tc>
        <w:tc>
          <w:tcPr>
            <w:tcW w:w="1757" w:type="dxa"/>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435FC5B5" w14:textId="77777777" w:rsidR="007E0E95" w:rsidRDefault="007E0E95">
            <w:pPr>
              <w:tabs>
                <w:tab w:val="center" w:pos="1216"/>
              </w:tabs>
              <w:rPr>
                <w:rFonts w:asciiTheme="minorHAnsi" w:hAnsiTheme="minorHAnsi" w:cstheme="minorHAnsi"/>
                <w:sz w:val="20"/>
                <w:szCs w:val="20"/>
                <w:lang w:val="hr-HR"/>
              </w:rPr>
            </w:pPr>
            <w:r>
              <w:rPr>
                <w:rFonts w:asciiTheme="minorHAnsi" w:hAnsiTheme="minorHAnsi" w:cstheme="minorHAnsi"/>
                <w:sz w:val="20"/>
                <w:szCs w:val="20"/>
                <w:lang w:val="hr-HR"/>
              </w:rPr>
              <w:t>80,000</w:t>
            </w:r>
          </w:p>
        </w:tc>
        <w:tc>
          <w:tcPr>
            <w:tcW w:w="278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C308220" w14:textId="77777777" w:rsidR="007E0E95" w:rsidRDefault="007E0E95">
            <w:pPr>
              <w:rPr>
                <w:rFonts w:asciiTheme="minorHAnsi" w:hAnsiTheme="minorHAnsi" w:cstheme="minorHAnsi"/>
                <w:sz w:val="20"/>
                <w:szCs w:val="20"/>
              </w:rPr>
            </w:pPr>
          </w:p>
        </w:tc>
        <w:tc>
          <w:tcPr>
            <w:tcW w:w="278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BFCE980" w14:textId="77777777" w:rsidR="007E0E95" w:rsidRDefault="007E0E95">
            <w:pPr>
              <w:rPr>
                <w:rFonts w:asciiTheme="minorHAnsi" w:hAnsiTheme="minorHAnsi" w:cstheme="minorHAnsi"/>
                <w:sz w:val="20"/>
                <w:szCs w:val="20"/>
              </w:rPr>
            </w:pPr>
          </w:p>
        </w:tc>
      </w:tr>
    </w:tbl>
    <w:p w14:paraId="25FF49A8" w14:textId="77777777" w:rsidR="007E0E95" w:rsidRDefault="007E0E95" w:rsidP="007E0E95">
      <w:pPr>
        <w:rPr>
          <w:rFonts w:cs="Arial"/>
          <w:b/>
          <w:bCs/>
          <w:szCs w:val="20"/>
        </w:rPr>
      </w:pPr>
      <w:r>
        <w:rPr>
          <w:rFonts w:cs="Arial"/>
          <w:b/>
          <w:bCs/>
          <w:szCs w:val="20"/>
        </w:rPr>
        <w:br w:type="page"/>
      </w:r>
    </w:p>
    <w:p w14:paraId="49634052" w14:textId="77777777" w:rsidR="007E0E95" w:rsidRPr="007E0E95" w:rsidRDefault="007E0E95" w:rsidP="007E0E95">
      <w:pPr>
        <w:rPr>
          <w:lang w:eastAsia="en-US"/>
        </w:rPr>
      </w:pPr>
    </w:p>
    <w:p w14:paraId="1C18A689" w14:textId="365C4012" w:rsidR="007E0E95" w:rsidRDefault="007E0E95" w:rsidP="00F373B7">
      <w:pPr>
        <w:pStyle w:val="Heading1"/>
        <w:spacing w:before="0" w:after="0"/>
        <w:jc w:val="left"/>
        <w:rPr>
          <w:rFonts w:ascii="Calibri" w:eastAsia="SimSun" w:hAnsi="Calibri"/>
        </w:rPr>
      </w:pPr>
      <w:bookmarkStart w:id="44" w:name="_Toc46749082"/>
      <w:bookmarkStart w:id="45" w:name="_Toc115094387"/>
      <w:r>
        <w:rPr>
          <w:rFonts w:ascii="Calibri" w:eastAsia="SimSun" w:hAnsi="Calibri"/>
        </w:rPr>
        <w:t>Governance and Management Arrangements</w:t>
      </w:r>
      <w:bookmarkEnd w:id="44"/>
      <w:bookmarkEnd w:id="45"/>
      <w:r>
        <w:rPr>
          <w:rFonts w:ascii="Calibri" w:eastAsia="SimSun" w:hAnsi="Calibri"/>
        </w:rPr>
        <w:t xml:space="preserve"> </w:t>
      </w:r>
    </w:p>
    <w:p w14:paraId="0C12C5B7" w14:textId="77777777" w:rsidR="00F373B7" w:rsidRPr="00F373B7" w:rsidRDefault="00F373B7" w:rsidP="00F373B7">
      <w:pPr>
        <w:rPr>
          <w:lang w:eastAsia="en-US"/>
        </w:rPr>
      </w:pPr>
    </w:p>
    <w:p w14:paraId="4A79BD50" w14:textId="36FC3A28" w:rsidR="00F373B7" w:rsidRDefault="00F373B7" w:rsidP="00F373B7">
      <w:pPr>
        <w:pStyle w:val="Heading2"/>
        <w:rPr>
          <w:rFonts w:asciiTheme="minorHAnsi" w:hAnsiTheme="minorHAnsi" w:cstheme="minorHAnsi"/>
          <w:b/>
          <w:bCs/>
          <w:color w:val="000000" w:themeColor="text1"/>
          <w:sz w:val="32"/>
          <w:szCs w:val="32"/>
        </w:rPr>
      </w:pPr>
      <w:bookmarkStart w:id="46" w:name="_Toc115094388"/>
      <w:r>
        <w:rPr>
          <w:rFonts w:asciiTheme="minorHAnsi" w:hAnsiTheme="minorHAnsi" w:cstheme="minorHAnsi"/>
          <w:b/>
          <w:bCs/>
          <w:color w:val="000000" w:themeColor="text1"/>
          <w:sz w:val="32"/>
          <w:szCs w:val="32"/>
        </w:rPr>
        <w:t>6.1</w:t>
      </w:r>
      <w:r w:rsidRPr="0075012D">
        <w:rPr>
          <w:rFonts w:asciiTheme="minorHAnsi" w:hAnsiTheme="minorHAnsi" w:cstheme="minorHAnsi"/>
          <w:b/>
          <w:bCs/>
          <w:color w:val="000000" w:themeColor="text1"/>
          <w:sz w:val="32"/>
          <w:szCs w:val="32"/>
        </w:rPr>
        <w:t>.</w:t>
      </w:r>
      <w:r w:rsidRPr="0075012D">
        <w:rPr>
          <w:rFonts w:asciiTheme="minorHAnsi" w:hAnsiTheme="minorHAnsi" w:cstheme="minorHAnsi"/>
          <w:b/>
          <w:bCs/>
          <w:color w:val="000000" w:themeColor="text1"/>
          <w:sz w:val="32"/>
          <w:szCs w:val="32"/>
        </w:rPr>
        <w:tab/>
      </w:r>
      <w:r w:rsidRPr="00F373B7">
        <w:rPr>
          <w:rFonts w:asciiTheme="minorHAnsi" w:hAnsiTheme="minorHAnsi" w:cstheme="minorHAnsi"/>
          <w:b/>
          <w:bCs/>
          <w:color w:val="000000" w:themeColor="text1"/>
          <w:sz w:val="32"/>
          <w:szCs w:val="32"/>
        </w:rPr>
        <w:t>Roles and responsibilities of the project’s governance mechanism</w:t>
      </w:r>
      <w:bookmarkEnd w:id="46"/>
    </w:p>
    <w:p w14:paraId="644E994E" w14:textId="77777777" w:rsidR="00F373B7" w:rsidRDefault="00F373B7" w:rsidP="00F373B7">
      <w:pPr>
        <w:jc w:val="both"/>
        <w:rPr>
          <w:rFonts w:asciiTheme="minorHAnsi" w:hAnsiTheme="minorHAnsi" w:cstheme="minorHAnsi"/>
          <w:color w:val="000000"/>
          <w:sz w:val="22"/>
          <w:szCs w:val="22"/>
          <w:lang w:val="en-GB"/>
        </w:rPr>
      </w:pPr>
    </w:p>
    <w:p w14:paraId="501B1892" w14:textId="0094B774" w:rsidR="00F373B7" w:rsidRDefault="00F373B7" w:rsidP="00F373B7">
      <w:pPr>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UNDP and </w:t>
      </w:r>
      <w:sdt>
        <w:sdtPr>
          <w:rPr>
            <w:rFonts w:asciiTheme="minorHAnsi" w:hAnsiTheme="minorHAnsi" w:cstheme="minorHAnsi"/>
            <w:lang w:val="en-GB"/>
          </w:rPr>
          <w:tag w:val="goog_rdk_1370"/>
          <w:id w:val="-742254986"/>
        </w:sdtPr>
        <w:sdtEndPr/>
        <w:sdtContent>
          <w:r>
            <w:rPr>
              <w:rFonts w:asciiTheme="minorHAnsi" w:hAnsiTheme="minorHAnsi" w:cstheme="minorHAnsi"/>
              <w:color w:val="000000"/>
              <w:sz w:val="22"/>
              <w:szCs w:val="22"/>
              <w:lang w:val="en-GB"/>
            </w:rPr>
            <w:t>UNEP</w:t>
          </w:r>
        </w:sdtContent>
      </w:sdt>
      <w:r>
        <w:rPr>
          <w:rFonts w:asciiTheme="minorHAnsi" w:hAnsiTheme="minorHAnsi" w:cstheme="minorHAnsi"/>
          <w:color w:val="000000"/>
          <w:sz w:val="22"/>
          <w:szCs w:val="22"/>
          <w:lang w:val="en-GB"/>
        </w:rPr>
        <w:t xml:space="preserve"> will collaborate to supervise the implementation of their respective sub-components in the project and will ensure consistency with GEF policies and procedures. </w:t>
      </w:r>
      <w:r>
        <w:rPr>
          <w:rFonts w:asciiTheme="minorHAnsi" w:hAnsiTheme="minorHAnsi" w:cstheme="minorHAnsi"/>
          <w:color w:val="000000"/>
          <w:sz w:val="22"/>
          <w:szCs w:val="22"/>
          <w:highlight w:val="yellow"/>
          <w:lang w:val="en-GB"/>
        </w:rPr>
        <w:t xml:space="preserve">UNDP Bureau for Policy and Programme Support, Nature Climate and Energy (HQ/BPPS/NCE) </w:t>
      </w:r>
      <w:r>
        <w:rPr>
          <w:rFonts w:asciiTheme="minorHAnsi" w:hAnsiTheme="minorHAnsi" w:cstheme="minorHAnsi"/>
          <w:color w:val="000000"/>
          <w:sz w:val="22"/>
          <w:szCs w:val="22"/>
          <w:lang w:val="en-GB"/>
        </w:rPr>
        <w:t xml:space="preserve"> will act as the lead UNDP office for components/sub-components under UNDP oversight (1.1, 1.2, 1.3, 1.4, 2.1, 2.2, 2.3, 3.2, 3.3, 4.1, 4.2, 4.3.1, 4.3.2, 4.4, 5.1, 5.2, 5.3, 6.1, PMC)., and will be responsible for project supervision through UN Agency execution modality with the Intergovernmental Oceanographic Commission of UNESCO, who is serving as Implementing Partner for the project. UNDP will be represented at the Project Steering Committee by the </w:t>
      </w:r>
      <w:r>
        <w:rPr>
          <w:rFonts w:asciiTheme="minorHAnsi" w:hAnsiTheme="minorHAnsi" w:cstheme="minorHAnsi"/>
          <w:color w:val="000000"/>
          <w:sz w:val="22"/>
          <w:szCs w:val="22"/>
          <w:highlight w:val="yellow"/>
          <w:lang w:val="en-GB"/>
        </w:rPr>
        <w:t>BRH Manager who will be accompanied by the IRH UNDP GEF International Waters Regional Technical Advisor</w:t>
      </w:r>
      <w:r>
        <w:rPr>
          <w:rFonts w:asciiTheme="minorHAnsi" w:hAnsiTheme="minorHAnsi" w:cstheme="minorHAnsi"/>
          <w:color w:val="000000"/>
          <w:sz w:val="22"/>
          <w:szCs w:val="22"/>
          <w:lang w:val="en-GB"/>
        </w:rPr>
        <w:t xml:space="preserve">.. </w:t>
      </w:r>
    </w:p>
    <w:p w14:paraId="3A8A8323" w14:textId="77777777" w:rsidR="00F373B7" w:rsidRDefault="00F373B7" w:rsidP="00F373B7">
      <w:pPr>
        <w:jc w:val="both"/>
        <w:rPr>
          <w:rFonts w:asciiTheme="minorHAnsi" w:hAnsiTheme="minorHAnsi" w:cstheme="minorHAnsi"/>
          <w:color w:val="000000"/>
          <w:sz w:val="22"/>
          <w:szCs w:val="22"/>
          <w:lang w:val="en-GB"/>
        </w:rPr>
      </w:pPr>
    </w:p>
    <w:p w14:paraId="6ED5B758" w14:textId="77777777" w:rsidR="00F373B7" w:rsidRDefault="00F373B7" w:rsidP="00F373B7">
      <w:pPr>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UNEP GEF International Waters Ecosystem Division will act as the lead UNEP office for components/sub-components under UNEP oversight (3.1, 3.4, 4.3.3), and will be responsible for project supervision through an execution modality with the Intergovernmental Oceanographic Commission of UNESCO. UNEP will be represented at the project Steering Committee by the UNEP Task Manager. </w:t>
      </w:r>
    </w:p>
    <w:p w14:paraId="17E79ED0" w14:textId="77777777" w:rsidR="00F373B7" w:rsidRDefault="00F373B7" w:rsidP="00F373B7">
      <w:pPr>
        <w:shd w:val="clear" w:color="auto" w:fill="FFFFFF"/>
        <w:jc w:val="both"/>
        <w:rPr>
          <w:rFonts w:asciiTheme="minorHAnsi" w:hAnsiTheme="minorHAnsi" w:cstheme="minorHAnsi"/>
          <w:color w:val="000000"/>
          <w:sz w:val="22"/>
          <w:szCs w:val="22"/>
        </w:rPr>
      </w:pPr>
    </w:p>
    <w:p w14:paraId="2BC43E25"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UNDP’s and UNEP's monitoring and reporting obligations will be limited to their own respective sub-components. Likewise, UNDP will have (sole) project assurance role on all the components for which UNDP is accountable as GEF agency. Correspondingly, UNEP will have (sole) project assurance role on all the components for which UNEP is accountable as GEF agency.</w:t>
      </w:r>
    </w:p>
    <w:p w14:paraId="2290EE34" w14:textId="77777777" w:rsidR="00F373B7" w:rsidRDefault="00F373B7" w:rsidP="00F373B7">
      <w:pPr>
        <w:shd w:val="clear" w:color="auto" w:fill="FFFFFF"/>
        <w:jc w:val="both"/>
        <w:rPr>
          <w:rFonts w:asciiTheme="minorHAnsi" w:hAnsiTheme="minorHAnsi" w:cstheme="minorHAnsi"/>
          <w:color w:val="000000"/>
          <w:sz w:val="22"/>
          <w:szCs w:val="22"/>
        </w:rPr>
      </w:pPr>
    </w:p>
    <w:p w14:paraId="2D0F15C9" w14:textId="77777777" w:rsidR="00F373B7" w:rsidRDefault="00F373B7" w:rsidP="00F373B7">
      <w:pPr>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The Implementing Partner for this project is Intergovernmental Oceanographic Commission of UNESCO (IOC – UNESCO) for all Components, for both UNDP and UNEP. </w:t>
      </w:r>
    </w:p>
    <w:p w14:paraId="36C39224" w14:textId="77777777" w:rsidR="00F373B7" w:rsidRDefault="00F373B7" w:rsidP="00F373B7">
      <w:pPr>
        <w:jc w:val="both"/>
        <w:rPr>
          <w:rFonts w:asciiTheme="minorHAnsi" w:hAnsiTheme="minorHAnsi" w:cstheme="minorHAnsi"/>
          <w:color w:val="000000"/>
          <w:sz w:val="22"/>
          <w:szCs w:val="22"/>
          <w:lang w:val="en-GB"/>
        </w:rPr>
      </w:pPr>
    </w:p>
    <w:p w14:paraId="07CA4BEB" w14:textId="77777777" w:rsidR="00F373B7" w:rsidRDefault="00F373B7" w:rsidP="00F373B7">
      <w:pPr>
        <w:jc w:val="both"/>
        <w:rPr>
          <w:rFonts w:asciiTheme="minorHAnsi" w:hAnsiTheme="minorHAnsi" w:cs="Arial"/>
          <w:sz w:val="22"/>
          <w:szCs w:val="22"/>
          <w:lang w:val="en-GB" w:eastAsia="zh-CN"/>
        </w:rPr>
      </w:pPr>
      <w:r>
        <w:rPr>
          <w:rFonts w:asciiTheme="minorHAnsi" w:hAnsiTheme="minorHAnsi" w:cs="Arial"/>
          <w:sz w:val="22"/>
          <w:szCs w:val="22"/>
          <w:lang w:val="en-GB" w:eastAsia="zh-CN"/>
        </w:rPr>
        <w:t xml:space="preserve">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 </w:t>
      </w:r>
    </w:p>
    <w:p w14:paraId="76CF2BDE" w14:textId="77777777" w:rsidR="00F373B7" w:rsidRDefault="00F373B7" w:rsidP="00F373B7">
      <w:pPr>
        <w:jc w:val="both"/>
        <w:rPr>
          <w:rFonts w:asciiTheme="minorHAnsi" w:hAnsiTheme="minorHAnsi" w:cs="Arial"/>
          <w:sz w:val="22"/>
          <w:szCs w:val="22"/>
          <w:lang w:val="en-GB" w:eastAsia="zh-CN"/>
        </w:rPr>
      </w:pPr>
    </w:p>
    <w:p w14:paraId="04D2D804" w14:textId="77777777" w:rsidR="00F373B7" w:rsidRDefault="00F373B7" w:rsidP="00F373B7">
      <w:pPr>
        <w:jc w:val="both"/>
        <w:rPr>
          <w:rFonts w:asciiTheme="minorHAnsi" w:hAnsiTheme="minorHAnsi" w:cstheme="minorHAnsi"/>
          <w:sz w:val="22"/>
          <w:szCs w:val="22"/>
        </w:rPr>
      </w:pPr>
      <w:r>
        <w:rPr>
          <w:rFonts w:asciiTheme="minorHAnsi" w:hAnsiTheme="minorHAnsi" w:cs="Arial"/>
          <w:sz w:val="22"/>
          <w:szCs w:val="22"/>
          <w:lang w:val="en-GB" w:eastAsia="zh-CN"/>
        </w:rPr>
        <w:t>The Implementing Partner is responsible for executing this project. Specific tasks include:</w:t>
      </w:r>
    </w:p>
    <w:p w14:paraId="27B5C861" w14:textId="77777777" w:rsidR="00F373B7" w:rsidRDefault="00F373B7" w:rsidP="00F373B7">
      <w:pPr>
        <w:numPr>
          <w:ilvl w:val="0"/>
          <w:numId w:val="82"/>
        </w:numPr>
        <w:jc w:val="both"/>
        <w:rPr>
          <w:rFonts w:asciiTheme="minorHAnsi" w:hAnsiTheme="minorHAnsi" w:cstheme="minorHAnsi"/>
          <w:sz w:val="22"/>
          <w:szCs w:val="22"/>
        </w:rPr>
      </w:pPr>
      <w:r>
        <w:rPr>
          <w:rFonts w:asciiTheme="minorHAnsi" w:hAnsiTheme="minorHAnsi" w:cstheme="minorHAnsi"/>
          <w:sz w:val="22"/>
          <w:szCs w:val="22"/>
        </w:rPr>
        <w:t xml:space="preserve">Project planning, coordination, management, monitoring, evaluation and reporting.  This includes providing all required information and data necessary for timely, comprehensive and evidence-based project reporting, including results and financial data, as necessary. The EA will strive to ensure project-level M&amp;E is undertaken by national institutes and is aligned with national systems so that the data used and generated by the project supports national systems. </w:t>
      </w:r>
    </w:p>
    <w:p w14:paraId="03D4EA30" w14:textId="77777777" w:rsidR="00F373B7" w:rsidRDefault="00F373B7" w:rsidP="00F373B7">
      <w:pPr>
        <w:numPr>
          <w:ilvl w:val="0"/>
          <w:numId w:val="82"/>
        </w:numPr>
        <w:jc w:val="both"/>
        <w:rPr>
          <w:rFonts w:asciiTheme="minorHAnsi" w:hAnsiTheme="minorHAnsi" w:cstheme="minorHAnsi"/>
          <w:color w:val="000000"/>
          <w:sz w:val="22"/>
          <w:szCs w:val="22"/>
        </w:rPr>
      </w:pPr>
      <w:r>
        <w:rPr>
          <w:rFonts w:asciiTheme="minorHAnsi" w:hAnsiTheme="minorHAnsi" w:cstheme="minorHAnsi"/>
          <w:color w:val="000000"/>
          <w:sz w:val="22"/>
          <w:szCs w:val="22"/>
        </w:rPr>
        <w:t>Risk management as outlined in this Project Document;</w:t>
      </w:r>
    </w:p>
    <w:p w14:paraId="1A28E8B7" w14:textId="77777777" w:rsidR="00F373B7" w:rsidRDefault="00F373B7" w:rsidP="00F373B7">
      <w:pPr>
        <w:numPr>
          <w:ilvl w:val="0"/>
          <w:numId w:val="82"/>
        </w:numPr>
        <w:jc w:val="both"/>
        <w:rPr>
          <w:rFonts w:asciiTheme="minorHAnsi" w:hAnsiTheme="minorHAnsi" w:cstheme="minorHAnsi"/>
          <w:color w:val="000000"/>
          <w:sz w:val="22"/>
          <w:szCs w:val="22"/>
        </w:rPr>
      </w:pPr>
      <w:r>
        <w:rPr>
          <w:rFonts w:asciiTheme="minorHAnsi" w:hAnsiTheme="minorHAnsi" w:cstheme="minorHAnsi"/>
          <w:color w:val="000000"/>
          <w:sz w:val="22"/>
          <w:szCs w:val="22"/>
        </w:rPr>
        <w:t>Procurement of goods and services, including human resources;</w:t>
      </w:r>
    </w:p>
    <w:p w14:paraId="2E746D94" w14:textId="77777777" w:rsidR="00F373B7" w:rsidRDefault="00F373B7" w:rsidP="00F373B7">
      <w:pPr>
        <w:numPr>
          <w:ilvl w:val="0"/>
          <w:numId w:val="82"/>
        </w:numPr>
        <w:jc w:val="both"/>
        <w:rPr>
          <w:rFonts w:asciiTheme="minorHAnsi" w:hAnsiTheme="minorHAnsi" w:cstheme="minorHAnsi"/>
          <w:color w:val="000000"/>
          <w:sz w:val="22"/>
          <w:szCs w:val="22"/>
        </w:rPr>
      </w:pPr>
      <w:r>
        <w:rPr>
          <w:rFonts w:asciiTheme="minorHAnsi" w:hAnsiTheme="minorHAnsi" w:cstheme="minorHAnsi"/>
          <w:color w:val="000000"/>
          <w:sz w:val="22"/>
          <w:szCs w:val="22"/>
        </w:rPr>
        <w:t>Financial management, including overseeing financial expenditures against project budgets;</w:t>
      </w:r>
    </w:p>
    <w:p w14:paraId="439C89FA" w14:textId="77777777" w:rsidR="00F373B7" w:rsidRDefault="00F373B7" w:rsidP="00F373B7">
      <w:pPr>
        <w:numPr>
          <w:ilvl w:val="0"/>
          <w:numId w:val="82"/>
        </w:numPr>
        <w:jc w:val="both"/>
        <w:rPr>
          <w:rFonts w:asciiTheme="minorHAnsi" w:hAnsiTheme="minorHAnsi" w:cstheme="minorHAnsi"/>
          <w:color w:val="000000"/>
          <w:sz w:val="22"/>
          <w:szCs w:val="22"/>
        </w:rPr>
      </w:pPr>
      <w:r>
        <w:rPr>
          <w:rFonts w:asciiTheme="minorHAnsi" w:hAnsiTheme="minorHAnsi" w:cstheme="minorHAnsi"/>
          <w:color w:val="000000"/>
          <w:sz w:val="22"/>
          <w:szCs w:val="22"/>
        </w:rPr>
        <w:t>Approving and signing the multiyear workplan;</w:t>
      </w:r>
    </w:p>
    <w:p w14:paraId="67661309" w14:textId="77777777" w:rsidR="00F373B7" w:rsidRDefault="00F373B7" w:rsidP="00F373B7">
      <w:pPr>
        <w:numPr>
          <w:ilvl w:val="0"/>
          <w:numId w:val="82"/>
        </w:numPr>
        <w:jc w:val="both"/>
        <w:rPr>
          <w:rFonts w:asciiTheme="minorHAnsi" w:hAnsiTheme="minorHAnsi" w:cstheme="minorHAnsi"/>
          <w:color w:val="000000"/>
          <w:sz w:val="22"/>
          <w:szCs w:val="22"/>
        </w:rPr>
      </w:pPr>
      <w:r>
        <w:rPr>
          <w:rFonts w:asciiTheme="minorHAnsi" w:hAnsiTheme="minorHAnsi" w:cstheme="minorHAnsi"/>
          <w:color w:val="000000"/>
          <w:sz w:val="22"/>
          <w:szCs w:val="22"/>
        </w:rPr>
        <w:t>Approving and signing the combined delivery report at the end of the year; and,</w:t>
      </w:r>
    </w:p>
    <w:p w14:paraId="51F52A98" w14:textId="77777777" w:rsidR="00F373B7" w:rsidRDefault="00F373B7" w:rsidP="00F373B7">
      <w:pPr>
        <w:numPr>
          <w:ilvl w:val="0"/>
          <w:numId w:val="82"/>
        </w:numPr>
        <w:jc w:val="both"/>
        <w:rPr>
          <w:rFonts w:asciiTheme="minorHAnsi" w:hAnsiTheme="minorHAnsi" w:cstheme="minorHAnsi"/>
          <w:color w:val="000000"/>
          <w:sz w:val="22"/>
          <w:szCs w:val="22"/>
        </w:rPr>
      </w:pPr>
      <w:r>
        <w:rPr>
          <w:rFonts w:asciiTheme="minorHAnsi" w:hAnsiTheme="minorHAnsi" w:cstheme="minorHAnsi"/>
          <w:color w:val="000000"/>
          <w:sz w:val="22"/>
          <w:szCs w:val="22"/>
        </w:rPr>
        <w:t>Signing the financial report or the funding authorization and certificate of expenditures.</w:t>
      </w:r>
    </w:p>
    <w:p w14:paraId="456FD964" w14:textId="77777777" w:rsidR="00F373B7" w:rsidRDefault="00F373B7" w:rsidP="00F373B7">
      <w:pPr>
        <w:jc w:val="both"/>
        <w:rPr>
          <w:rFonts w:asciiTheme="minorHAnsi" w:hAnsiTheme="minorHAnsi" w:cstheme="minorHAnsi"/>
          <w:u w:val="single"/>
        </w:rPr>
      </w:pPr>
    </w:p>
    <w:p w14:paraId="6EF3B8CD"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IOC-UNESCO will ensure that all activities including procurement services are carried out in strict compliance with UNDP / </w:t>
      </w:r>
      <w:sdt>
        <w:sdtPr>
          <w:rPr>
            <w:rFonts w:asciiTheme="minorHAnsi" w:hAnsiTheme="minorHAnsi" w:cstheme="minorHAnsi"/>
          </w:rPr>
          <w:tag w:val="goog_rdk_1376"/>
          <w:id w:val="598686914"/>
        </w:sdtPr>
        <w:sdtEndPr/>
        <w:sdtContent>
          <w:r>
            <w:rPr>
              <w:rFonts w:asciiTheme="minorHAnsi" w:hAnsiTheme="minorHAnsi" w:cstheme="minorHAnsi"/>
              <w:sz w:val="22"/>
              <w:szCs w:val="22"/>
            </w:rPr>
            <w:t>UNEP</w:t>
          </w:r>
        </w:sdtContent>
      </w:sdt>
      <w:r>
        <w:rPr>
          <w:rFonts w:asciiTheme="minorHAnsi" w:hAnsiTheme="minorHAnsi" w:cstheme="minorHAnsi"/>
          <w:color w:val="000000"/>
          <w:sz w:val="22"/>
          <w:szCs w:val="22"/>
        </w:rPr>
        <w:t xml:space="preserve">’s respective rules and procedures. IOC-UNESCO will be responsible for the establishment, adequate staffing and uninterrupted functioning, throughout the project’s life span, of the Project Coordination Unit (PCU). IOC-UNESCO is also a development partner of the project, supporting the execution of activities in multiple components. IOC-UNESCO will ensure a segregation of roles and responsibilities in terms of oversight and </w:t>
      </w:r>
      <w:proofErr w:type="spellStart"/>
      <w:r>
        <w:rPr>
          <w:rFonts w:asciiTheme="minorHAnsi" w:hAnsiTheme="minorHAnsi" w:cstheme="minorHAnsi"/>
          <w:color w:val="000000"/>
          <w:sz w:val="22"/>
          <w:szCs w:val="22"/>
        </w:rPr>
        <w:t>exection</w:t>
      </w:r>
      <w:proofErr w:type="spellEnd"/>
      <w:r>
        <w:rPr>
          <w:rFonts w:asciiTheme="minorHAnsi" w:hAnsiTheme="minorHAnsi" w:cstheme="minorHAnsi"/>
          <w:color w:val="000000"/>
          <w:sz w:val="22"/>
          <w:szCs w:val="22"/>
        </w:rPr>
        <w:t xml:space="preserve"> by indicating the </w:t>
      </w:r>
      <w:proofErr w:type="spellStart"/>
      <w:r>
        <w:rPr>
          <w:rFonts w:asciiTheme="minorHAnsi" w:hAnsiTheme="minorHAnsi" w:cstheme="minorHAnsi"/>
          <w:color w:val="000000"/>
          <w:sz w:val="22"/>
          <w:szCs w:val="22"/>
        </w:rPr>
        <w:t>staffmembers</w:t>
      </w:r>
      <w:proofErr w:type="spellEnd"/>
      <w:r>
        <w:rPr>
          <w:rFonts w:asciiTheme="minorHAnsi" w:hAnsiTheme="minorHAnsi" w:cstheme="minorHAnsi"/>
          <w:color w:val="000000"/>
          <w:sz w:val="22"/>
          <w:szCs w:val="22"/>
        </w:rPr>
        <w:t xml:space="preserve"> with responsibilities for oversight and execution. </w:t>
      </w:r>
    </w:p>
    <w:p w14:paraId="17058AC2" w14:textId="77777777" w:rsidR="00F373B7" w:rsidRDefault="00F373B7" w:rsidP="00F373B7">
      <w:pPr>
        <w:shd w:val="clear" w:color="auto" w:fill="FFFFFF"/>
        <w:jc w:val="both"/>
        <w:rPr>
          <w:rFonts w:asciiTheme="minorHAnsi" w:hAnsiTheme="minorHAnsi" w:cstheme="minorHAnsi"/>
          <w:color w:val="000000"/>
          <w:sz w:val="22"/>
          <w:szCs w:val="22"/>
        </w:rPr>
      </w:pPr>
    </w:p>
    <w:p w14:paraId="4AA8F8BC" w14:textId="77777777" w:rsidR="00F373B7" w:rsidRDefault="00F373B7" w:rsidP="00F373B7">
      <w:pPr>
        <w:shd w:val="clear" w:color="auto" w:fill="FFFFFF"/>
        <w:spacing w:after="60"/>
        <w:jc w:val="both"/>
        <w:rPr>
          <w:rFonts w:ascii="Calibri" w:hAnsi="Calibri"/>
          <w:color w:val="000000"/>
          <w:sz w:val="22"/>
          <w:szCs w:val="22"/>
          <w:lang w:val="en-GB"/>
        </w:rPr>
      </w:pPr>
      <w:r>
        <w:rPr>
          <w:rFonts w:ascii="Calibri" w:hAnsi="Calibri"/>
          <w:color w:val="000000"/>
          <w:sz w:val="22"/>
          <w:szCs w:val="22"/>
          <w:lang w:val="en-GB"/>
        </w:rPr>
        <w:t>The GEF IW:LEARN partnership includes project stakeholders and principal target groups.  It includes Development Partners (UNDP and UNEP), Implementing Agency (IOC-UNESCO) and other partners-stakeholders such as NGOs, other UN Agencies, transboundary organizations, academia, IFIs and other. Partners participating in the implementation of the project’s activities may be observers to the Project Steering Committee (PSC). The IW:LEARN's principal target group are the GEF IW projects' coordinators. They will be involved in the project decision-making through participation the PSC.</w:t>
      </w:r>
    </w:p>
    <w:p w14:paraId="4F5B3058" w14:textId="77777777" w:rsidR="00F373B7" w:rsidRDefault="00F373B7" w:rsidP="00F373B7">
      <w:pPr>
        <w:shd w:val="clear" w:color="auto" w:fill="FFFFFF"/>
        <w:spacing w:after="60"/>
        <w:jc w:val="both"/>
        <w:rPr>
          <w:rFonts w:ascii="Calibri" w:hAnsi="Calibri"/>
          <w:color w:val="000000"/>
          <w:sz w:val="22"/>
          <w:szCs w:val="22"/>
          <w:lang w:val="en-GB"/>
        </w:rPr>
      </w:pPr>
    </w:p>
    <w:p w14:paraId="785A76F5" w14:textId="77777777" w:rsidR="00F373B7" w:rsidRDefault="00F373B7" w:rsidP="00F373B7">
      <w:pPr>
        <w:shd w:val="clear" w:color="auto" w:fill="FFFFFF"/>
        <w:spacing w:after="60"/>
        <w:jc w:val="both"/>
        <w:rPr>
          <w:rFonts w:ascii="Calibri" w:hAnsi="Calibri"/>
          <w:color w:val="000000"/>
          <w:sz w:val="22"/>
          <w:szCs w:val="22"/>
          <w:lang w:val="en-GB"/>
        </w:rPr>
      </w:pPr>
      <w:r>
        <w:rPr>
          <w:rFonts w:ascii="Calibri" w:hAnsi="Calibri"/>
          <w:color w:val="000000"/>
          <w:sz w:val="22"/>
          <w:szCs w:val="22"/>
          <w:lang w:val="en-GB"/>
        </w:rPr>
        <w:t xml:space="preserve">UNDP: UNDP is accountable to the GEF for the implementation of this project for its respective sub-components. Likewise, UNEP is accountable to the GEF for the implementation of this project for its respective sub-components.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Project Board/Steering Committee.  </w:t>
      </w:r>
    </w:p>
    <w:p w14:paraId="419290C9" w14:textId="77777777" w:rsidR="00F373B7" w:rsidRDefault="00F373B7" w:rsidP="00F373B7"/>
    <w:p w14:paraId="2EC94B8F" w14:textId="77777777" w:rsidR="00F373B7" w:rsidRDefault="00F373B7" w:rsidP="00F373B7">
      <w:pPr>
        <w:rPr>
          <w:rFonts w:asciiTheme="minorHAnsi" w:hAnsiTheme="minorHAnsi" w:cstheme="minorHAnsi"/>
          <w:sz w:val="22"/>
          <w:szCs w:val="22"/>
        </w:rPr>
      </w:pPr>
      <w:r>
        <w:rPr>
          <w:rFonts w:asciiTheme="minorHAnsi" w:hAnsiTheme="minorHAnsi" w:cstheme="minorHAnsi"/>
          <w:sz w:val="22"/>
          <w:szCs w:val="22"/>
          <w:lang w:val="en-GB"/>
        </w:rPr>
        <w:t>The organisation structure of the GEF IW:LEARN is presented in Figure</w:t>
      </w:r>
      <w:r>
        <w:rPr>
          <w:rFonts w:asciiTheme="minorHAnsi" w:hAnsiTheme="minorHAnsi" w:cstheme="minorHAnsi"/>
          <w:sz w:val="22"/>
          <w:szCs w:val="22"/>
        </w:rPr>
        <w:t xml:space="preserve"> 7.</w:t>
      </w:r>
    </w:p>
    <w:p w14:paraId="7B646CEF" w14:textId="77777777" w:rsidR="00F373B7" w:rsidRDefault="00F373B7" w:rsidP="00F373B7"/>
    <w:p w14:paraId="56B411AC" w14:textId="2B0142ED" w:rsidR="00F373B7" w:rsidRDefault="00F373B7" w:rsidP="00F373B7">
      <w:pPr>
        <w:shd w:val="clear" w:color="auto" w:fill="FFFFFF"/>
        <w:rPr>
          <w:rFonts w:asciiTheme="minorHAnsi" w:hAnsiTheme="minorHAnsi" w:cstheme="minorHAnsi"/>
          <w:color w:val="000000"/>
          <w:sz w:val="22"/>
          <w:szCs w:val="22"/>
        </w:rPr>
      </w:pPr>
      <w:r>
        <w:rPr>
          <w:rFonts w:asciiTheme="minorHAnsi" w:hAnsiTheme="minorHAnsi" w:cstheme="minorHAnsi"/>
          <w:noProof/>
          <w:color w:val="000000"/>
          <w:sz w:val="22"/>
          <w:szCs w:val="22"/>
          <w:lang w:eastAsia="en-US"/>
        </w:rPr>
        <w:drawing>
          <wp:inline distT="0" distB="0" distL="0" distR="0" wp14:anchorId="1D8D484B" wp14:editId="75F09E99">
            <wp:extent cx="5731510" cy="32696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t="5128" b="18803"/>
                    <a:stretch>
                      <a:fillRect/>
                    </a:stretch>
                  </pic:blipFill>
                  <pic:spPr bwMode="auto">
                    <a:xfrm>
                      <a:off x="0" y="0"/>
                      <a:ext cx="5731510" cy="3269615"/>
                    </a:xfrm>
                    <a:prstGeom prst="rect">
                      <a:avLst/>
                    </a:prstGeom>
                    <a:noFill/>
                    <a:ln>
                      <a:noFill/>
                    </a:ln>
                  </pic:spPr>
                </pic:pic>
              </a:graphicData>
            </a:graphic>
          </wp:inline>
        </w:drawing>
      </w:r>
    </w:p>
    <w:p w14:paraId="5516CF45" w14:textId="77777777" w:rsidR="00F373B7" w:rsidRDefault="00F373B7" w:rsidP="00F373B7">
      <w:pPr>
        <w:jc w:val="center"/>
        <w:rPr>
          <w:rFonts w:cs="Arial"/>
          <w:noProof/>
          <w:szCs w:val="20"/>
          <w:lang w:val="en-GB" w:eastAsia="zh-CN"/>
        </w:rPr>
      </w:pPr>
      <w:r>
        <w:rPr>
          <w:rFonts w:asciiTheme="minorHAnsi" w:hAnsiTheme="minorHAnsi" w:cstheme="minorHAnsi"/>
          <w:sz w:val="22"/>
          <w:szCs w:val="22"/>
        </w:rPr>
        <w:t xml:space="preserve">Figure 7: </w:t>
      </w:r>
      <w:r>
        <w:rPr>
          <w:rFonts w:asciiTheme="minorHAnsi" w:hAnsiTheme="minorHAnsi" w:cstheme="minorHAnsi"/>
          <w:sz w:val="22"/>
          <w:szCs w:val="22"/>
          <w:lang w:val="en-GB"/>
        </w:rPr>
        <w:t xml:space="preserve">IW:LEARN's organisation structure </w:t>
      </w:r>
    </w:p>
    <w:p w14:paraId="671A7776" w14:textId="77777777" w:rsidR="00F373B7" w:rsidRDefault="00F373B7" w:rsidP="00F373B7">
      <w:pPr>
        <w:shd w:val="clear" w:color="auto" w:fill="FFFFFF"/>
        <w:rPr>
          <w:rFonts w:asciiTheme="minorHAnsi" w:hAnsiTheme="minorHAnsi" w:cstheme="minorHAnsi"/>
          <w:color w:val="000000"/>
          <w:sz w:val="22"/>
          <w:szCs w:val="22"/>
        </w:rPr>
      </w:pPr>
    </w:p>
    <w:p w14:paraId="7D65CB32" w14:textId="77777777" w:rsidR="00F373B7" w:rsidRDefault="00F373B7" w:rsidP="00F373B7">
      <w:pPr>
        <w:shd w:val="clear" w:color="auto" w:fill="FFFFFF"/>
        <w:jc w:val="both"/>
        <w:rPr>
          <w:rFonts w:asciiTheme="minorHAnsi" w:hAnsiTheme="minorHAnsi" w:cstheme="minorHAnsi"/>
          <w:sz w:val="22"/>
          <w:szCs w:val="22"/>
        </w:rPr>
      </w:pPr>
      <w:r>
        <w:rPr>
          <w:rFonts w:asciiTheme="minorHAnsi" w:hAnsiTheme="minorHAnsi" w:cstheme="minorHAnsi"/>
          <w:sz w:val="22"/>
          <w:szCs w:val="22"/>
        </w:rPr>
        <w:t xml:space="preserve">The PSC will meet annually to monitor progress in project execution, to provide strategic and policy guidance, and to review and approve annual work plans and budgets. The PSC is responsible for taking corrective action as needed to ensure the project achieves the desired results. In order to ensure UNDP’s ultimate accountability, PSC decisions should be made in accordance with standards that shall </w:t>
      </w:r>
      <w:r>
        <w:rPr>
          <w:rFonts w:asciiTheme="minorHAnsi" w:hAnsiTheme="minorHAnsi" w:cstheme="minorHAnsi"/>
          <w:sz w:val="22"/>
          <w:szCs w:val="22"/>
        </w:rPr>
        <w:lastRenderedPageBreak/>
        <w:t xml:space="preserve">ensure management for development results, best value money, fairness, integrity, transparency and effective international competition. </w:t>
      </w:r>
    </w:p>
    <w:p w14:paraId="45313B7E" w14:textId="77777777" w:rsidR="00F373B7" w:rsidRDefault="00F373B7" w:rsidP="00F373B7">
      <w:pPr>
        <w:shd w:val="clear" w:color="auto" w:fill="FFFFFF"/>
        <w:jc w:val="both"/>
        <w:rPr>
          <w:rFonts w:asciiTheme="minorHAnsi" w:hAnsiTheme="minorHAnsi" w:cstheme="minorHAnsi"/>
          <w:sz w:val="22"/>
          <w:szCs w:val="22"/>
        </w:rPr>
      </w:pPr>
    </w:p>
    <w:p w14:paraId="0CC43435" w14:textId="77777777" w:rsidR="00F373B7" w:rsidRDefault="00F373B7" w:rsidP="00F373B7">
      <w:pPr>
        <w:shd w:val="clear" w:color="auto" w:fill="FFFFFF"/>
        <w:jc w:val="both"/>
        <w:rPr>
          <w:rFonts w:asciiTheme="minorHAnsi" w:hAnsiTheme="minorHAnsi" w:cstheme="minorHAnsi"/>
          <w:i/>
          <w:sz w:val="22"/>
          <w:szCs w:val="22"/>
        </w:rPr>
      </w:pPr>
      <w:r>
        <w:rPr>
          <w:rFonts w:asciiTheme="minorHAnsi" w:hAnsiTheme="minorHAnsi" w:cstheme="minorHAnsi"/>
          <w:sz w:val="22"/>
          <w:szCs w:val="22"/>
        </w:rPr>
        <w:t>In case consensus cannot be reached within the PSC, the UNDP PSC member (or their designate) will mediate to find consensus and, if this cannot be found, will take the final decision to ensure project implementation is not unduly delayed</w:t>
      </w:r>
      <w:r>
        <w:rPr>
          <w:rFonts w:asciiTheme="minorHAnsi" w:hAnsiTheme="minorHAnsi" w:cstheme="minorHAnsi"/>
          <w:i/>
          <w:sz w:val="22"/>
          <w:szCs w:val="22"/>
        </w:rPr>
        <w:t xml:space="preserve">. </w:t>
      </w:r>
    </w:p>
    <w:p w14:paraId="5E138A27" w14:textId="77777777" w:rsidR="00F373B7" w:rsidRDefault="00F373B7" w:rsidP="00F373B7">
      <w:pPr>
        <w:shd w:val="clear" w:color="auto" w:fill="FFFFFF"/>
        <w:rPr>
          <w:rFonts w:asciiTheme="minorHAnsi" w:hAnsiTheme="minorHAnsi" w:cstheme="minorHAnsi"/>
          <w:i/>
          <w:sz w:val="22"/>
          <w:szCs w:val="22"/>
        </w:rPr>
      </w:pPr>
    </w:p>
    <w:p w14:paraId="2EA7DD26" w14:textId="77777777" w:rsidR="00F373B7" w:rsidRDefault="00F373B7" w:rsidP="00F373B7">
      <w:pPr>
        <w:shd w:val="clear" w:color="auto" w:fill="FFFFFF"/>
        <w:jc w:val="both"/>
        <w:rPr>
          <w:rFonts w:asciiTheme="minorHAnsi" w:hAnsiTheme="minorHAnsi" w:cstheme="minorHAnsi"/>
          <w:sz w:val="22"/>
          <w:szCs w:val="22"/>
        </w:rPr>
      </w:pPr>
      <w:r>
        <w:rPr>
          <w:rFonts w:asciiTheme="minorHAnsi" w:hAnsiTheme="minorHAnsi" w:cstheme="minorHAnsi"/>
          <w:sz w:val="22"/>
          <w:szCs w:val="22"/>
        </w:rPr>
        <w:t>Specific responsibilities of the PSC include:</w:t>
      </w:r>
    </w:p>
    <w:p w14:paraId="78DBD29E"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Provide overall guidance and direction to the project, ensuring it remains within any specified constraints;</w:t>
      </w:r>
    </w:p>
    <w:p w14:paraId="242BF31B"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Address project issues as raised by the project coordinator;</w:t>
      </w:r>
    </w:p>
    <w:p w14:paraId="451A2874"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Provide guidance on new project risks, and agree on possible mitigation and management actions to address specific risks; </w:t>
      </w:r>
    </w:p>
    <w:p w14:paraId="178EB539"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Agree on project coordinator’s tolerances as required, within the parameters set by UNDP-GEF, and provide direction and advice for exceptional situations when the project coordinator’s tolerances are exceeded;</w:t>
      </w:r>
    </w:p>
    <w:p w14:paraId="58CAFF55"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Advise on major and minor amendments to the project within the parameters set by UNDP-GEF;</w:t>
      </w:r>
    </w:p>
    <w:p w14:paraId="7EB23F7C"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 coordination between various donor and government-funded projects and </w:t>
      </w:r>
      <w:proofErr w:type="spellStart"/>
      <w:r>
        <w:rPr>
          <w:rFonts w:asciiTheme="minorHAnsi" w:hAnsiTheme="minorHAnsi" w:cstheme="minorHAnsi"/>
          <w:color w:val="000000"/>
          <w:sz w:val="22"/>
          <w:szCs w:val="22"/>
        </w:rPr>
        <w:t>programmes</w:t>
      </w:r>
      <w:proofErr w:type="spellEnd"/>
      <w:r>
        <w:rPr>
          <w:rFonts w:asciiTheme="minorHAnsi" w:hAnsiTheme="minorHAnsi" w:cstheme="minorHAnsi"/>
          <w:color w:val="000000"/>
          <w:sz w:val="22"/>
          <w:szCs w:val="22"/>
        </w:rPr>
        <w:t xml:space="preserve">; </w:t>
      </w:r>
    </w:p>
    <w:p w14:paraId="173A6F8F"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 coordination with various government agencies and their participation in project activities; </w:t>
      </w:r>
    </w:p>
    <w:p w14:paraId="37D69000"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Track and monitor co-financing for this project; </w:t>
      </w:r>
    </w:p>
    <w:p w14:paraId="3D5F1BAE"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Review the project progress, assess performance, and appraise the Annual Work Plan for the following year; </w:t>
      </w:r>
    </w:p>
    <w:p w14:paraId="04B5A739"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Appraise the annual project implementation report, including the quality assessment rating report; </w:t>
      </w:r>
    </w:p>
    <w:p w14:paraId="47DCF459"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Ensure commitment of human resources to support project implementation, arbitrating any issues within the project; </w:t>
      </w:r>
    </w:p>
    <w:p w14:paraId="0296CE7B"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Review combined delivery reports prior to certification by the implementing partner;</w:t>
      </w:r>
    </w:p>
    <w:p w14:paraId="6E7BF77C"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Provide direction and recommendations to ensure that the agreed deliverables are produced satisfactorily according to plans;</w:t>
      </w:r>
    </w:p>
    <w:p w14:paraId="24D22FBC"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Address project-level grievances;</w:t>
      </w:r>
    </w:p>
    <w:p w14:paraId="2E7E080E" w14:textId="77777777" w:rsidR="00F373B7" w:rsidRDefault="00F373B7" w:rsidP="00F373B7">
      <w:pPr>
        <w:numPr>
          <w:ilvl w:val="0"/>
          <w:numId w:val="83"/>
        </w:numPr>
        <w:jc w:val="both"/>
        <w:rPr>
          <w:rFonts w:asciiTheme="minorHAnsi" w:hAnsiTheme="minorHAnsi" w:cstheme="minorHAnsi"/>
          <w:color w:val="000000"/>
          <w:sz w:val="22"/>
          <w:szCs w:val="22"/>
        </w:rPr>
      </w:pPr>
      <w:r>
        <w:rPr>
          <w:rFonts w:asciiTheme="minorHAnsi" w:hAnsiTheme="minorHAnsi" w:cstheme="minorHAnsi"/>
          <w:color w:val="000000"/>
          <w:sz w:val="22"/>
          <w:szCs w:val="22"/>
        </w:rPr>
        <w:t>Approve the project Inception Report, Mid-term Review and Terminal Evaluation reports and corresponding management responses;</w:t>
      </w:r>
    </w:p>
    <w:p w14:paraId="3407C2E0" w14:textId="77777777" w:rsidR="00F373B7" w:rsidRDefault="00F373B7" w:rsidP="00F373B7">
      <w:pPr>
        <w:numPr>
          <w:ilvl w:val="0"/>
          <w:numId w:val="83"/>
        </w:numPr>
        <w:jc w:val="both"/>
        <w:rPr>
          <w:rFonts w:asciiTheme="minorHAnsi" w:hAnsiTheme="minorHAnsi" w:cstheme="minorHAnsi"/>
          <w:sz w:val="22"/>
          <w:szCs w:val="22"/>
        </w:rPr>
      </w:pPr>
      <w:r>
        <w:rPr>
          <w:rFonts w:asciiTheme="minorHAnsi" w:hAnsiTheme="minorHAnsi" w:cstheme="minorHAnsi"/>
          <w:sz w:val="22"/>
          <w:szCs w:val="22"/>
        </w:rPr>
        <w:t>Review the final project report package during an end-of-project review meeting to discuss lesson learned and opportunities for scaling up</w:t>
      </w:r>
      <w:r>
        <w:rPr>
          <w:rFonts w:asciiTheme="minorHAnsi" w:hAnsiTheme="minorHAnsi" w:cstheme="minorHAnsi"/>
          <w:sz w:val="22"/>
          <w:szCs w:val="22"/>
          <w:lang w:val="hr-HR"/>
        </w:rPr>
        <w:t>;</w:t>
      </w:r>
      <w:r>
        <w:rPr>
          <w:rFonts w:asciiTheme="minorHAnsi" w:hAnsiTheme="minorHAnsi" w:cstheme="minorHAnsi"/>
          <w:sz w:val="22"/>
          <w:szCs w:val="22"/>
        </w:rPr>
        <w:t xml:space="preserve">   </w:t>
      </w:r>
    </w:p>
    <w:p w14:paraId="28CBD149" w14:textId="77777777" w:rsidR="00F373B7" w:rsidRDefault="00F373B7" w:rsidP="00F373B7">
      <w:pPr>
        <w:numPr>
          <w:ilvl w:val="0"/>
          <w:numId w:val="83"/>
        </w:numPr>
        <w:jc w:val="both"/>
        <w:rPr>
          <w:rFonts w:asciiTheme="minorHAnsi" w:hAnsiTheme="minorHAnsi" w:cstheme="minorHAnsi"/>
          <w:sz w:val="22"/>
          <w:szCs w:val="22"/>
        </w:rPr>
      </w:pPr>
      <w:r>
        <w:rPr>
          <w:rFonts w:asciiTheme="minorHAnsi" w:hAnsiTheme="minorHAnsi" w:cs="Calibri"/>
          <w:sz w:val="22"/>
          <w:szCs w:val="22"/>
        </w:rPr>
        <w:t>Ensure highest levels of transparency and take all measures to avoid any real or perceived conflicts of interest</w:t>
      </w:r>
      <w:r>
        <w:rPr>
          <w:rFonts w:asciiTheme="minorHAnsi" w:hAnsiTheme="minorHAnsi" w:cs="Calibri"/>
          <w:sz w:val="22"/>
          <w:szCs w:val="22"/>
          <w:lang w:val="hr-HR"/>
        </w:rPr>
        <w:t>.</w:t>
      </w:r>
    </w:p>
    <w:p w14:paraId="2E28A30E" w14:textId="77777777" w:rsidR="00F373B7" w:rsidRDefault="00F373B7" w:rsidP="00F373B7">
      <w:pPr>
        <w:shd w:val="clear" w:color="auto" w:fill="FFFFFF"/>
        <w:jc w:val="both"/>
        <w:rPr>
          <w:rFonts w:asciiTheme="minorHAnsi" w:hAnsiTheme="minorHAnsi" w:cstheme="minorHAnsi"/>
        </w:rPr>
      </w:pPr>
    </w:p>
    <w:p w14:paraId="68041924"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Project Steering Committee (PSC) will include </w:t>
      </w:r>
      <w:r>
        <w:rPr>
          <w:rFonts w:asciiTheme="minorHAnsi" w:hAnsiTheme="minorHAnsi" w:cstheme="minorHAnsi"/>
          <w:color w:val="000000"/>
          <w:sz w:val="22"/>
          <w:szCs w:val="22"/>
          <w:lang w:val="hr-HR"/>
        </w:rPr>
        <w:t xml:space="preserve">IW:LEARN </w:t>
      </w:r>
      <w:r>
        <w:rPr>
          <w:rFonts w:asciiTheme="minorHAnsi" w:hAnsiTheme="minorHAnsi" w:cstheme="minorHAnsi"/>
          <w:color w:val="000000"/>
          <w:sz w:val="22"/>
          <w:szCs w:val="22"/>
          <w:lang w:val="en-GB"/>
        </w:rPr>
        <w:t xml:space="preserve">Development Partners (UNDP and UNEP), the Project Executive (GEF Secretariat) and Beneficiary Representatives (representatives of IW project's coordinators, </w:t>
      </w:r>
      <w:r>
        <w:rPr>
          <w:rFonts w:asciiTheme="minorHAnsi" w:hAnsiTheme="minorHAnsi" w:cstheme="minorHAnsi"/>
          <w:color w:val="000000"/>
          <w:sz w:val="22"/>
          <w:szCs w:val="22"/>
        </w:rPr>
        <w:t>rotating for two-year terms, and representing key portfolio subsets</w:t>
      </w:r>
      <w:r>
        <w:rPr>
          <w:rFonts w:asciiTheme="minorHAnsi" w:hAnsiTheme="minorHAnsi" w:cstheme="minorHAnsi"/>
          <w:color w:val="000000"/>
          <w:sz w:val="22"/>
          <w:szCs w:val="22"/>
          <w:lang w:val="en-GB"/>
        </w:rPr>
        <w:t>)</w:t>
      </w:r>
      <w:r>
        <w:rPr>
          <w:rFonts w:asciiTheme="minorHAnsi" w:hAnsiTheme="minorHAnsi" w:cstheme="minorHAnsi"/>
          <w:color w:val="000000"/>
          <w:sz w:val="22"/>
          <w:szCs w:val="22"/>
        </w:rPr>
        <w:t xml:space="preserve">. Representatives of additional GEF IW implementing agencies, with multiple projects under implementation, will be invited to become PSC members. A representative of the GEF Secretariat IW technical team will also be a PSC member. </w:t>
      </w:r>
      <w:r>
        <w:rPr>
          <w:rFonts w:asciiTheme="minorHAnsi" w:hAnsiTheme="minorHAnsi" w:cstheme="minorHAnsi"/>
          <w:color w:val="000000"/>
          <w:sz w:val="22"/>
          <w:szCs w:val="22"/>
          <w:lang w:val="en-GB"/>
        </w:rPr>
        <w:t>Responsible P</w:t>
      </w:r>
      <w:proofErr w:type="spellStart"/>
      <w:r>
        <w:rPr>
          <w:rFonts w:asciiTheme="minorHAnsi" w:hAnsiTheme="minorHAnsi" w:cstheme="minorHAnsi"/>
          <w:color w:val="000000"/>
          <w:sz w:val="22"/>
          <w:szCs w:val="22"/>
        </w:rPr>
        <w:t>artners</w:t>
      </w:r>
      <w:proofErr w:type="spellEnd"/>
      <w:r>
        <w:rPr>
          <w:rFonts w:asciiTheme="minorHAnsi" w:hAnsiTheme="minorHAnsi" w:cstheme="minorHAnsi"/>
          <w:color w:val="000000"/>
          <w:sz w:val="22"/>
          <w:szCs w:val="22"/>
        </w:rPr>
        <w:t xml:space="preserve"> participating in the implementation of the project’s activities will be observers to the PSC. The PCU will be acting as the PSC Secretariat. </w:t>
      </w:r>
    </w:p>
    <w:p w14:paraId="004557BE" w14:textId="77777777" w:rsidR="00F373B7" w:rsidRDefault="00F373B7" w:rsidP="00F373B7">
      <w:pPr>
        <w:shd w:val="clear" w:color="auto" w:fill="FFFFFF"/>
        <w:jc w:val="both"/>
        <w:rPr>
          <w:rFonts w:asciiTheme="minorHAnsi" w:hAnsiTheme="minorHAnsi" w:cstheme="minorHAnsi"/>
        </w:rPr>
      </w:pPr>
    </w:p>
    <w:p w14:paraId="7F43C972" w14:textId="77777777" w:rsidR="00F373B7" w:rsidRDefault="00F373B7" w:rsidP="00F373B7">
      <w:pPr>
        <w:shd w:val="clear" w:color="auto" w:fill="FFFFFF"/>
        <w:jc w:val="both"/>
        <w:rPr>
          <w:rFonts w:asciiTheme="minorHAnsi" w:hAnsiTheme="minorHAnsi" w:cstheme="minorHAnsi"/>
          <w:sz w:val="22"/>
          <w:szCs w:val="22"/>
        </w:rPr>
      </w:pPr>
      <w:r>
        <w:rPr>
          <w:rFonts w:asciiTheme="minorHAnsi" w:hAnsiTheme="minorHAnsi" w:cstheme="minorHAnsi"/>
          <w:sz w:val="22"/>
          <w:szCs w:val="22"/>
        </w:rPr>
        <w:t xml:space="preserve">The composition of the PSC must include the following roles: </w:t>
      </w:r>
    </w:p>
    <w:p w14:paraId="669407CF" w14:textId="77777777" w:rsidR="00F373B7" w:rsidRDefault="00F373B7" w:rsidP="00F373B7">
      <w:pPr>
        <w:jc w:val="both"/>
        <w:rPr>
          <w:rFonts w:asciiTheme="minorHAnsi" w:hAnsiTheme="minorHAnsi" w:cstheme="minorHAnsi"/>
          <w:sz w:val="22"/>
          <w:szCs w:val="22"/>
        </w:rPr>
      </w:pPr>
    </w:p>
    <w:p w14:paraId="57FC7FEB" w14:textId="77777777" w:rsidR="00F373B7" w:rsidRDefault="00F373B7" w:rsidP="00F373B7">
      <w:pPr>
        <w:numPr>
          <w:ilvl w:val="0"/>
          <w:numId w:val="84"/>
        </w:numPr>
        <w:jc w:val="both"/>
        <w:rPr>
          <w:rFonts w:asciiTheme="minorHAnsi" w:hAnsiTheme="minorHAnsi" w:cstheme="minorHAnsi"/>
          <w:i/>
          <w:color w:val="000000"/>
          <w:sz w:val="22"/>
          <w:szCs w:val="22"/>
        </w:rPr>
      </w:pPr>
      <w:r>
        <w:rPr>
          <w:rFonts w:asciiTheme="minorHAnsi" w:hAnsiTheme="minorHAnsi" w:cstheme="minorHAnsi"/>
          <w:color w:val="000000"/>
          <w:sz w:val="22"/>
          <w:szCs w:val="22"/>
        </w:rPr>
        <w:lastRenderedPageBreak/>
        <w:t xml:space="preserve">Project Executive: Is an individual who represents ownership of the project and chairs the Project Board. The Project Executive is </w:t>
      </w:r>
      <w:r>
        <w:rPr>
          <w:rFonts w:asciiTheme="minorHAnsi" w:hAnsiTheme="minorHAnsi" w:cstheme="minorHAnsi"/>
          <w:color w:val="000000"/>
          <w:sz w:val="22"/>
          <w:szCs w:val="22"/>
          <w:lang w:val="en-GB"/>
        </w:rPr>
        <w:t>the representative of the</w:t>
      </w:r>
      <w:r>
        <w:rPr>
          <w:rFonts w:asciiTheme="minorHAnsi" w:hAnsiTheme="minorHAnsi" w:cstheme="minorHAnsi"/>
          <w:color w:val="000000"/>
          <w:sz w:val="22"/>
          <w:szCs w:val="22"/>
          <w:lang w:val="hr-HR"/>
        </w:rPr>
        <w:t xml:space="preserve"> GEF Secretariat International Waters focal area</w:t>
      </w:r>
      <w:r>
        <w:rPr>
          <w:rFonts w:asciiTheme="minorHAnsi" w:hAnsiTheme="minorHAnsi" w:cstheme="minorHAnsi"/>
          <w:color w:val="000000"/>
          <w:sz w:val="22"/>
          <w:szCs w:val="22"/>
        </w:rPr>
        <w:t xml:space="preserve">.  </w:t>
      </w:r>
    </w:p>
    <w:p w14:paraId="0CC42D8C" w14:textId="77777777" w:rsidR="00F373B7" w:rsidRDefault="00F373B7" w:rsidP="00F373B7">
      <w:pPr>
        <w:numPr>
          <w:ilvl w:val="0"/>
          <w:numId w:val="84"/>
        </w:numPr>
        <w:jc w:val="both"/>
        <w:rPr>
          <w:rFonts w:asciiTheme="minorHAnsi" w:eastAsia="Garamond" w:hAnsiTheme="minorHAnsi" w:cstheme="minorHAnsi"/>
          <w:color w:val="000000"/>
        </w:rPr>
      </w:pPr>
      <w:r>
        <w:rPr>
          <w:rFonts w:asciiTheme="minorHAnsi" w:hAnsiTheme="minorHAnsi" w:cstheme="minorHAnsi"/>
          <w:color w:val="000000"/>
          <w:sz w:val="22"/>
          <w:szCs w:val="22"/>
        </w:rPr>
        <w:t xml:space="preserve">Beneficiary Representative(s): Individuals or groups representing the interests of those who will ultimately benefit from the project, in particular the IW </w:t>
      </w:r>
      <w:r>
        <w:rPr>
          <w:rFonts w:asciiTheme="minorHAnsi" w:hAnsiTheme="minorHAnsi" w:cstheme="minorHAnsi"/>
          <w:color w:val="000000"/>
          <w:sz w:val="22"/>
          <w:szCs w:val="22"/>
          <w:lang w:val="hr-HR"/>
        </w:rPr>
        <w:t>p</w:t>
      </w:r>
      <w:proofErr w:type="spellStart"/>
      <w:r>
        <w:rPr>
          <w:rFonts w:asciiTheme="minorHAnsi" w:hAnsiTheme="minorHAnsi" w:cstheme="minorHAnsi"/>
          <w:color w:val="000000"/>
          <w:sz w:val="22"/>
          <w:szCs w:val="22"/>
        </w:rPr>
        <w:t>roject</w:t>
      </w:r>
      <w:proofErr w:type="spellEnd"/>
      <w:r>
        <w:rPr>
          <w:rFonts w:asciiTheme="minorHAnsi" w:hAnsiTheme="minorHAnsi" w:cstheme="minorHAnsi"/>
          <w:color w:val="000000"/>
          <w:sz w:val="22"/>
          <w:szCs w:val="22"/>
          <w:lang w:val="hr-HR"/>
        </w:rPr>
        <w:t>s'</w:t>
      </w:r>
      <w:r>
        <w:rPr>
          <w:rFonts w:asciiTheme="minorHAnsi" w:hAnsiTheme="minorHAnsi" w:cstheme="minorHAnsi"/>
          <w:color w:val="000000"/>
          <w:sz w:val="22"/>
          <w:szCs w:val="22"/>
        </w:rPr>
        <w:t xml:space="preserve"> coordinators. Their primary function within the PSC is to ensure the realization of project results from the perspective of project beneficiaries. Civil society representative(s) can also fulfil this role. The Beneficiary representative(s) will be identified during the inception of the project.</w:t>
      </w:r>
    </w:p>
    <w:p w14:paraId="5D13F8CC" w14:textId="77777777" w:rsidR="00F373B7" w:rsidRDefault="00F373B7" w:rsidP="00F373B7">
      <w:pPr>
        <w:numPr>
          <w:ilvl w:val="0"/>
          <w:numId w:val="84"/>
        </w:numPr>
        <w:jc w:val="both"/>
        <w:rPr>
          <w:rFonts w:asciiTheme="minorHAnsi" w:hAnsiTheme="minorHAnsi" w:cstheme="minorHAnsi"/>
          <w:color w:val="000000"/>
          <w:sz w:val="22"/>
          <w:szCs w:val="22"/>
          <w:u w:val="single"/>
        </w:rPr>
      </w:pPr>
      <w:r>
        <w:rPr>
          <w:rFonts w:asciiTheme="minorHAnsi" w:hAnsiTheme="minorHAnsi" w:cstheme="minorHAnsi"/>
          <w:color w:val="000000"/>
          <w:sz w:val="22"/>
          <w:szCs w:val="22"/>
        </w:rPr>
        <w:t>Development Partner(s): Individuals or groups representing the interests of the parties concerned that provide funding and/or technical expertise to the project. The Development Partner</w:t>
      </w:r>
      <w:r>
        <w:rPr>
          <w:rFonts w:asciiTheme="minorHAnsi" w:hAnsiTheme="minorHAnsi" w:cstheme="minorHAnsi"/>
          <w:color w:val="000000"/>
          <w:sz w:val="22"/>
          <w:szCs w:val="22"/>
          <w:lang w:val="hr-HR"/>
        </w:rPr>
        <w:t xml:space="preserve">s </w:t>
      </w:r>
      <w:r>
        <w:rPr>
          <w:rFonts w:asciiTheme="minorHAnsi" w:hAnsiTheme="minorHAnsi" w:cstheme="minorHAnsi"/>
          <w:color w:val="000000"/>
          <w:sz w:val="22"/>
          <w:szCs w:val="22"/>
          <w:lang w:val="en-GB"/>
        </w:rPr>
        <w:t>are UNDP, UNEP and IOC/UNESCO</w:t>
      </w:r>
      <w:r>
        <w:rPr>
          <w:rFonts w:asciiTheme="minorHAnsi" w:hAnsiTheme="minorHAnsi" w:cstheme="minorHAnsi"/>
          <w:color w:val="000000"/>
          <w:sz w:val="22"/>
          <w:szCs w:val="22"/>
        </w:rPr>
        <w:t>.</w:t>
      </w:r>
    </w:p>
    <w:p w14:paraId="623C9900" w14:textId="77777777" w:rsidR="00F373B7" w:rsidRDefault="00F373B7" w:rsidP="00F373B7">
      <w:pPr>
        <w:numPr>
          <w:ilvl w:val="0"/>
          <w:numId w:val="84"/>
        </w:numPr>
        <w:jc w:val="both"/>
        <w:rPr>
          <w:rFonts w:asciiTheme="minorHAnsi" w:hAnsiTheme="minorHAnsi" w:cstheme="minorHAnsi"/>
          <w:i/>
          <w:color w:val="000000"/>
          <w:sz w:val="22"/>
          <w:szCs w:val="22"/>
        </w:rPr>
      </w:pPr>
      <w:r>
        <w:rPr>
          <w:rFonts w:asciiTheme="minorHAnsi" w:hAnsiTheme="minorHAnsi" w:cstheme="minorHAnsi"/>
          <w:color w:val="000000"/>
          <w:sz w:val="22"/>
          <w:szCs w:val="22"/>
        </w:rPr>
        <w:t>Project Assurance: UNDP</w:t>
      </w:r>
      <w:r>
        <w:rPr>
          <w:rFonts w:asciiTheme="minorHAnsi" w:hAnsiTheme="minorHAnsi" w:cstheme="minorHAnsi"/>
          <w:color w:val="000000"/>
          <w:sz w:val="22"/>
          <w:szCs w:val="22"/>
          <w:lang w:val="hr-HR"/>
        </w:rPr>
        <w:t xml:space="preserve">, UNEP </w:t>
      </w:r>
      <w:r>
        <w:rPr>
          <w:rFonts w:asciiTheme="minorHAnsi" w:hAnsiTheme="minorHAnsi" w:cstheme="minorHAnsi"/>
          <w:color w:val="000000"/>
          <w:sz w:val="22"/>
          <w:szCs w:val="22"/>
          <w:lang w:val="en-GB"/>
        </w:rPr>
        <w:t>and UNESCO Headquarters perform the quality assurance and supports the PSC and PCU by carrying out objective and independent</w:t>
      </w:r>
      <w:r>
        <w:rPr>
          <w:rFonts w:asciiTheme="minorHAnsi" w:hAnsiTheme="minorHAnsi" w:cstheme="minorHAnsi"/>
          <w:color w:val="000000"/>
          <w:sz w:val="22"/>
          <w:szCs w:val="22"/>
        </w:rPr>
        <w:t xml:space="preserve"> project oversight and monitoring functions for the components/sub-components under their remit. This role ensures appropriate project management milestones are managed and completed. The PSC cannot delegate any of its quality assurance responsibilities to the Project coordinator. Project assurance is totally independent of the Project Management function.</w:t>
      </w:r>
      <w:bookmarkStart w:id="47" w:name="_Hlk68606833"/>
    </w:p>
    <w:p w14:paraId="49C68E9C" w14:textId="77777777" w:rsidR="00F373B7" w:rsidRDefault="00F373B7" w:rsidP="00F373B7">
      <w:pPr>
        <w:numPr>
          <w:ilvl w:val="0"/>
          <w:numId w:val="84"/>
        </w:numPr>
        <w:jc w:val="both"/>
        <w:rPr>
          <w:rFonts w:asciiTheme="minorHAnsi" w:hAnsiTheme="minorHAnsi" w:cstheme="minorHAnsi"/>
          <w:i/>
          <w:color w:val="000000"/>
          <w:sz w:val="22"/>
          <w:szCs w:val="22"/>
        </w:rPr>
      </w:pPr>
      <w:r>
        <w:rPr>
          <w:rFonts w:asciiTheme="minorHAnsi" w:hAnsiTheme="minorHAnsi" w:cstheme="minorHAnsi"/>
          <w:sz w:val="22"/>
          <w:szCs w:val="22"/>
          <w:u w:val="single"/>
        </w:rPr>
        <w:t xml:space="preserve">UNDP </w:t>
      </w:r>
      <w:r>
        <w:rPr>
          <w:rFonts w:asciiTheme="minorHAnsi" w:hAnsiTheme="minorHAnsi" w:cstheme="minorHAnsi"/>
          <w:sz w:val="22"/>
          <w:szCs w:val="22"/>
        </w:rPr>
        <w:t xml:space="preserve">provides a three-tier oversight services involving UNDP offices and functions at regional and headquarters levels. </w:t>
      </w:r>
      <w:r>
        <w:rPr>
          <w:rFonts w:asciiTheme="minorHAnsi" w:hAnsiTheme="minorHAnsi" w:cstheme="minorHAnsi"/>
          <w:sz w:val="22"/>
          <w:szCs w:val="22"/>
          <w:u w:val="single"/>
        </w:rPr>
        <w:t>Tier 1 oversight</w:t>
      </w:r>
      <w:r>
        <w:rPr>
          <w:rFonts w:asciiTheme="minorHAnsi" w:hAnsiTheme="minorHAnsi" w:cstheme="minorHAnsi"/>
          <w:sz w:val="22"/>
          <w:szCs w:val="22"/>
        </w:rPr>
        <w:t xml:space="preserve"> services are provided by the UNDP Project Board member who will be the VF Regional Team Leader, Asia-Pacific. </w:t>
      </w:r>
      <w:r>
        <w:rPr>
          <w:rFonts w:asciiTheme="minorHAnsi" w:hAnsiTheme="minorHAnsi" w:cstheme="minorHAnsi"/>
          <w:sz w:val="22"/>
          <w:szCs w:val="22"/>
          <w:highlight w:val="yellow"/>
          <w:u w:val="single"/>
        </w:rPr>
        <w:t>Tier 2 oversight</w:t>
      </w:r>
      <w:r>
        <w:rPr>
          <w:rFonts w:asciiTheme="minorHAnsi" w:hAnsiTheme="minorHAnsi" w:cstheme="minorHAnsi"/>
          <w:sz w:val="22"/>
          <w:szCs w:val="22"/>
          <w:highlight w:val="yellow"/>
        </w:rPr>
        <w:t xml:space="preserve"> is provided by the Regional Technical Advisor, Water &amp; Oceans, IRH, supported by PTA/MPSU/RBM at HQ/NCE. provided </w:t>
      </w:r>
      <w:proofErr w:type="spellStart"/>
      <w:r>
        <w:rPr>
          <w:rFonts w:asciiTheme="minorHAnsi" w:hAnsiTheme="minorHAnsi" w:cstheme="minorHAnsi"/>
          <w:sz w:val="22"/>
          <w:szCs w:val="22"/>
          <w:highlight w:val="yellow"/>
        </w:rPr>
        <w:t>by</w:t>
      </w:r>
      <w:r>
        <w:rPr>
          <w:rFonts w:asciiTheme="minorHAnsi" w:hAnsiTheme="minorHAnsi" w:cstheme="minorHAnsi"/>
          <w:sz w:val="22"/>
          <w:szCs w:val="22"/>
          <w:highlight w:val="yellow"/>
          <w:u w:val="single"/>
        </w:rPr>
        <w:t>Tier</w:t>
      </w:r>
      <w:proofErr w:type="spellEnd"/>
      <w:r>
        <w:rPr>
          <w:rFonts w:asciiTheme="minorHAnsi" w:hAnsiTheme="minorHAnsi" w:cstheme="minorHAnsi"/>
          <w:sz w:val="22"/>
          <w:szCs w:val="22"/>
          <w:highlight w:val="yellow"/>
          <w:u w:val="single"/>
        </w:rPr>
        <w:t> 3 oversight</w:t>
      </w:r>
      <w:r>
        <w:rPr>
          <w:rFonts w:asciiTheme="minorHAnsi" w:hAnsiTheme="minorHAnsi" w:cstheme="minorHAnsi"/>
          <w:sz w:val="22"/>
          <w:szCs w:val="22"/>
          <w:highlight w:val="yellow"/>
        </w:rPr>
        <w:t xml:space="preserve"> is provided by the Vertical Fund Executive Coordinator (head of HQ/NCE team). </w:t>
      </w:r>
      <w:bookmarkEnd w:id="47"/>
    </w:p>
    <w:p w14:paraId="6159C8F1" w14:textId="77777777" w:rsidR="00F373B7" w:rsidRDefault="00F373B7" w:rsidP="00F373B7">
      <w:pPr>
        <w:jc w:val="both"/>
        <w:rPr>
          <w:rFonts w:asciiTheme="minorHAnsi" w:hAnsiTheme="minorHAnsi" w:cstheme="minorHAnsi"/>
          <w:b/>
          <w:sz w:val="22"/>
          <w:szCs w:val="22"/>
        </w:rPr>
      </w:pPr>
    </w:p>
    <w:p w14:paraId="4C7EB053"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Inter-Agency Forum, </w:t>
      </w:r>
      <w:r>
        <w:rPr>
          <w:rFonts w:asciiTheme="minorHAnsi" w:hAnsiTheme="minorHAnsi" w:cstheme="minorHAnsi"/>
          <w:color w:val="000000"/>
          <w:sz w:val="22"/>
          <w:szCs w:val="22"/>
          <w:lang w:val="en-GB"/>
        </w:rPr>
        <w:t>comprising the Development Partners and the Implementing Agency</w:t>
      </w:r>
      <w:r>
        <w:rPr>
          <w:rFonts w:asciiTheme="minorHAnsi" w:hAnsiTheme="minorHAnsi" w:cstheme="minorHAnsi"/>
          <w:color w:val="000000"/>
          <w:sz w:val="22"/>
          <w:szCs w:val="22"/>
          <w:lang w:val="hr-HR"/>
        </w:rPr>
        <w:t>,</w:t>
      </w:r>
      <w:r>
        <w:rPr>
          <w:rFonts w:asciiTheme="minorHAnsi" w:hAnsiTheme="minorHAnsi" w:cstheme="minorHAnsi"/>
          <w:color w:val="000000"/>
          <w:sz w:val="22"/>
          <w:szCs w:val="22"/>
        </w:rPr>
        <w:t xml:space="preserve"> will be created to have close dialogue on the overall project execution. This will further ensure that there is adequate project oversight and consistency with GEF policies and requirements. </w:t>
      </w:r>
    </w:p>
    <w:p w14:paraId="333F33C6" w14:textId="77777777" w:rsidR="00F373B7" w:rsidRDefault="00F373B7" w:rsidP="00F373B7">
      <w:pPr>
        <w:shd w:val="clear" w:color="auto" w:fill="FFFFFF"/>
        <w:rPr>
          <w:rFonts w:asciiTheme="minorHAnsi" w:hAnsiTheme="minorHAnsi" w:cstheme="minorHAnsi"/>
          <w:color w:val="000000"/>
          <w:sz w:val="22"/>
          <w:szCs w:val="22"/>
        </w:rPr>
      </w:pPr>
    </w:p>
    <w:p w14:paraId="1AB201AF"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Project Coordination Unit (PCU) will be headquartered at UNESCO-IOC’s offices in Paris. The PCU will be responsible for the overall project co-ordination and leads all activities </w:t>
      </w:r>
      <w:proofErr w:type="spellStart"/>
      <w:r>
        <w:rPr>
          <w:rFonts w:asciiTheme="minorHAnsi" w:hAnsiTheme="minorHAnsi" w:cstheme="minorHAnsi"/>
          <w:color w:val="000000"/>
          <w:sz w:val="22"/>
          <w:szCs w:val="22"/>
        </w:rPr>
        <w:t>acoording</w:t>
      </w:r>
      <w:proofErr w:type="spellEnd"/>
      <w:r>
        <w:rPr>
          <w:rFonts w:asciiTheme="minorHAnsi" w:hAnsiTheme="minorHAnsi" w:cstheme="minorHAnsi"/>
          <w:color w:val="000000"/>
          <w:sz w:val="22"/>
          <w:szCs w:val="22"/>
        </w:rPr>
        <w:t xml:space="preserve"> to the PSC agreed timeline, including those activities undertaken in conjunction with partners. Given the centrality of this proposed project to all GEF IW focal area projects &amp; partners as a coordination mechanism for sharing knowledge, conducting multiple training and dialogue events, handling data &amp; information management and developing programmatic guidance, a larger PCU is required. Moreover, given that all activities are PCU-driven, the PCU leads technically on all project activities. In addition, each member of the PCU will have a technical role in the implementation of all project activities. </w:t>
      </w:r>
    </w:p>
    <w:p w14:paraId="39F74661" w14:textId="77777777" w:rsidR="00F373B7" w:rsidRDefault="00F373B7" w:rsidP="00F373B7">
      <w:pPr>
        <w:shd w:val="clear" w:color="auto" w:fill="FFFFFF"/>
        <w:jc w:val="both"/>
        <w:rPr>
          <w:rFonts w:asciiTheme="minorHAnsi" w:hAnsiTheme="minorHAnsi" w:cstheme="minorHAnsi"/>
          <w:color w:val="000000"/>
          <w:sz w:val="22"/>
          <w:szCs w:val="22"/>
        </w:rPr>
      </w:pPr>
    </w:p>
    <w:p w14:paraId="5E53CCBB"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PCU will be led by a Project Manager (PM), charged with overall responsibility for stewardship of the project and accountability for achieving its outcomes. The  (PM) will be responsible for the overall management of the project, including the mobilization of all project inputs, supervision over project staff, consultants and sub-contractors. A Deputy Project Manager will support the PM in the overall implementation of the project, under the guidance and supervision of the PM. The Deputy PM will not just be backstopping the PM, but rather take an integral role in leading the implementation of several activities, including for example the project twinning, dialogue and regional training sub-components. Given that all activities are PCU-driven, sufficient technical capacity is required for the PCU to be able to </w:t>
      </w:r>
      <w:proofErr w:type="spellStart"/>
      <w:r>
        <w:rPr>
          <w:rFonts w:asciiTheme="minorHAnsi" w:hAnsiTheme="minorHAnsi" w:cstheme="minorHAnsi"/>
          <w:color w:val="000000"/>
          <w:sz w:val="22"/>
          <w:szCs w:val="22"/>
        </w:rPr>
        <w:t>to</w:t>
      </w:r>
      <w:proofErr w:type="spellEnd"/>
      <w:r>
        <w:rPr>
          <w:rFonts w:asciiTheme="minorHAnsi" w:hAnsiTheme="minorHAnsi" w:cstheme="minorHAnsi"/>
          <w:color w:val="000000"/>
          <w:sz w:val="22"/>
          <w:szCs w:val="22"/>
        </w:rPr>
        <w:t xml:space="preserve"> lead all activities in the project, which would be impossible without these two technical positions. The PM could not fulfill all administrative and technical responsibilities alone. Further activity responsibilities will be enumerated during implementation. A Project Finance and Administrative Officer will support the overall implementation of the project, under the guidance and supervision of the PM. These three positions will constitute the core PCU. The PCU will be further assisted by Consultants who will provide specific and necessary support to the implementation of Component </w:t>
      </w:r>
      <w:r>
        <w:rPr>
          <w:rFonts w:asciiTheme="minorHAnsi" w:hAnsiTheme="minorHAnsi" w:cstheme="minorHAnsi"/>
          <w:color w:val="000000"/>
          <w:sz w:val="22"/>
          <w:szCs w:val="22"/>
        </w:rPr>
        <w:lastRenderedPageBreak/>
        <w:t>Two (Data and Information Management), Component Three (SIDS) and Component Five (Private Sector Engagement).</w:t>
      </w:r>
    </w:p>
    <w:p w14:paraId="4FE20570" w14:textId="77777777" w:rsidR="00F373B7" w:rsidRDefault="00F373B7" w:rsidP="00F373B7">
      <w:pPr>
        <w:shd w:val="clear" w:color="auto" w:fill="FFFFFF"/>
        <w:jc w:val="both"/>
        <w:rPr>
          <w:rFonts w:asciiTheme="minorHAnsi" w:hAnsiTheme="minorHAnsi" w:cstheme="minorHAnsi"/>
          <w:color w:val="000000"/>
          <w:sz w:val="22"/>
          <w:szCs w:val="22"/>
        </w:rPr>
      </w:pPr>
    </w:p>
    <w:p w14:paraId="2CF77BEC"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PCU will also have extensive responsibilities for monitoring the overall performance of the project against the indicators/targets in the results framework as part of the M&amp;E activities. Much of the monitoring data for this project will come from surveys of workshop follow-up, twinning, exchanges, etc., to gather as much quantitative data as possible about the outcomes and impacts of the GEF IW:LEARN project, and to report this data to the PSC (based on the baseline established from the last phase of the project). </w:t>
      </w:r>
    </w:p>
    <w:p w14:paraId="2D59C53B" w14:textId="77777777" w:rsidR="00F373B7" w:rsidRDefault="00F373B7" w:rsidP="00F373B7">
      <w:pPr>
        <w:shd w:val="clear" w:color="auto" w:fill="FFFFFF"/>
        <w:jc w:val="both"/>
        <w:rPr>
          <w:rFonts w:asciiTheme="minorHAnsi" w:hAnsiTheme="minorHAnsi" w:cstheme="minorHAnsi"/>
          <w:color w:val="000000"/>
          <w:sz w:val="22"/>
          <w:szCs w:val="22"/>
        </w:rPr>
      </w:pPr>
    </w:p>
    <w:p w14:paraId="67F0409F"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 terms of regular administrative reporting, the PCU will work with project partners in the preparation of quarterly reports to be submitted to UNDP and </w:t>
      </w:r>
      <w:sdt>
        <w:sdtPr>
          <w:rPr>
            <w:rFonts w:asciiTheme="minorHAnsi" w:hAnsiTheme="minorHAnsi" w:cstheme="minorHAnsi"/>
          </w:rPr>
          <w:tag w:val="goog_rdk_1378"/>
          <w:id w:val="-2027546785"/>
        </w:sdtPr>
        <w:sdtEndPr/>
        <w:sdtContent>
          <w:r>
            <w:rPr>
              <w:rFonts w:asciiTheme="minorHAnsi" w:hAnsiTheme="minorHAnsi" w:cstheme="minorHAnsi"/>
              <w:sz w:val="22"/>
              <w:szCs w:val="22"/>
            </w:rPr>
            <w:t>UNEP</w:t>
          </w:r>
        </w:sdtContent>
      </w:sdt>
      <w:r>
        <w:rPr>
          <w:rFonts w:asciiTheme="minorHAnsi" w:hAnsiTheme="minorHAnsi" w:cstheme="minorHAnsi"/>
          <w:color w:val="000000"/>
          <w:sz w:val="22"/>
          <w:szCs w:val="22"/>
        </w:rPr>
        <w:t>. The PCU will be responsible to prepare in coordination with UNDP/</w:t>
      </w:r>
      <w:sdt>
        <w:sdtPr>
          <w:rPr>
            <w:rFonts w:asciiTheme="minorHAnsi" w:hAnsiTheme="minorHAnsi" w:cstheme="minorHAnsi"/>
          </w:rPr>
          <w:tag w:val="goog_rdk_1380"/>
          <w:id w:val="-1130858091"/>
        </w:sdtPr>
        <w:sdtEndPr/>
        <w:sdtContent>
          <w:r>
            <w:rPr>
              <w:rFonts w:asciiTheme="minorHAnsi" w:hAnsiTheme="minorHAnsi" w:cstheme="minorHAnsi"/>
              <w:sz w:val="22"/>
              <w:szCs w:val="22"/>
            </w:rPr>
            <w:t>UNEP</w:t>
          </w:r>
        </w:sdtContent>
      </w:sdt>
      <w:r>
        <w:rPr>
          <w:rFonts w:asciiTheme="minorHAnsi" w:hAnsiTheme="minorHAnsi" w:cstheme="minorHAnsi"/>
          <w:color w:val="000000"/>
          <w:sz w:val="22"/>
          <w:szCs w:val="22"/>
        </w:rPr>
        <w:t>/UNESCO-IOC the annual GEF Project Implementation Review. Reporting on co-financing will be also part of the annual PIR exercise, as well as presented during the annual project board meetings. Finally, there will be a number of management and evaluation activities that will be carried out and supported by the PCU. These will include a midterm and final evaluation together with such other activities as may be requested from time to time by UNESCO IOC and the UNDP-GEF NCE Unit, HQ, as well as UNEP.</w:t>
      </w:r>
    </w:p>
    <w:p w14:paraId="06EC0BF3" w14:textId="77777777" w:rsidR="00F373B7" w:rsidRDefault="00F373B7" w:rsidP="00F373B7">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14:paraId="28932A3E" w14:textId="77777777" w:rsidR="00F373B7" w:rsidRDefault="00F373B7" w:rsidP="00F373B7">
      <w:pPr>
        <w:jc w:val="both"/>
        <w:rPr>
          <w:rFonts w:asciiTheme="minorHAnsi" w:hAnsiTheme="minorHAnsi" w:cstheme="minorHAnsi"/>
          <w:i/>
          <w:sz w:val="22"/>
          <w:szCs w:val="22"/>
        </w:rPr>
      </w:pPr>
      <w:r>
        <w:rPr>
          <w:rFonts w:asciiTheme="minorHAnsi" w:hAnsiTheme="minorHAnsi" w:cstheme="minorHAnsi"/>
          <w:sz w:val="22"/>
          <w:szCs w:val="22"/>
        </w:rPr>
        <w:t>Project stakeholders and target groups will be involved in project management and coordination principally through participation at the annual PSC meetings as full members of the PSC.</w:t>
      </w:r>
    </w:p>
    <w:p w14:paraId="30C85282" w14:textId="77777777" w:rsidR="00F373B7" w:rsidRDefault="00F373B7" w:rsidP="00F373B7">
      <w:pPr>
        <w:spacing w:before="280" w:after="280"/>
        <w:jc w:val="both"/>
        <w:rPr>
          <w:rFonts w:asciiTheme="minorHAnsi" w:hAnsiTheme="minorHAnsi" w:cstheme="minorHAnsi"/>
          <w:sz w:val="22"/>
          <w:szCs w:val="22"/>
        </w:rPr>
      </w:pPr>
      <w:r>
        <w:rPr>
          <w:rFonts w:asciiTheme="minorHAnsi" w:hAnsiTheme="minorHAnsi" w:cstheme="minorHAnsi"/>
          <w:sz w:val="22"/>
          <w:szCs w:val="22"/>
        </w:rPr>
        <w:t>The specific Project Partners (Responsible Parties) will be convening (or coordinating, together with other partners) specific sub‐components or activities within sub‐ components. The project will accordingly enter into contractual arrangements with the following partners to support specific project activity implementation as responsible parties following UNDP and UNEP rules and processes for selection of responsible parties through LPAC/Capacity assessment process</w:t>
      </w:r>
      <w:r>
        <w:rPr>
          <w:rFonts w:asciiTheme="minorHAnsi" w:hAnsiTheme="minorHAnsi" w:cstheme="minorHAnsi"/>
          <w:sz w:val="22"/>
          <w:szCs w:val="22"/>
          <w:lang w:val="hr-HR"/>
        </w:rPr>
        <w:t xml:space="preserve">. </w:t>
      </w:r>
    </w:p>
    <w:p w14:paraId="101211BB" w14:textId="77777777" w:rsidR="00F373B7" w:rsidRDefault="00F373B7" w:rsidP="00F373B7">
      <w:pPr>
        <w:jc w:val="both"/>
        <w:rPr>
          <w:rFonts w:asciiTheme="minorHAnsi" w:hAnsiTheme="minorHAnsi" w:cstheme="minorHAnsi"/>
          <w:sz w:val="22"/>
          <w:szCs w:val="22"/>
        </w:rPr>
      </w:pPr>
      <w:r>
        <w:rPr>
          <w:rFonts w:asciiTheme="minorHAnsi" w:hAnsiTheme="minorHAnsi" w:cstheme="minorHAnsi"/>
          <w:sz w:val="22"/>
          <w:szCs w:val="22"/>
        </w:rPr>
        <w:t>UNDP and UNEP are accountable to the GEF for the implementation of this project for their respective sub-components. This includes oversight of project execution to ensure that the project is being carried out in accordance with agreed standards and provisions. For their respective sub-components, UNDP and UNEP are responsible for delivering GEF project cycle management services comprising project approval and start-up, project supervision and oversight, and project completion and evaluation. UNDP and UNEP are also responsible for the Project Assurance role of the Project Board/Steering Committee.</w:t>
      </w:r>
    </w:p>
    <w:p w14:paraId="203EF7DF" w14:textId="77777777" w:rsidR="00F373B7" w:rsidRDefault="00F373B7" w:rsidP="00F373B7">
      <w:pPr>
        <w:jc w:val="both"/>
        <w:rPr>
          <w:rFonts w:cs="Arial"/>
          <w:b/>
          <w:i/>
          <w:noProof/>
          <w:szCs w:val="20"/>
          <w:lang w:eastAsia="zh-CN"/>
        </w:rPr>
      </w:pPr>
    </w:p>
    <w:p w14:paraId="2AB7DDAF" w14:textId="77777777" w:rsidR="00F373B7" w:rsidRDefault="00F373B7" w:rsidP="00F373B7">
      <w:pPr>
        <w:jc w:val="both"/>
        <w:rPr>
          <w:rFonts w:asciiTheme="minorHAnsi" w:hAnsiTheme="minorHAnsi" w:cstheme="minorHAnsi"/>
          <w:sz w:val="22"/>
          <w:szCs w:val="22"/>
        </w:rPr>
      </w:pPr>
      <w:r>
        <w:rPr>
          <w:rFonts w:asciiTheme="minorHAnsi" w:hAnsiTheme="minorHAnsi" w:cstheme="minorHAnsi"/>
          <w:b/>
          <w:bCs/>
          <w:sz w:val="22"/>
          <w:szCs w:val="22"/>
        </w:rPr>
        <w:t>Project extensions:</w:t>
      </w:r>
      <w:r>
        <w:rPr>
          <w:rFonts w:asciiTheme="minorHAnsi" w:hAnsiTheme="minorHAnsi" w:cstheme="minorHAnsi"/>
          <w:sz w:val="22"/>
          <w:szCs w:val="22"/>
        </w:rPr>
        <w:t xml:space="preserve"> 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lead office’s Agency fee specified in the DOA during the extension period must be covered by non-GEF resources. </w:t>
      </w:r>
    </w:p>
    <w:p w14:paraId="054FD70B" w14:textId="5CC99881" w:rsidR="00F373B7" w:rsidRDefault="00F373B7">
      <w:pPr>
        <w:spacing w:after="160" w:line="259" w:lineRule="auto"/>
      </w:pPr>
      <w:r>
        <w:br w:type="page"/>
      </w:r>
    </w:p>
    <w:p w14:paraId="3CEC6F2B" w14:textId="77777777" w:rsidR="00F373B7" w:rsidRPr="00F373B7" w:rsidRDefault="00F373B7" w:rsidP="00F373B7"/>
    <w:p w14:paraId="5571AA73" w14:textId="06DC3DE8" w:rsidR="00F373B7" w:rsidRDefault="00F373B7" w:rsidP="00F373B7">
      <w:pPr>
        <w:pStyle w:val="Heading1"/>
        <w:spacing w:before="0" w:after="0"/>
        <w:jc w:val="left"/>
        <w:rPr>
          <w:rFonts w:ascii="Calibri" w:eastAsia="SimSun" w:hAnsi="Calibri"/>
        </w:rPr>
      </w:pPr>
      <w:bookmarkStart w:id="48" w:name="_Toc46749083"/>
      <w:bookmarkStart w:id="49" w:name="_Toc115094389"/>
      <w:r>
        <w:rPr>
          <w:rFonts w:ascii="Calibri" w:eastAsia="SimSun" w:hAnsi="Calibri"/>
        </w:rPr>
        <w:t>Financial Planning and Management</w:t>
      </w:r>
      <w:bookmarkEnd w:id="48"/>
      <w:bookmarkEnd w:id="49"/>
      <w:r>
        <w:rPr>
          <w:rFonts w:ascii="Calibri" w:eastAsia="SimSun" w:hAnsi="Calibri"/>
        </w:rPr>
        <w:t xml:space="preserve"> </w:t>
      </w:r>
    </w:p>
    <w:p w14:paraId="7255A614" w14:textId="77777777" w:rsidR="00F373B7" w:rsidRDefault="00F373B7" w:rsidP="00F373B7">
      <w:pPr>
        <w:autoSpaceDE w:val="0"/>
        <w:autoSpaceDN w:val="0"/>
        <w:adjustRightInd w:val="0"/>
        <w:jc w:val="both"/>
        <w:rPr>
          <w:rFonts w:asciiTheme="minorHAnsi" w:hAnsiTheme="minorHAnsi" w:cstheme="minorHAnsi"/>
          <w:color w:val="000000"/>
          <w:sz w:val="22"/>
          <w:szCs w:val="22"/>
        </w:rPr>
      </w:pPr>
    </w:p>
    <w:p w14:paraId="29123789" w14:textId="3CD92B0F" w:rsidR="00F373B7" w:rsidRDefault="00F373B7" w:rsidP="00F373B7">
      <w:pPr>
        <w:autoSpaceDE w:val="0"/>
        <w:autoSpaceDN w:val="0"/>
        <w:adjustRightInd w:val="0"/>
        <w:jc w:val="both"/>
        <w:rPr>
          <w:color w:val="000000"/>
          <w:szCs w:val="20"/>
          <w:u w:val="single"/>
        </w:rPr>
      </w:pPr>
      <w:r>
        <w:rPr>
          <w:rFonts w:asciiTheme="minorHAnsi" w:hAnsiTheme="minorHAnsi" w:cstheme="minorHAnsi"/>
          <w:color w:val="000000"/>
          <w:sz w:val="22"/>
          <w:szCs w:val="22"/>
        </w:rPr>
        <w:t xml:space="preserve">The total cost of the project is USD </w:t>
      </w:r>
      <w:r>
        <w:rPr>
          <w:rFonts w:asciiTheme="minorHAnsi" w:hAnsiTheme="minorHAnsi" w:cstheme="minorHAnsi"/>
          <w:color w:val="000000"/>
          <w:sz w:val="22"/>
          <w:szCs w:val="22"/>
          <w:lang w:val="hr-HR"/>
        </w:rPr>
        <w:t>20,671,796</w:t>
      </w:r>
      <w:r>
        <w:rPr>
          <w:rFonts w:asciiTheme="minorHAnsi" w:hAnsiTheme="minorHAnsi" w:cstheme="minorHAnsi"/>
          <w:i/>
          <w:color w:val="000000"/>
          <w:sz w:val="22"/>
          <w:szCs w:val="22"/>
        </w:rPr>
        <w:t xml:space="preserve">.  </w:t>
      </w:r>
      <w:r>
        <w:rPr>
          <w:rFonts w:asciiTheme="minorHAnsi" w:hAnsiTheme="minorHAnsi" w:cstheme="minorHAnsi"/>
          <w:color w:val="000000"/>
          <w:sz w:val="22"/>
          <w:szCs w:val="22"/>
        </w:rPr>
        <w:t xml:space="preserve">This is financed through a GEF grant of USD 5,978,700 (USD 4,878,700 – UNDP, and USD 1,100,000 – UNEP), and USD </w:t>
      </w:r>
      <w:r>
        <w:rPr>
          <w:rFonts w:asciiTheme="minorHAnsi" w:hAnsiTheme="minorHAnsi" w:cstheme="minorHAnsi"/>
          <w:color w:val="000000"/>
          <w:sz w:val="22"/>
          <w:szCs w:val="22"/>
          <w:lang w:val="hr-HR"/>
        </w:rPr>
        <w:t>14,693,096</w:t>
      </w:r>
      <w:r>
        <w:rPr>
          <w:rFonts w:asciiTheme="minorHAnsi" w:hAnsiTheme="minorHAnsi" w:cstheme="minorHAnsi"/>
          <w:color w:val="000000"/>
          <w:sz w:val="22"/>
          <w:szCs w:val="22"/>
        </w:rPr>
        <w:t xml:space="preserve"> in co-financing.  UNDP and UNEP, as the GEF Implementing Agencies, are responsible for the oversight of the GEF resources and the cash co-financing transferred to UNDP bank account only.</w:t>
      </w:r>
    </w:p>
    <w:p w14:paraId="3AE958DD" w14:textId="77777777" w:rsidR="00F373B7" w:rsidRDefault="00F373B7" w:rsidP="00F373B7">
      <w:pPr>
        <w:autoSpaceDE w:val="0"/>
        <w:autoSpaceDN w:val="0"/>
        <w:adjustRightInd w:val="0"/>
        <w:jc w:val="both"/>
        <w:rPr>
          <w:color w:val="000000"/>
          <w:szCs w:val="20"/>
          <w:u w:val="single"/>
        </w:rPr>
      </w:pPr>
    </w:p>
    <w:p w14:paraId="2502E4D0" w14:textId="77777777" w:rsidR="00F373B7" w:rsidRDefault="00F373B7" w:rsidP="00F373B7">
      <w:pPr>
        <w:autoSpaceDE w:val="0"/>
        <w:autoSpaceDN w:val="0"/>
        <w:adjustRightInd w:val="0"/>
        <w:jc w:val="both"/>
        <w:rPr>
          <w:rFonts w:asciiTheme="minorHAnsi" w:hAnsiTheme="minorHAnsi"/>
          <w:color w:val="000000"/>
          <w:sz w:val="22"/>
          <w:szCs w:val="22"/>
        </w:rPr>
      </w:pPr>
      <w:r>
        <w:rPr>
          <w:rFonts w:asciiTheme="minorHAnsi" w:hAnsiTheme="minorHAnsi"/>
          <w:color w:val="000000"/>
          <w:sz w:val="22"/>
          <w:szCs w:val="22"/>
          <w:u w:val="single"/>
        </w:rPr>
        <w:t>Confirmed Co-financing</w:t>
      </w:r>
      <w:r>
        <w:rPr>
          <w:rFonts w:asciiTheme="minorHAnsi" w:hAnsiTheme="minorHAnsi"/>
          <w:color w:val="000000"/>
          <w:sz w:val="22"/>
          <w:szCs w:val="22"/>
        </w:rPr>
        <w:t>: The actual realization of project co-financing will be monitored during the mid-term review and terminal evaluation process and will be reported to the GEF. Reporting on co-financing will be also part of the annual PIR exercise, as well as presented during the annual project board meetings. Note that all project activities included in the project results framework that will be delivered by co-financing partners (even if the funds do not pass through UNDP accounts) must comply with UNDP’s social and environmental standards. Co-financing will be used for the following project activities/outputs:</w:t>
      </w:r>
    </w:p>
    <w:p w14:paraId="7B10C0D2" w14:textId="77777777" w:rsidR="00F373B7" w:rsidRDefault="00F373B7" w:rsidP="00F373B7">
      <w:pPr>
        <w:autoSpaceDE w:val="0"/>
        <w:autoSpaceDN w:val="0"/>
        <w:adjustRightInd w:val="0"/>
        <w:rPr>
          <w:color w:val="000000"/>
          <w:szCs w:val="20"/>
        </w:rPr>
      </w:pPr>
    </w:p>
    <w:tbl>
      <w:tblPr>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1"/>
        <w:gridCol w:w="1177"/>
        <w:gridCol w:w="1139"/>
        <w:gridCol w:w="2285"/>
        <w:gridCol w:w="1022"/>
        <w:gridCol w:w="1701"/>
      </w:tblGrid>
      <w:tr w:rsidR="00F373B7" w14:paraId="580478D2"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4CC24082"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Co-financing source</w:t>
            </w:r>
          </w:p>
        </w:tc>
        <w:tc>
          <w:tcPr>
            <w:tcW w:w="1177" w:type="dxa"/>
            <w:tcBorders>
              <w:top w:val="single" w:sz="4" w:space="0" w:color="000000"/>
              <w:left w:val="single" w:sz="4" w:space="0" w:color="000000"/>
              <w:bottom w:val="single" w:sz="4" w:space="0" w:color="000000"/>
              <w:right w:val="single" w:sz="4" w:space="0" w:color="000000"/>
            </w:tcBorders>
            <w:hideMark/>
          </w:tcPr>
          <w:p w14:paraId="53319DC2"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Co-financing type</w:t>
            </w:r>
          </w:p>
        </w:tc>
        <w:tc>
          <w:tcPr>
            <w:tcW w:w="1139" w:type="dxa"/>
            <w:tcBorders>
              <w:top w:val="single" w:sz="4" w:space="0" w:color="000000"/>
              <w:left w:val="single" w:sz="4" w:space="0" w:color="000000"/>
              <w:bottom w:val="single" w:sz="4" w:space="0" w:color="000000"/>
              <w:right w:val="single" w:sz="4" w:space="0" w:color="000000"/>
            </w:tcBorders>
            <w:hideMark/>
          </w:tcPr>
          <w:p w14:paraId="317DEFD9"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Co-financing amount</w:t>
            </w:r>
          </w:p>
        </w:tc>
        <w:tc>
          <w:tcPr>
            <w:tcW w:w="2285" w:type="dxa"/>
            <w:tcBorders>
              <w:top w:val="single" w:sz="4" w:space="0" w:color="000000"/>
              <w:left w:val="single" w:sz="4" w:space="0" w:color="000000"/>
              <w:bottom w:val="single" w:sz="4" w:space="0" w:color="000000"/>
              <w:right w:val="single" w:sz="4" w:space="0" w:color="000000"/>
            </w:tcBorders>
            <w:hideMark/>
          </w:tcPr>
          <w:p w14:paraId="47671F8A"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Planned Co-financing</w:t>
            </w:r>
          </w:p>
          <w:p w14:paraId="5A31C474"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Activities/Outputs</w:t>
            </w:r>
          </w:p>
        </w:tc>
        <w:tc>
          <w:tcPr>
            <w:tcW w:w="1022" w:type="dxa"/>
            <w:tcBorders>
              <w:top w:val="single" w:sz="4" w:space="0" w:color="000000"/>
              <w:left w:val="single" w:sz="4" w:space="0" w:color="000000"/>
              <w:bottom w:val="single" w:sz="4" w:space="0" w:color="000000"/>
              <w:right w:val="single" w:sz="4" w:space="0" w:color="000000"/>
            </w:tcBorders>
            <w:hideMark/>
          </w:tcPr>
          <w:p w14:paraId="424A6F61"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Risks</w:t>
            </w:r>
          </w:p>
        </w:tc>
        <w:tc>
          <w:tcPr>
            <w:tcW w:w="1701" w:type="dxa"/>
            <w:tcBorders>
              <w:top w:val="single" w:sz="4" w:space="0" w:color="000000"/>
              <w:left w:val="single" w:sz="4" w:space="0" w:color="000000"/>
              <w:bottom w:val="single" w:sz="4" w:space="0" w:color="000000"/>
              <w:right w:val="single" w:sz="4" w:space="0" w:color="000000"/>
            </w:tcBorders>
            <w:hideMark/>
          </w:tcPr>
          <w:p w14:paraId="3C9FC2E4" w14:textId="77777777" w:rsidR="00F373B7" w:rsidRDefault="00F373B7">
            <w:pPr>
              <w:rPr>
                <w:rFonts w:asciiTheme="minorHAnsi" w:hAnsiTheme="minorHAnsi" w:cstheme="minorHAnsi"/>
                <w:b/>
                <w:color w:val="000000"/>
                <w:sz w:val="20"/>
                <w:szCs w:val="20"/>
              </w:rPr>
            </w:pPr>
            <w:r>
              <w:rPr>
                <w:rFonts w:asciiTheme="minorHAnsi" w:hAnsiTheme="minorHAnsi" w:cstheme="minorHAnsi"/>
                <w:b/>
                <w:color w:val="000000"/>
                <w:sz w:val="20"/>
                <w:szCs w:val="20"/>
              </w:rPr>
              <w:t>Risk Mitigation Measures</w:t>
            </w:r>
          </w:p>
        </w:tc>
      </w:tr>
      <w:tr w:rsidR="00F373B7" w14:paraId="0D9282BD"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3E9C01E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UNDP</w:t>
            </w:r>
          </w:p>
        </w:tc>
        <w:tc>
          <w:tcPr>
            <w:tcW w:w="1177" w:type="dxa"/>
            <w:tcBorders>
              <w:top w:val="single" w:sz="4" w:space="0" w:color="000000"/>
              <w:left w:val="single" w:sz="4" w:space="0" w:color="000000"/>
              <w:bottom w:val="single" w:sz="4" w:space="0" w:color="000000"/>
              <w:right w:val="single" w:sz="4" w:space="0" w:color="000000"/>
            </w:tcBorders>
            <w:hideMark/>
          </w:tcPr>
          <w:p w14:paraId="0200FCA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7AE9DD1F"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4,755,000</w:t>
            </w:r>
          </w:p>
        </w:tc>
        <w:tc>
          <w:tcPr>
            <w:tcW w:w="2285" w:type="dxa"/>
            <w:tcBorders>
              <w:top w:val="single" w:sz="4" w:space="0" w:color="000000"/>
              <w:left w:val="single" w:sz="4" w:space="0" w:color="000000"/>
              <w:bottom w:val="single" w:sz="4" w:space="0" w:color="000000"/>
              <w:right w:val="single" w:sz="4" w:space="0" w:color="000000"/>
            </w:tcBorders>
            <w:hideMark/>
          </w:tcPr>
          <w:p w14:paraId="78D4E68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Shared information</w:t>
            </w:r>
          </w:p>
        </w:tc>
        <w:tc>
          <w:tcPr>
            <w:tcW w:w="1022" w:type="dxa"/>
            <w:tcBorders>
              <w:top w:val="single" w:sz="4" w:space="0" w:color="000000"/>
              <w:left w:val="single" w:sz="4" w:space="0" w:color="000000"/>
              <w:bottom w:val="single" w:sz="4" w:space="0" w:color="000000"/>
              <w:right w:val="single" w:sz="4" w:space="0" w:color="000000"/>
            </w:tcBorders>
            <w:hideMark/>
          </w:tcPr>
          <w:p w14:paraId="1A9C819E"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0125434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GEF Implementing Agency</w:t>
            </w:r>
          </w:p>
        </w:tc>
      </w:tr>
      <w:tr w:rsidR="00F373B7" w14:paraId="75AD0232"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48AE49E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UNEP</w:t>
            </w:r>
          </w:p>
        </w:tc>
        <w:tc>
          <w:tcPr>
            <w:tcW w:w="1177" w:type="dxa"/>
            <w:tcBorders>
              <w:top w:val="single" w:sz="4" w:space="0" w:color="000000"/>
              <w:left w:val="single" w:sz="4" w:space="0" w:color="000000"/>
              <w:bottom w:val="single" w:sz="4" w:space="0" w:color="000000"/>
              <w:right w:val="single" w:sz="4" w:space="0" w:color="000000"/>
            </w:tcBorders>
            <w:hideMark/>
          </w:tcPr>
          <w:p w14:paraId="61550B13" w14:textId="77777777" w:rsidR="00F373B7" w:rsidRDefault="00F373B7">
            <w:pPr>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Grant</w:t>
            </w:r>
          </w:p>
        </w:tc>
        <w:tc>
          <w:tcPr>
            <w:tcW w:w="1139" w:type="dxa"/>
            <w:tcBorders>
              <w:top w:val="single" w:sz="4" w:space="0" w:color="000000"/>
              <w:left w:val="single" w:sz="4" w:space="0" w:color="000000"/>
              <w:bottom w:val="single" w:sz="4" w:space="0" w:color="000000"/>
              <w:right w:val="single" w:sz="4" w:space="0" w:color="000000"/>
            </w:tcBorders>
            <w:hideMark/>
          </w:tcPr>
          <w:p w14:paraId="1696C141"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1,300,000</w:t>
            </w:r>
          </w:p>
        </w:tc>
        <w:tc>
          <w:tcPr>
            <w:tcW w:w="2285" w:type="dxa"/>
            <w:tcBorders>
              <w:top w:val="single" w:sz="4" w:space="0" w:color="000000"/>
              <w:left w:val="single" w:sz="4" w:space="0" w:color="000000"/>
              <w:bottom w:val="single" w:sz="4" w:space="0" w:color="000000"/>
              <w:right w:val="single" w:sz="4" w:space="0" w:color="000000"/>
            </w:tcBorders>
            <w:hideMark/>
          </w:tcPr>
          <w:p w14:paraId="30809CE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Shared information</w:t>
            </w:r>
          </w:p>
        </w:tc>
        <w:tc>
          <w:tcPr>
            <w:tcW w:w="1022" w:type="dxa"/>
            <w:tcBorders>
              <w:top w:val="single" w:sz="4" w:space="0" w:color="000000"/>
              <w:left w:val="single" w:sz="4" w:space="0" w:color="000000"/>
              <w:bottom w:val="single" w:sz="4" w:space="0" w:color="000000"/>
              <w:right w:val="single" w:sz="4" w:space="0" w:color="000000"/>
            </w:tcBorders>
            <w:hideMark/>
          </w:tcPr>
          <w:p w14:paraId="5111006C"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1449FE49"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GEF Implementing Agency </w:t>
            </w:r>
          </w:p>
        </w:tc>
      </w:tr>
      <w:tr w:rsidR="00F373B7" w14:paraId="31028178"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093A238A" w14:textId="77777777" w:rsidR="00F373B7" w:rsidRDefault="00F373B7">
            <w:pPr>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UNEP</w:t>
            </w:r>
          </w:p>
        </w:tc>
        <w:tc>
          <w:tcPr>
            <w:tcW w:w="1177" w:type="dxa"/>
            <w:tcBorders>
              <w:top w:val="single" w:sz="4" w:space="0" w:color="000000"/>
              <w:left w:val="single" w:sz="4" w:space="0" w:color="000000"/>
              <w:bottom w:val="single" w:sz="4" w:space="0" w:color="000000"/>
              <w:right w:val="single" w:sz="4" w:space="0" w:color="000000"/>
            </w:tcBorders>
            <w:hideMark/>
          </w:tcPr>
          <w:p w14:paraId="167223DA" w14:textId="77777777" w:rsidR="00F373B7" w:rsidRDefault="00F373B7">
            <w:pPr>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 xml:space="preserve">In </w:t>
            </w:r>
            <w:r>
              <w:rPr>
                <w:rFonts w:asciiTheme="minorHAnsi" w:hAnsiTheme="minorHAnsi" w:cstheme="minorHAnsi"/>
                <w:color w:val="000000"/>
                <w:sz w:val="20"/>
                <w:szCs w:val="20"/>
              </w:rPr>
              <w:t>kind</w:t>
            </w:r>
          </w:p>
        </w:tc>
        <w:tc>
          <w:tcPr>
            <w:tcW w:w="1139" w:type="dxa"/>
            <w:tcBorders>
              <w:top w:val="single" w:sz="4" w:space="0" w:color="000000"/>
              <w:left w:val="single" w:sz="4" w:space="0" w:color="000000"/>
              <w:bottom w:val="single" w:sz="4" w:space="0" w:color="000000"/>
              <w:right w:val="single" w:sz="4" w:space="0" w:color="000000"/>
            </w:tcBorders>
            <w:hideMark/>
          </w:tcPr>
          <w:p w14:paraId="33D616F2" w14:textId="77777777" w:rsidR="00F373B7" w:rsidRDefault="00F373B7">
            <w:pPr>
              <w:jc w:val="right"/>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78,000</w:t>
            </w:r>
          </w:p>
        </w:tc>
        <w:tc>
          <w:tcPr>
            <w:tcW w:w="2285" w:type="dxa"/>
            <w:tcBorders>
              <w:top w:val="single" w:sz="4" w:space="0" w:color="000000"/>
              <w:left w:val="single" w:sz="4" w:space="0" w:color="000000"/>
              <w:bottom w:val="single" w:sz="4" w:space="0" w:color="000000"/>
              <w:right w:val="single" w:sz="4" w:space="0" w:color="000000"/>
            </w:tcBorders>
            <w:hideMark/>
          </w:tcPr>
          <w:p w14:paraId="373B16F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Shared information</w:t>
            </w:r>
          </w:p>
        </w:tc>
        <w:tc>
          <w:tcPr>
            <w:tcW w:w="1022" w:type="dxa"/>
            <w:tcBorders>
              <w:top w:val="single" w:sz="4" w:space="0" w:color="000000"/>
              <w:left w:val="single" w:sz="4" w:space="0" w:color="000000"/>
              <w:bottom w:val="single" w:sz="4" w:space="0" w:color="000000"/>
              <w:right w:val="single" w:sz="4" w:space="0" w:color="000000"/>
            </w:tcBorders>
            <w:hideMark/>
          </w:tcPr>
          <w:p w14:paraId="70EC950F"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3F1F5B68"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GEF Implementing Agency </w:t>
            </w:r>
          </w:p>
        </w:tc>
      </w:tr>
      <w:tr w:rsidR="00F373B7" w14:paraId="0F0B4C88"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482DA68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UNESCO-IOC</w:t>
            </w:r>
          </w:p>
        </w:tc>
        <w:tc>
          <w:tcPr>
            <w:tcW w:w="1177" w:type="dxa"/>
            <w:tcBorders>
              <w:top w:val="single" w:sz="4" w:space="0" w:color="000000"/>
              <w:left w:val="single" w:sz="4" w:space="0" w:color="000000"/>
              <w:bottom w:val="single" w:sz="4" w:space="0" w:color="000000"/>
              <w:right w:val="single" w:sz="4" w:space="0" w:color="000000"/>
            </w:tcBorders>
            <w:hideMark/>
          </w:tcPr>
          <w:p w14:paraId="1A5A129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0C86D46A"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2,258,946</w:t>
            </w:r>
          </w:p>
        </w:tc>
        <w:tc>
          <w:tcPr>
            <w:tcW w:w="2285" w:type="dxa"/>
            <w:tcBorders>
              <w:top w:val="single" w:sz="4" w:space="0" w:color="000000"/>
              <w:left w:val="single" w:sz="4" w:space="0" w:color="000000"/>
              <w:bottom w:val="single" w:sz="4" w:space="0" w:color="000000"/>
              <w:right w:val="single" w:sz="4" w:space="0" w:color="000000"/>
            </w:tcBorders>
            <w:hideMark/>
          </w:tcPr>
          <w:p w14:paraId="2B8F9F88"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Technical oversight of activities, technical assistance and training in MSP and Blue Economy</w:t>
            </w:r>
          </w:p>
        </w:tc>
        <w:tc>
          <w:tcPr>
            <w:tcW w:w="1022" w:type="dxa"/>
            <w:tcBorders>
              <w:top w:val="single" w:sz="4" w:space="0" w:color="000000"/>
              <w:left w:val="single" w:sz="4" w:space="0" w:color="000000"/>
              <w:bottom w:val="single" w:sz="4" w:space="0" w:color="000000"/>
              <w:right w:val="single" w:sz="4" w:space="0" w:color="000000"/>
            </w:tcBorders>
            <w:hideMark/>
          </w:tcPr>
          <w:p w14:paraId="3FE7E0A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3DA21BA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Implementing partner</w:t>
            </w:r>
          </w:p>
        </w:tc>
      </w:tr>
      <w:tr w:rsidR="00F373B7" w14:paraId="4CB8356E" w14:textId="77777777" w:rsidTr="00F373B7">
        <w:trPr>
          <w:trHeight w:val="659"/>
          <w:jc w:val="center"/>
        </w:trPr>
        <w:tc>
          <w:tcPr>
            <w:tcW w:w="1602" w:type="dxa"/>
            <w:tcBorders>
              <w:top w:val="single" w:sz="4" w:space="0" w:color="000000"/>
              <w:left w:val="single" w:sz="4" w:space="0" w:color="000000"/>
              <w:bottom w:val="single" w:sz="4" w:space="0" w:color="000000"/>
              <w:right w:val="single" w:sz="4" w:space="0" w:color="000000"/>
            </w:tcBorders>
            <w:hideMark/>
          </w:tcPr>
          <w:p w14:paraId="3F83AAB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Cap-Net</w:t>
            </w:r>
          </w:p>
        </w:tc>
        <w:tc>
          <w:tcPr>
            <w:tcW w:w="1177" w:type="dxa"/>
            <w:tcBorders>
              <w:top w:val="single" w:sz="4" w:space="0" w:color="000000"/>
              <w:left w:val="single" w:sz="4" w:space="0" w:color="000000"/>
              <w:bottom w:val="single" w:sz="4" w:space="0" w:color="000000"/>
              <w:right w:val="single" w:sz="4" w:space="0" w:color="000000"/>
            </w:tcBorders>
            <w:hideMark/>
          </w:tcPr>
          <w:p w14:paraId="3939EA6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Grant</w:t>
            </w:r>
          </w:p>
        </w:tc>
        <w:tc>
          <w:tcPr>
            <w:tcW w:w="1139" w:type="dxa"/>
            <w:tcBorders>
              <w:top w:val="single" w:sz="4" w:space="0" w:color="000000"/>
              <w:left w:val="single" w:sz="4" w:space="0" w:color="000000"/>
              <w:bottom w:val="single" w:sz="4" w:space="0" w:color="000000"/>
              <w:right w:val="single" w:sz="4" w:space="0" w:color="000000"/>
            </w:tcBorders>
            <w:hideMark/>
          </w:tcPr>
          <w:p w14:paraId="7DE15D48" w14:textId="77777777" w:rsidR="00F373B7" w:rsidRDefault="00F373B7">
            <w:pPr>
              <w:jc w:val="right"/>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120,000</w:t>
            </w:r>
          </w:p>
        </w:tc>
        <w:tc>
          <w:tcPr>
            <w:tcW w:w="2285" w:type="dxa"/>
            <w:tcBorders>
              <w:top w:val="single" w:sz="4" w:space="0" w:color="000000"/>
              <w:left w:val="single" w:sz="4" w:space="0" w:color="000000"/>
              <w:bottom w:val="single" w:sz="4" w:space="0" w:color="000000"/>
              <w:right w:val="single" w:sz="4" w:space="0" w:color="000000"/>
            </w:tcBorders>
            <w:hideMark/>
          </w:tcPr>
          <w:p w14:paraId="49C48F6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Training, staff time, virtual campus coordination, monitoring and evaluation</w:t>
            </w:r>
          </w:p>
        </w:tc>
        <w:tc>
          <w:tcPr>
            <w:tcW w:w="1022" w:type="dxa"/>
            <w:tcBorders>
              <w:top w:val="single" w:sz="4" w:space="0" w:color="000000"/>
              <w:left w:val="single" w:sz="4" w:space="0" w:color="000000"/>
              <w:bottom w:val="single" w:sz="4" w:space="0" w:color="000000"/>
              <w:right w:val="single" w:sz="4" w:space="0" w:color="000000"/>
            </w:tcBorders>
            <w:hideMark/>
          </w:tcPr>
          <w:p w14:paraId="14BDA91A"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4B0CFFA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22DA3B33" w14:textId="77777777" w:rsidTr="00F373B7">
        <w:trPr>
          <w:trHeight w:val="659"/>
          <w:jc w:val="center"/>
        </w:trPr>
        <w:tc>
          <w:tcPr>
            <w:tcW w:w="1602" w:type="dxa"/>
            <w:tcBorders>
              <w:top w:val="single" w:sz="4" w:space="0" w:color="000000"/>
              <w:left w:val="single" w:sz="4" w:space="0" w:color="000000"/>
              <w:bottom w:val="single" w:sz="4" w:space="0" w:color="000000"/>
              <w:right w:val="single" w:sz="4" w:space="0" w:color="000000"/>
            </w:tcBorders>
            <w:hideMark/>
          </w:tcPr>
          <w:p w14:paraId="51E6AAA8"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Cap-Net</w:t>
            </w:r>
          </w:p>
        </w:tc>
        <w:tc>
          <w:tcPr>
            <w:tcW w:w="1177" w:type="dxa"/>
            <w:tcBorders>
              <w:top w:val="single" w:sz="4" w:space="0" w:color="000000"/>
              <w:left w:val="single" w:sz="4" w:space="0" w:color="000000"/>
              <w:bottom w:val="single" w:sz="4" w:space="0" w:color="000000"/>
              <w:right w:val="single" w:sz="4" w:space="0" w:color="000000"/>
            </w:tcBorders>
            <w:hideMark/>
          </w:tcPr>
          <w:p w14:paraId="192DC5E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0C0CE9DC"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lang w:val="hr-HR"/>
              </w:rPr>
              <w:t>8</w:t>
            </w:r>
            <w:r>
              <w:rPr>
                <w:rFonts w:asciiTheme="minorHAnsi" w:hAnsiTheme="minorHAnsi" w:cstheme="minorHAnsi"/>
                <w:color w:val="000000"/>
                <w:sz w:val="20"/>
                <w:szCs w:val="20"/>
              </w:rPr>
              <w:t>0,000</w:t>
            </w:r>
          </w:p>
        </w:tc>
        <w:tc>
          <w:tcPr>
            <w:tcW w:w="2285" w:type="dxa"/>
            <w:tcBorders>
              <w:top w:val="single" w:sz="4" w:space="0" w:color="000000"/>
              <w:left w:val="single" w:sz="4" w:space="0" w:color="000000"/>
              <w:bottom w:val="single" w:sz="4" w:space="0" w:color="000000"/>
              <w:right w:val="single" w:sz="4" w:space="0" w:color="000000"/>
            </w:tcBorders>
            <w:hideMark/>
          </w:tcPr>
          <w:p w14:paraId="66745B5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Training, staff time, virtual campus coordination, monitoring and evaluation</w:t>
            </w:r>
          </w:p>
        </w:tc>
        <w:tc>
          <w:tcPr>
            <w:tcW w:w="1022" w:type="dxa"/>
            <w:tcBorders>
              <w:top w:val="single" w:sz="4" w:space="0" w:color="000000"/>
              <w:left w:val="single" w:sz="4" w:space="0" w:color="000000"/>
              <w:bottom w:val="single" w:sz="4" w:space="0" w:color="000000"/>
              <w:right w:val="single" w:sz="4" w:space="0" w:color="000000"/>
            </w:tcBorders>
            <w:hideMark/>
          </w:tcPr>
          <w:p w14:paraId="18E0D7D9"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04C55F0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3E177389"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291DCFD9"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UNECE</w:t>
            </w:r>
          </w:p>
        </w:tc>
        <w:tc>
          <w:tcPr>
            <w:tcW w:w="1177" w:type="dxa"/>
            <w:tcBorders>
              <w:top w:val="single" w:sz="4" w:space="0" w:color="000000"/>
              <w:left w:val="single" w:sz="4" w:space="0" w:color="000000"/>
              <w:bottom w:val="single" w:sz="4" w:space="0" w:color="000000"/>
              <w:right w:val="single" w:sz="4" w:space="0" w:color="000000"/>
            </w:tcBorders>
            <w:hideMark/>
          </w:tcPr>
          <w:p w14:paraId="77BB73C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6D5558C1"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360,000</w:t>
            </w:r>
          </w:p>
        </w:tc>
        <w:tc>
          <w:tcPr>
            <w:tcW w:w="2285" w:type="dxa"/>
            <w:tcBorders>
              <w:top w:val="single" w:sz="4" w:space="0" w:color="000000"/>
              <w:left w:val="single" w:sz="4" w:space="0" w:color="000000"/>
              <w:bottom w:val="single" w:sz="4" w:space="0" w:color="000000"/>
              <w:right w:val="single" w:sz="4" w:space="0" w:color="000000"/>
            </w:tcBorders>
            <w:hideMark/>
          </w:tcPr>
          <w:p w14:paraId="7E3ADE9E"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data, training</w:t>
            </w:r>
          </w:p>
        </w:tc>
        <w:tc>
          <w:tcPr>
            <w:tcW w:w="1022" w:type="dxa"/>
            <w:tcBorders>
              <w:top w:val="single" w:sz="4" w:space="0" w:color="000000"/>
              <w:left w:val="single" w:sz="4" w:space="0" w:color="000000"/>
              <w:bottom w:val="single" w:sz="4" w:space="0" w:color="000000"/>
              <w:right w:val="single" w:sz="4" w:space="0" w:color="000000"/>
            </w:tcBorders>
            <w:hideMark/>
          </w:tcPr>
          <w:p w14:paraId="337B530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Low </w:t>
            </w:r>
          </w:p>
        </w:tc>
        <w:tc>
          <w:tcPr>
            <w:tcW w:w="1701" w:type="dxa"/>
            <w:tcBorders>
              <w:top w:val="single" w:sz="4" w:space="0" w:color="000000"/>
              <w:left w:val="single" w:sz="4" w:space="0" w:color="000000"/>
              <w:bottom w:val="single" w:sz="4" w:space="0" w:color="000000"/>
              <w:right w:val="single" w:sz="4" w:space="0" w:color="000000"/>
            </w:tcBorders>
            <w:hideMark/>
          </w:tcPr>
          <w:p w14:paraId="1D2C0DB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1998F8BD"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24B815E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IDB</w:t>
            </w:r>
          </w:p>
        </w:tc>
        <w:tc>
          <w:tcPr>
            <w:tcW w:w="1177" w:type="dxa"/>
            <w:tcBorders>
              <w:top w:val="single" w:sz="4" w:space="0" w:color="000000"/>
              <w:left w:val="single" w:sz="4" w:space="0" w:color="000000"/>
              <w:bottom w:val="single" w:sz="4" w:space="0" w:color="000000"/>
              <w:right w:val="single" w:sz="4" w:space="0" w:color="000000"/>
            </w:tcBorders>
            <w:hideMark/>
          </w:tcPr>
          <w:p w14:paraId="452C1AA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480832B1"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485,000</w:t>
            </w:r>
          </w:p>
        </w:tc>
        <w:tc>
          <w:tcPr>
            <w:tcW w:w="2285" w:type="dxa"/>
            <w:tcBorders>
              <w:top w:val="single" w:sz="4" w:space="0" w:color="000000"/>
              <w:left w:val="single" w:sz="4" w:space="0" w:color="000000"/>
              <w:bottom w:val="single" w:sz="4" w:space="0" w:color="000000"/>
              <w:right w:val="single" w:sz="4" w:space="0" w:color="000000"/>
            </w:tcBorders>
            <w:hideMark/>
          </w:tcPr>
          <w:p w14:paraId="7D8D93F4"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Staff time, communication, twinning, training, private sector </w:t>
            </w:r>
            <w:proofErr w:type="spellStart"/>
            <w:r>
              <w:rPr>
                <w:rFonts w:asciiTheme="minorHAnsi" w:hAnsiTheme="minorHAnsi" w:cstheme="minorHAnsi"/>
                <w:color w:val="000000"/>
                <w:sz w:val="20"/>
                <w:szCs w:val="20"/>
              </w:rPr>
              <w:t>mobilisation</w:t>
            </w:r>
            <w:proofErr w:type="spellEnd"/>
          </w:p>
        </w:tc>
        <w:tc>
          <w:tcPr>
            <w:tcW w:w="1022" w:type="dxa"/>
            <w:tcBorders>
              <w:top w:val="single" w:sz="4" w:space="0" w:color="000000"/>
              <w:left w:val="single" w:sz="4" w:space="0" w:color="000000"/>
              <w:bottom w:val="single" w:sz="4" w:space="0" w:color="000000"/>
              <w:right w:val="single" w:sz="4" w:space="0" w:color="000000"/>
            </w:tcBorders>
            <w:hideMark/>
          </w:tcPr>
          <w:p w14:paraId="3B71E7CF"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1BD6C6E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1ED49135"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1C8B3152"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UNEP DHI</w:t>
            </w:r>
          </w:p>
        </w:tc>
        <w:tc>
          <w:tcPr>
            <w:tcW w:w="1177" w:type="dxa"/>
            <w:tcBorders>
              <w:top w:val="single" w:sz="4" w:space="0" w:color="000000"/>
              <w:left w:val="single" w:sz="4" w:space="0" w:color="000000"/>
              <w:bottom w:val="single" w:sz="4" w:space="0" w:color="000000"/>
              <w:right w:val="single" w:sz="4" w:space="0" w:color="000000"/>
            </w:tcBorders>
            <w:hideMark/>
          </w:tcPr>
          <w:p w14:paraId="22EFD548"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65D5F15D"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50,000</w:t>
            </w:r>
          </w:p>
        </w:tc>
        <w:tc>
          <w:tcPr>
            <w:tcW w:w="2285" w:type="dxa"/>
            <w:tcBorders>
              <w:top w:val="single" w:sz="4" w:space="0" w:color="000000"/>
              <w:left w:val="single" w:sz="4" w:space="0" w:color="000000"/>
              <w:bottom w:val="single" w:sz="4" w:space="0" w:color="000000"/>
              <w:right w:val="single" w:sz="4" w:space="0" w:color="000000"/>
            </w:tcBorders>
            <w:hideMark/>
          </w:tcPr>
          <w:p w14:paraId="5B995E3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and travel</w:t>
            </w:r>
          </w:p>
        </w:tc>
        <w:tc>
          <w:tcPr>
            <w:tcW w:w="1022" w:type="dxa"/>
            <w:tcBorders>
              <w:top w:val="single" w:sz="4" w:space="0" w:color="000000"/>
              <w:left w:val="single" w:sz="4" w:space="0" w:color="000000"/>
              <w:bottom w:val="single" w:sz="4" w:space="0" w:color="000000"/>
              <w:right w:val="single" w:sz="4" w:space="0" w:color="000000"/>
            </w:tcBorders>
            <w:hideMark/>
          </w:tcPr>
          <w:p w14:paraId="25BF5CB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3955777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4203D015"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5BD35F97"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IUCN GMPP</w:t>
            </w:r>
          </w:p>
        </w:tc>
        <w:tc>
          <w:tcPr>
            <w:tcW w:w="1177" w:type="dxa"/>
            <w:tcBorders>
              <w:top w:val="single" w:sz="4" w:space="0" w:color="000000"/>
              <w:left w:val="single" w:sz="4" w:space="0" w:color="000000"/>
              <w:bottom w:val="single" w:sz="4" w:space="0" w:color="000000"/>
              <w:right w:val="single" w:sz="4" w:space="0" w:color="000000"/>
            </w:tcBorders>
            <w:hideMark/>
          </w:tcPr>
          <w:p w14:paraId="57070CAE"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447E4D79"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300,000</w:t>
            </w:r>
          </w:p>
        </w:tc>
        <w:tc>
          <w:tcPr>
            <w:tcW w:w="2285" w:type="dxa"/>
            <w:tcBorders>
              <w:top w:val="single" w:sz="4" w:space="0" w:color="000000"/>
              <w:left w:val="single" w:sz="4" w:space="0" w:color="000000"/>
              <w:bottom w:val="single" w:sz="4" w:space="0" w:color="000000"/>
              <w:right w:val="single" w:sz="4" w:space="0" w:color="000000"/>
            </w:tcBorders>
            <w:hideMark/>
          </w:tcPr>
          <w:p w14:paraId="3C6EE1C4"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and communication</w:t>
            </w:r>
          </w:p>
        </w:tc>
        <w:tc>
          <w:tcPr>
            <w:tcW w:w="1022" w:type="dxa"/>
            <w:tcBorders>
              <w:top w:val="single" w:sz="4" w:space="0" w:color="000000"/>
              <w:left w:val="single" w:sz="4" w:space="0" w:color="000000"/>
              <w:bottom w:val="single" w:sz="4" w:space="0" w:color="000000"/>
              <w:right w:val="single" w:sz="4" w:space="0" w:color="000000"/>
            </w:tcBorders>
            <w:hideMark/>
          </w:tcPr>
          <w:p w14:paraId="04D7E8A2"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6A044CD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40B106F3"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27528D8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ICPDR</w:t>
            </w:r>
          </w:p>
        </w:tc>
        <w:tc>
          <w:tcPr>
            <w:tcW w:w="1177" w:type="dxa"/>
            <w:tcBorders>
              <w:top w:val="single" w:sz="4" w:space="0" w:color="000000"/>
              <w:left w:val="single" w:sz="4" w:space="0" w:color="000000"/>
              <w:bottom w:val="single" w:sz="4" w:space="0" w:color="000000"/>
              <w:right w:val="single" w:sz="4" w:space="0" w:color="000000"/>
            </w:tcBorders>
            <w:hideMark/>
          </w:tcPr>
          <w:p w14:paraId="250C03A1"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58F408EF"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60,000</w:t>
            </w:r>
          </w:p>
        </w:tc>
        <w:tc>
          <w:tcPr>
            <w:tcW w:w="2285" w:type="dxa"/>
            <w:tcBorders>
              <w:top w:val="single" w:sz="4" w:space="0" w:color="000000"/>
              <w:left w:val="single" w:sz="4" w:space="0" w:color="000000"/>
              <w:bottom w:val="single" w:sz="4" w:space="0" w:color="000000"/>
              <w:right w:val="single" w:sz="4" w:space="0" w:color="000000"/>
            </w:tcBorders>
            <w:hideMark/>
          </w:tcPr>
          <w:p w14:paraId="2507A3A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shared information</w:t>
            </w:r>
          </w:p>
        </w:tc>
        <w:tc>
          <w:tcPr>
            <w:tcW w:w="1022" w:type="dxa"/>
            <w:tcBorders>
              <w:top w:val="single" w:sz="4" w:space="0" w:color="000000"/>
              <w:left w:val="single" w:sz="4" w:space="0" w:color="000000"/>
              <w:bottom w:val="single" w:sz="4" w:space="0" w:color="000000"/>
              <w:right w:val="single" w:sz="4" w:space="0" w:color="000000"/>
            </w:tcBorders>
            <w:hideMark/>
          </w:tcPr>
          <w:p w14:paraId="311ED81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07541B89"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1A6DBCF6"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62646A3F"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The World Bank</w:t>
            </w:r>
          </w:p>
        </w:tc>
        <w:tc>
          <w:tcPr>
            <w:tcW w:w="1177" w:type="dxa"/>
            <w:tcBorders>
              <w:top w:val="single" w:sz="4" w:space="0" w:color="000000"/>
              <w:left w:val="single" w:sz="4" w:space="0" w:color="000000"/>
              <w:bottom w:val="single" w:sz="4" w:space="0" w:color="000000"/>
              <w:right w:val="single" w:sz="4" w:space="0" w:color="000000"/>
            </w:tcBorders>
            <w:hideMark/>
          </w:tcPr>
          <w:p w14:paraId="414CE82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3E72DDE9"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340,000</w:t>
            </w:r>
          </w:p>
        </w:tc>
        <w:tc>
          <w:tcPr>
            <w:tcW w:w="2285" w:type="dxa"/>
            <w:tcBorders>
              <w:top w:val="single" w:sz="4" w:space="0" w:color="000000"/>
              <w:left w:val="single" w:sz="4" w:space="0" w:color="000000"/>
              <w:bottom w:val="single" w:sz="4" w:space="0" w:color="000000"/>
              <w:right w:val="single" w:sz="4" w:space="0" w:color="000000"/>
            </w:tcBorders>
            <w:hideMark/>
          </w:tcPr>
          <w:p w14:paraId="57B800E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Webinars, online courses, data/analytics platforms and e-books</w:t>
            </w:r>
          </w:p>
        </w:tc>
        <w:tc>
          <w:tcPr>
            <w:tcW w:w="1022" w:type="dxa"/>
            <w:tcBorders>
              <w:top w:val="single" w:sz="4" w:space="0" w:color="000000"/>
              <w:left w:val="single" w:sz="4" w:space="0" w:color="000000"/>
              <w:bottom w:val="single" w:sz="4" w:space="0" w:color="000000"/>
              <w:right w:val="single" w:sz="4" w:space="0" w:color="000000"/>
            </w:tcBorders>
            <w:hideMark/>
          </w:tcPr>
          <w:p w14:paraId="49073572"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349A319A"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051CCC68"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7EF6DEF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OAS</w:t>
            </w:r>
          </w:p>
        </w:tc>
        <w:tc>
          <w:tcPr>
            <w:tcW w:w="1177" w:type="dxa"/>
            <w:tcBorders>
              <w:top w:val="single" w:sz="4" w:space="0" w:color="000000"/>
              <w:left w:val="single" w:sz="4" w:space="0" w:color="000000"/>
              <w:bottom w:val="single" w:sz="4" w:space="0" w:color="000000"/>
              <w:right w:val="single" w:sz="4" w:space="0" w:color="000000"/>
            </w:tcBorders>
            <w:hideMark/>
          </w:tcPr>
          <w:p w14:paraId="5FD3988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538EFF8E"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150,000</w:t>
            </w:r>
          </w:p>
        </w:tc>
        <w:tc>
          <w:tcPr>
            <w:tcW w:w="2285" w:type="dxa"/>
            <w:tcBorders>
              <w:top w:val="single" w:sz="4" w:space="0" w:color="000000"/>
              <w:left w:val="single" w:sz="4" w:space="0" w:color="000000"/>
              <w:bottom w:val="single" w:sz="4" w:space="0" w:color="000000"/>
              <w:right w:val="single" w:sz="4" w:space="0" w:color="000000"/>
            </w:tcBorders>
            <w:hideMark/>
          </w:tcPr>
          <w:p w14:paraId="2FEED13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and travel</w:t>
            </w:r>
          </w:p>
        </w:tc>
        <w:tc>
          <w:tcPr>
            <w:tcW w:w="1022" w:type="dxa"/>
            <w:tcBorders>
              <w:top w:val="single" w:sz="4" w:space="0" w:color="000000"/>
              <w:left w:val="single" w:sz="4" w:space="0" w:color="000000"/>
              <w:bottom w:val="single" w:sz="4" w:space="0" w:color="000000"/>
              <w:right w:val="single" w:sz="4" w:space="0" w:color="000000"/>
            </w:tcBorders>
            <w:hideMark/>
          </w:tcPr>
          <w:p w14:paraId="77DDE527"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16ACFAC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5350307C"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3CDA62C9"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TNC</w:t>
            </w:r>
          </w:p>
        </w:tc>
        <w:tc>
          <w:tcPr>
            <w:tcW w:w="1177" w:type="dxa"/>
            <w:tcBorders>
              <w:top w:val="single" w:sz="4" w:space="0" w:color="000000"/>
              <w:left w:val="single" w:sz="4" w:space="0" w:color="000000"/>
              <w:bottom w:val="single" w:sz="4" w:space="0" w:color="000000"/>
              <w:right w:val="single" w:sz="4" w:space="0" w:color="000000"/>
            </w:tcBorders>
            <w:hideMark/>
          </w:tcPr>
          <w:p w14:paraId="210C8AE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793A214D"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53,150</w:t>
            </w:r>
          </w:p>
        </w:tc>
        <w:tc>
          <w:tcPr>
            <w:tcW w:w="2285" w:type="dxa"/>
            <w:tcBorders>
              <w:top w:val="single" w:sz="4" w:space="0" w:color="000000"/>
              <w:left w:val="single" w:sz="4" w:space="0" w:color="000000"/>
              <w:bottom w:val="single" w:sz="4" w:space="0" w:color="000000"/>
              <w:right w:val="single" w:sz="4" w:space="0" w:color="000000"/>
            </w:tcBorders>
            <w:hideMark/>
          </w:tcPr>
          <w:p w14:paraId="461C6F3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and travel</w:t>
            </w:r>
          </w:p>
        </w:tc>
        <w:tc>
          <w:tcPr>
            <w:tcW w:w="1022" w:type="dxa"/>
            <w:tcBorders>
              <w:top w:val="single" w:sz="4" w:space="0" w:color="000000"/>
              <w:left w:val="single" w:sz="4" w:space="0" w:color="000000"/>
              <w:bottom w:val="single" w:sz="4" w:space="0" w:color="000000"/>
              <w:right w:val="single" w:sz="4" w:space="0" w:color="000000"/>
            </w:tcBorders>
            <w:hideMark/>
          </w:tcPr>
          <w:p w14:paraId="4BE2C47A"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55986B1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440AFDCE"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4660DF8F"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UNCTAD</w:t>
            </w:r>
          </w:p>
        </w:tc>
        <w:tc>
          <w:tcPr>
            <w:tcW w:w="1177" w:type="dxa"/>
            <w:tcBorders>
              <w:top w:val="single" w:sz="4" w:space="0" w:color="000000"/>
              <w:left w:val="single" w:sz="4" w:space="0" w:color="000000"/>
              <w:bottom w:val="single" w:sz="4" w:space="0" w:color="000000"/>
              <w:right w:val="single" w:sz="4" w:space="0" w:color="000000"/>
            </w:tcBorders>
            <w:hideMark/>
          </w:tcPr>
          <w:p w14:paraId="0D6D5AFA"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3747DD1F"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300,000</w:t>
            </w:r>
          </w:p>
        </w:tc>
        <w:tc>
          <w:tcPr>
            <w:tcW w:w="2285" w:type="dxa"/>
            <w:tcBorders>
              <w:top w:val="single" w:sz="4" w:space="0" w:color="000000"/>
              <w:left w:val="single" w:sz="4" w:space="0" w:color="000000"/>
              <w:bottom w:val="single" w:sz="4" w:space="0" w:color="000000"/>
              <w:right w:val="single" w:sz="4" w:space="0" w:color="000000"/>
            </w:tcBorders>
            <w:hideMark/>
          </w:tcPr>
          <w:p w14:paraId="5AFABFD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data and communication</w:t>
            </w:r>
          </w:p>
        </w:tc>
        <w:tc>
          <w:tcPr>
            <w:tcW w:w="1022" w:type="dxa"/>
            <w:tcBorders>
              <w:top w:val="single" w:sz="4" w:space="0" w:color="000000"/>
              <w:left w:val="single" w:sz="4" w:space="0" w:color="000000"/>
              <w:bottom w:val="single" w:sz="4" w:space="0" w:color="000000"/>
              <w:right w:val="single" w:sz="4" w:space="0" w:color="000000"/>
            </w:tcBorders>
            <w:hideMark/>
          </w:tcPr>
          <w:p w14:paraId="609F2D57"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559B5B5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46CFCCD3" w14:textId="77777777" w:rsidTr="00F373B7">
        <w:trPr>
          <w:trHeight w:val="449"/>
          <w:jc w:val="center"/>
        </w:trPr>
        <w:tc>
          <w:tcPr>
            <w:tcW w:w="1602" w:type="dxa"/>
            <w:tcBorders>
              <w:top w:val="single" w:sz="4" w:space="0" w:color="000000"/>
              <w:left w:val="single" w:sz="4" w:space="0" w:color="000000"/>
              <w:bottom w:val="single" w:sz="4" w:space="0" w:color="000000"/>
              <w:right w:val="single" w:sz="4" w:space="0" w:color="000000"/>
            </w:tcBorders>
            <w:hideMark/>
          </w:tcPr>
          <w:p w14:paraId="74B79755"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GRID </w:t>
            </w:r>
            <w:proofErr w:type="spellStart"/>
            <w:r>
              <w:rPr>
                <w:rFonts w:asciiTheme="minorHAnsi" w:hAnsiTheme="minorHAnsi" w:cstheme="minorHAnsi"/>
                <w:color w:val="000000"/>
                <w:sz w:val="20"/>
                <w:szCs w:val="20"/>
              </w:rPr>
              <w:t>Arendal</w:t>
            </w:r>
            <w:proofErr w:type="spellEnd"/>
          </w:p>
        </w:tc>
        <w:tc>
          <w:tcPr>
            <w:tcW w:w="1177" w:type="dxa"/>
            <w:tcBorders>
              <w:top w:val="single" w:sz="4" w:space="0" w:color="000000"/>
              <w:left w:val="single" w:sz="4" w:space="0" w:color="000000"/>
              <w:bottom w:val="single" w:sz="4" w:space="0" w:color="000000"/>
              <w:right w:val="single" w:sz="4" w:space="0" w:color="000000"/>
            </w:tcBorders>
            <w:hideMark/>
          </w:tcPr>
          <w:p w14:paraId="42358D5E"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Grant</w:t>
            </w:r>
          </w:p>
        </w:tc>
        <w:tc>
          <w:tcPr>
            <w:tcW w:w="1139" w:type="dxa"/>
            <w:tcBorders>
              <w:top w:val="single" w:sz="4" w:space="0" w:color="000000"/>
              <w:left w:val="single" w:sz="4" w:space="0" w:color="000000"/>
              <w:bottom w:val="single" w:sz="4" w:space="0" w:color="000000"/>
              <w:right w:val="single" w:sz="4" w:space="0" w:color="000000"/>
            </w:tcBorders>
            <w:hideMark/>
          </w:tcPr>
          <w:p w14:paraId="1B7D21CC"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40,000</w:t>
            </w:r>
          </w:p>
        </w:tc>
        <w:tc>
          <w:tcPr>
            <w:tcW w:w="2285" w:type="dxa"/>
            <w:tcBorders>
              <w:top w:val="single" w:sz="4" w:space="0" w:color="000000"/>
              <w:left w:val="single" w:sz="4" w:space="0" w:color="000000"/>
              <w:bottom w:val="single" w:sz="4" w:space="0" w:color="000000"/>
              <w:right w:val="single" w:sz="4" w:space="0" w:color="000000"/>
            </w:tcBorders>
            <w:hideMark/>
          </w:tcPr>
          <w:p w14:paraId="2A86500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data and travel</w:t>
            </w:r>
          </w:p>
        </w:tc>
        <w:tc>
          <w:tcPr>
            <w:tcW w:w="1022" w:type="dxa"/>
            <w:tcBorders>
              <w:top w:val="single" w:sz="4" w:space="0" w:color="000000"/>
              <w:left w:val="single" w:sz="4" w:space="0" w:color="000000"/>
              <w:bottom w:val="single" w:sz="4" w:space="0" w:color="000000"/>
              <w:right w:val="single" w:sz="4" w:space="0" w:color="000000"/>
            </w:tcBorders>
            <w:hideMark/>
          </w:tcPr>
          <w:p w14:paraId="7DB7CF0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Low </w:t>
            </w:r>
          </w:p>
        </w:tc>
        <w:tc>
          <w:tcPr>
            <w:tcW w:w="1701" w:type="dxa"/>
            <w:tcBorders>
              <w:top w:val="single" w:sz="4" w:space="0" w:color="000000"/>
              <w:left w:val="single" w:sz="4" w:space="0" w:color="000000"/>
              <w:bottom w:val="single" w:sz="4" w:space="0" w:color="000000"/>
              <w:right w:val="single" w:sz="4" w:space="0" w:color="000000"/>
            </w:tcBorders>
            <w:hideMark/>
          </w:tcPr>
          <w:p w14:paraId="0F8D9D14"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6AE03875" w14:textId="77777777" w:rsidTr="00F373B7">
        <w:trPr>
          <w:trHeight w:val="449"/>
          <w:jc w:val="center"/>
        </w:trPr>
        <w:tc>
          <w:tcPr>
            <w:tcW w:w="1602" w:type="dxa"/>
            <w:tcBorders>
              <w:top w:val="single" w:sz="4" w:space="0" w:color="000000"/>
              <w:left w:val="single" w:sz="4" w:space="0" w:color="000000"/>
              <w:bottom w:val="single" w:sz="4" w:space="0" w:color="000000"/>
              <w:right w:val="single" w:sz="4" w:space="0" w:color="000000"/>
            </w:tcBorders>
            <w:hideMark/>
          </w:tcPr>
          <w:p w14:paraId="2CF19C36"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GRID </w:t>
            </w:r>
            <w:proofErr w:type="spellStart"/>
            <w:r>
              <w:rPr>
                <w:rFonts w:asciiTheme="minorHAnsi" w:hAnsiTheme="minorHAnsi" w:cstheme="minorHAnsi"/>
                <w:color w:val="000000"/>
                <w:sz w:val="20"/>
                <w:szCs w:val="20"/>
              </w:rPr>
              <w:t>Arendal</w:t>
            </w:r>
            <w:proofErr w:type="spellEnd"/>
          </w:p>
        </w:tc>
        <w:tc>
          <w:tcPr>
            <w:tcW w:w="1177" w:type="dxa"/>
            <w:tcBorders>
              <w:top w:val="single" w:sz="4" w:space="0" w:color="000000"/>
              <w:left w:val="single" w:sz="4" w:space="0" w:color="000000"/>
              <w:bottom w:val="single" w:sz="4" w:space="0" w:color="000000"/>
              <w:right w:val="single" w:sz="4" w:space="0" w:color="000000"/>
            </w:tcBorders>
            <w:hideMark/>
          </w:tcPr>
          <w:p w14:paraId="4C028A2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1879C48B"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448,000</w:t>
            </w:r>
          </w:p>
        </w:tc>
        <w:tc>
          <w:tcPr>
            <w:tcW w:w="2285" w:type="dxa"/>
            <w:tcBorders>
              <w:top w:val="single" w:sz="4" w:space="0" w:color="000000"/>
              <w:left w:val="single" w:sz="4" w:space="0" w:color="000000"/>
              <w:bottom w:val="single" w:sz="4" w:space="0" w:color="000000"/>
              <w:right w:val="single" w:sz="4" w:space="0" w:color="000000"/>
            </w:tcBorders>
            <w:hideMark/>
          </w:tcPr>
          <w:p w14:paraId="1275D6F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Training courses, information, staff time</w:t>
            </w:r>
          </w:p>
        </w:tc>
        <w:tc>
          <w:tcPr>
            <w:tcW w:w="1022" w:type="dxa"/>
            <w:tcBorders>
              <w:top w:val="single" w:sz="4" w:space="0" w:color="000000"/>
              <w:left w:val="single" w:sz="4" w:space="0" w:color="000000"/>
              <w:bottom w:val="single" w:sz="4" w:space="0" w:color="000000"/>
              <w:right w:val="single" w:sz="4" w:space="0" w:color="000000"/>
            </w:tcBorders>
            <w:hideMark/>
          </w:tcPr>
          <w:p w14:paraId="4DC3E292"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Low </w:t>
            </w:r>
          </w:p>
        </w:tc>
        <w:tc>
          <w:tcPr>
            <w:tcW w:w="1701" w:type="dxa"/>
            <w:tcBorders>
              <w:top w:val="single" w:sz="4" w:space="0" w:color="000000"/>
              <w:left w:val="single" w:sz="4" w:space="0" w:color="000000"/>
              <w:bottom w:val="single" w:sz="4" w:space="0" w:color="000000"/>
              <w:right w:val="single" w:sz="4" w:space="0" w:color="000000"/>
            </w:tcBorders>
            <w:hideMark/>
          </w:tcPr>
          <w:p w14:paraId="6ED7E104"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33CE2C15"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36E2D0D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REV Ocean</w:t>
            </w:r>
          </w:p>
        </w:tc>
        <w:tc>
          <w:tcPr>
            <w:tcW w:w="1177" w:type="dxa"/>
            <w:tcBorders>
              <w:top w:val="single" w:sz="4" w:space="0" w:color="000000"/>
              <w:left w:val="single" w:sz="4" w:space="0" w:color="000000"/>
              <w:bottom w:val="single" w:sz="4" w:space="0" w:color="000000"/>
              <w:right w:val="single" w:sz="4" w:space="0" w:color="000000"/>
            </w:tcBorders>
            <w:hideMark/>
          </w:tcPr>
          <w:p w14:paraId="3671ECE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4B9ACB09"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1,550,000</w:t>
            </w:r>
          </w:p>
        </w:tc>
        <w:tc>
          <w:tcPr>
            <w:tcW w:w="2285" w:type="dxa"/>
            <w:tcBorders>
              <w:top w:val="single" w:sz="4" w:space="0" w:color="000000"/>
              <w:left w:val="single" w:sz="4" w:space="0" w:color="000000"/>
              <w:bottom w:val="single" w:sz="4" w:space="0" w:color="000000"/>
              <w:right w:val="single" w:sz="4" w:space="0" w:color="000000"/>
            </w:tcBorders>
            <w:hideMark/>
          </w:tcPr>
          <w:p w14:paraId="0C6C060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Workshop and training facilities, data, communication, staff time</w:t>
            </w:r>
          </w:p>
        </w:tc>
        <w:tc>
          <w:tcPr>
            <w:tcW w:w="1022" w:type="dxa"/>
            <w:tcBorders>
              <w:top w:val="single" w:sz="4" w:space="0" w:color="000000"/>
              <w:left w:val="single" w:sz="4" w:space="0" w:color="000000"/>
              <w:bottom w:val="single" w:sz="4" w:space="0" w:color="000000"/>
              <w:right w:val="single" w:sz="4" w:space="0" w:color="000000"/>
            </w:tcBorders>
            <w:hideMark/>
          </w:tcPr>
          <w:p w14:paraId="27308B72"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0C6257C7"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6BB4A7F4"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077E03B7"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UNESCO IHP</w:t>
            </w:r>
          </w:p>
        </w:tc>
        <w:tc>
          <w:tcPr>
            <w:tcW w:w="1177" w:type="dxa"/>
            <w:tcBorders>
              <w:top w:val="single" w:sz="4" w:space="0" w:color="000000"/>
              <w:left w:val="single" w:sz="4" w:space="0" w:color="000000"/>
              <w:bottom w:val="single" w:sz="4" w:space="0" w:color="000000"/>
              <w:right w:val="single" w:sz="4" w:space="0" w:color="000000"/>
            </w:tcBorders>
            <w:hideMark/>
          </w:tcPr>
          <w:p w14:paraId="08612E0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13301612"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600,000</w:t>
            </w:r>
          </w:p>
        </w:tc>
        <w:tc>
          <w:tcPr>
            <w:tcW w:w="2285" w:type="dxa"/>
            <w:tcBorders>
              <w:top w:val="single" w:sz="4" w:space="0" w:color="000000"/>
              <w:left w:val="single" w:sz="4" w:space="0" w:color="000000"/>
              <w:bottom w:val="single" w:sz="4" w:space="0" w:color="000000"/>
              <w:right w:val="single" w:sz="4" w:space="0" w:color="000000"/>
            </w:tcBorders>
            <w:hideMark/>
          </w:tcPr>
          <w:p w14:paraId="36CB5B4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data, communication</w:t>
            </w:r>
          </w:p>
        </w:tc>
        <w:tc>
          <w:tcPr>
            <w:tcW w:w="1022" w:type="dxa"/>
            <w:tcBorders>
              <w:top w:val="single" w:sz="4" w:space="0" w:color="000000"/>
              <w:left w:val="single" w:sz="4" w:space="0" w:color="000000"/>
              <w:bottom w:val="single" w:sz="4" w:space="0" w:color="000000"/>
              <w:right w:val="single" w:sz="4" w:space="0" w:color="000000"/>
            </w:tcBorders>
            <w:hideMark/>
          </w:tcPr>
          <w:p w14:paraId="32786E42"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512AA2CE"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4AB3F492"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0C9C23CB"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WWF-US</w:t>
            </w:r>
          </w:p>
        </w:tc>
        <w:tc>
          <w:tcPr>
            <w:tcW w:w="1177" w:type="dxa"/>
            <w:tcBorders>
              <w:top w:val="single" w:sz="4" w:space="0" w:color="000000"/>
              <w:left w:val="single" w:sz="4" w:space="0" w:color="000000"/>
              <w:bottom w:val="single" w:sz="4" w:space="0" w:color="000000"/>
              <w:right w:val="single" w:sz="4" w:space="0" w:color="000000"/>
            </w:tcBorders>
            <w:hideMark/>
          </w:tcPr>
          <w:p w14:paraId="5D15E8CD"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2C90FA4F" w14:textId="77777777" w:rsidR="00F373B7" w:rsidRDefault="00F373B7">
            <w:pPr>
              <w:jc w:val="right"/>
              <w:rPr>
                <w:rFonts w:asciiTheme="minorHAnsi" w:hAnsiTheme="minorHAnsi" w:cstheme="minorHAnsi"/>
                <w:color w:val="000000"/>
                <w:sz w:val="20"/>
                <w:szCs w:val="20"/>
              </w:rPr>
            </w:pPr>
            <w:r>
              <w:rPr>
                <w:rFonts w:asciiTheme="minorHAnsi" w:hAnsiTheme="minorHAnsi" w:cstheme="minorHAnsi"/>
                <w:color w:val="000000"/>
                <w:sz w:val="20"/>
                <w:szCs w:val="20"/>
              </w:rPr>
              <w:t>115,000</w:t>
            </w:r>
          </w:p>
        </w:tc>
        <w:tc>
          <w:tcPr>
            <w:tcW w:w="2285" w:type="dxa"/>
            <w:tcBorders>
              <w:top w:val="single" w:sz="4" w:space="0" w:color="000000"/>
              <w:left w:val="single" w:sz="4" w:space="0" w:color="000000"/>
              <w:bottom w:val="single" w:sz="4" w:space="0" w:color="000000"/>
              <w:right w:val="single" w:sz="4" w:space="0" w:color="000000"/>
            </w:tcBorders>
            <w:hideMark/>
          </w:tcPr>
          <w:p w14:paraId="50DF6983"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Staff time and travel</w:t>
            </w:r>
          </w:p>
        </w:tc>
        <w:tc>
          <w:tcPr>
            <w:tcW w:w="1022" w:type="dxa"/>
            <w:tcBorders>
              <w:top w:val="single" w:sz="4" w:space="0" w:color="000000"/>
              <w:left w:val="single" w:sz="4" w:space="0" w:color="000000"/>
              <w:bottom w:val="single" w:sz="4" w:space="0" w:color="000000"/>
              <w:right w:val="single" w:sz="4" w:space="0" w:color="000000"/>
            </w:tcBorders>
            <w:hideMark/>
          </w:tcPr>
          <w:p w14:paraId="25DFA500"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Low</w:t>
            </w:r>
          </w:p>
        </w:tc>
        <w:tc>
          <w:tcPr>
            <w:tcW w:w="1701" w:type="dxa"/>
            <w:tcBorders>
              <w:top w:val="single" w:sz="4" w:space="0" w:color="000000"/>
              <w:left w:val="single" w:sz="4" w:space="0" w:color="000000"/>
              <w:bottom w:val="single" w:sz="4" w:space="0" w:color="000000"/>
              <w:right w:val="single" w:sz="4" w:space="0" w:color="000000"/>
            </w:tcBorders>
            <w:hideMark/>
          </w:tcPr>
          <w:p w14:paraId="0FC9C5BF" w14:textId="77777777" w:rsidR="00F373B7" w:rsidRDefault="00F373B7">
            <w:pPr>
              <w:rPr>
                <w:rFonts w:asciiTheme="minorHAnsi" w:hAnsiTheme="minorHAnsi" w:cstheme="minorHAnsi"/>
                <w:color w:val="000000"/>
                <w:sz w:val="20"/>
                <w:szCs w:val="20"/>
              </w:rPr>
            </w:pPr>
            <w:r>
              <w:rPr>
                <w:rFonts w:asciiTheme="minorHAnsi" w:hAnsiTheme="minorHAnsi" w:cstheme="minorHAnsi"/>
                <w:color w:val="000000"/>
                <w:sz w:val="20"/>
                <w:szCs w:val="20"/>
              </w:rPr>
              <w:t>Partner</w:t>
            </w:r>
          </w:p>
        </w:tc>
      </w:tr>
      <w:tr w:rsidR="00F373B7" w14:paraId="342AB363"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74BA6A1D" w14:textId="77777777" w:rsidR="00F373B7" w:rsidRDefault="00F373B7">
            <w:pPr>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UNSW GWI</w:t>
            </w:r>
          </w:p>
        </w:tc>
        <w:tc>
          <w:tcPr>
            <w:tcW w:w="1177" w:type="dxa"/>
            <w:tcBorders>
              <w:top w:val="single" w:sz="4" w:space="0" w:color="000000"/>
              <w:left w:val="single" w:sz="4" w:space="0" w:color="000000"/>
              <w:bottom w:val="single" w:sz="4" w:space="0" w:color="000000"/>
              <w:right w:val="single" w:sz="4" w:space="0" w:color="000000"/>
            </w:tcBorders>
            <w:hideMark/>
          </w:tcPr>
          <w:p w14:paraId="2E85DC03"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Grant</w:t>
            </w:r>
          </w:p>
        </w:tc>
        <w:tc>
          <w:tcPr>
            <w:tcW w:w="1139" w:type="dxa"/>
            <w:tcBorders>
              <w:top w:val="single" w:sz="4" w:space="0" w:color="000000"/>
              <w:left w:val="single" w:sz="4" w:space="0" w:color="000000"/>
              <w:bottom w:val="single" w:sz="4" w:space="0" w:color="000000"/>
              <w:right w:val="single" w:sz="4" w:space="0" w:color="000000"/>
            </w:tcBorders>
            <w:hideMark/>
          </w:tcPr>
          <w:p w14:paraId="60563422" w14:textId="77777777" w:rsidR="00F373B7" w:rsidRDefault="00F373B7">
            <w:pPr>
              <w:jc w:val="right"/>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18,000</w:t>
            </w:r>
          </w:p>
        </w:tc>
        <w:tc>
          <w:tcPr>
            <w:tcW w:w="2285" w:type="dxa"/>
            <w:tcBorders>
              <w:top w:val="single" w:sz="4" w:space="0" w:color="000000"/>
              <w:left w:val="single" w:sz="4" w:space="0" w:color="000000"/>
              <w:bottom w:val="single" w:sz="4" w:space="0" w:color="000000"/>
              <w:right w:val="single" w:sz="4" w:space="0" w:color="000000"/>
            </w:tcBorders>
            <w:hideMark/>
          </w:tcPr>
          <w:p w14:paraId="661ADC68"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Travel cost</w:t>
            </w:r>
          </w:p>
        </w:tc>
        <w:tc>
          <w:tcPr>
            <w:tcW w:w="1022" w:type="dxa"/>
            <w:tcBorders>
              <w:top w:val="single" w:sz="4" w:space="0" w:color="000000"/>
              <w:left w:val="single" w:sz="4" w:space="0" w:color="000000"/>
              <w:bottom w:val="single" w:sz="4" w:space="0" w:color="000000"/>
              <w:right w:val="single" w:sz="4" w:space="0" w:color="000000"/>
            </w:tcBorders>
            <w:hideMark/>
          </w:tcPr>
          <w:p w14:paraId="2F867CBD"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Low</w:t>
            </w:r>
          </w:p>
        </w:tc>
        <w:tc>
          <w:tcPr>
            <w:tcW w:w="1701" w:type="dxa"/>
            <w:tcBorders>
              <w:top w:val="single" w:sz="4" w:space="0" w:color="000000"/>
              <w:left w:val="single" w:sz="4" w:space="0" w:color="000000"/>
              <w:bottom w:val="single" w:sz="4" w:space="0" w:color="000000"/>
              <w:right w:val="single" w:sz="4" w:space="0" w:color="000000"/>
            </w:tcBorders>
            <w:hideMark/>
          </w:tcPr>
          <w:p w14:paraId="556C3B45"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Partner</w:t>
            </w:r>
          </w:p>
        </w:tc>
      </w:tr>
      <w:tr w:rsidR="00F373B7" w14:paraId="20B38372" w14:textId="77777777" w:rsidTr="00F373B7">
        <w:trPr>
          <w:jc w:val="center"/>
        </w:trPr>
        <w:tc>
          <w:tcPr>
            <w:tcW w:w="1602" w:type="dxa"/>
            <w:tcBorders>
              <w:top w:val="single" w:sz="4" w:space="0" w:color="000000"/>
              <w:left w:val="single" w:sz="4" w:space="0" w:color="000000"/>
              <w:bottom w:val="single" w:sz="4" w:space="0" w:color="000000"/>
              <w:right w:val="single" w:sz="4" w:space="0" w:color="000000"/>
            </w:tcBorders>
            <w:hideMark/>
          </w:tcPr>
          <w:p w14:paraId="6530B754" w14:textId="77777777" w:rsidR="00F373B7" w:rsidRDefault="00F373B7">
            <w:pPr>
              <w:rPr>
                <w:rFonts w:asciiTheme="minorHAnsi" w:hAnsiTheme="minorHAnsi" w:cstheme="minorHAnsi"/>
                <w:color w:val="000000"/>
                <w:sz w:val="20"/>
                <w:szCs w:val="20"/>
                <w:lang w:val="hr-HR"/>
              </w:rPr>
            </w:pPr>
            <w:r>
              <w:rPr>
                <w:rFonts w:asciiTheme="minorHAnsi" w:hAnsiTheme="minorHAnsi" w:cstheme="minorHAnsi"/>
                <w:color w:val="000000"/>
                <w:sz w:val="20"/>
                <w:szCs w:val="20"/>
                <w:lang w:val="hr-HR"/>
              </w:rPr>
              <w:t>UNSW GWI</w:t>
            </w:r>
          </w:p>
        </w:tc>
        <w:tc>
          <w:tcPr>
            <w:tcW w:w="1177" w:type="dxa"/>
            <w:tcBorders>
              <w:top w:val="single" w:sz="4" w:space="0" w:color="000000"/>
              <w:left w:val="single" w:sz="4" w:space="0" w:color="000000"/>
              <w:bottom w:val="single" w:sz="4" w:space="0" w:color="000000"/>
              <w:right w:val="single" w:sz="4" w:space="0" w:color="000000"/>
            </w:tcBorders>
            <w:hideMark/>
          </w:tcPr>
          <w:p w14:paraId="18F5ED9B"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In kind</w:t>
            </w:r>
          </w:p>
        </w:tc>
        <w:tc>
          <w:tcPr>
            <w:tcW w:w="1139" w:type="dxa"/>
            <w:tcBorders>
              <w:top w:val="single" w:sz="4" w:space="0" w:color="000000"/>
              <w:left w:val="single" w:sz="4" w:space="0" w:color="000000"/>
              <w:bottom w:val="single" w:sz="4" w:space="0" w:color="000000"/>
              <w:right w:val="single" w:sz="4" w:space="0" w:color="000000"/>
            </w:tcBorders>
            <w:hideMark/>
          </w:tcPr>
          <w:p w14:paraId="2DA90FDA" w14:textId="77777777" w:rsidR="00F373B7" w:rsidRDefault="00F373B7">
            <w:pPr>
              <w:jc w:val="right"/>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1,232,000</w:t>
            </w:r>
          </w:p>
        </w:tc>
        <w:tc>
          <w:tcPr>
            <w:tcW w:w="2285" w:type="dxa"/>
            <w:tcBorders>
              <w:top w:val="single" w:sz="4" w:space="0" w:color="000000"/>
              <w:left w:val="single" w:sz="4" w:space="0" w:color="000000"/>
              <w:bottom w:val="single" w:sz="4" w:space="0" w:color="000000"/>
              <w:right w:val="single" w:sz="4" w:space="0" w:color="000000"/>
            </w:tcBorders>
            <w:hideMark/>
          </w:tcPr>
          <w:p w14:paraId="49D1EF0B"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Staff time, travel, and information</w:t>
            </w:r>
          </w:p>
        </w:tc>
        <w:tc>
          <w:tcPr>
            <w:tcW w:w="1022" w:type="dxa"/>
            <w:tcBorders>
              <w:top w:val="single" w:sz="4" w:space="0" w:color="000000"/>
              <w:left w:val="single" w:sz="4" w:space="0" w:color="000000"/>
              <w:bottom w:val="single" w:sz="4" w:space="0" w:color="000000"/>
              <w:right w:val="single" w:sz="4" w:space="0" w:color="000000"/>
            </w:tcBorders>
            <w:hideMark/>
          </w:tcPr>
          <w:p w14:paraId="15CC5277"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Low</w:t>
            </w:r>
          </w:p>
        </w:tc>
        <w:tc>
          <w:tcPr>
            <w:tcW w:w="1701" w:type="dxa"/>
            <w:tcBorders>
              <w:top w:val="single" w:sz="4" w:space="0" w:color="000000"/>
              <w:left w:val="single" w:sz="4" w:space="0" w:color="000000"/>
              <w:bottom w:val="single" w:sz="4" w:space="0" w:color="000000"/>
              <w:right w:val="single" w:sz="4" w:space="0" w:color="000000"/>
            </w:tcBorders>
            <w:hideMark/>
          </w:tcPr>
          <w:p w14:paraId="5A844E0F" w14:textId="77777777" w:rsidR="00F373B7" w:rsidRDefault="00F373B7">
            <w:pPr>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Partner</w:t>
            </w:r>
          </w:p>
        </w:tc>
      </w:tr>
    </w:tbl>
    <w:p w14:paraId="21C678C5" w14:textId="77777777" w:rsidR="00F373B7" w:rsidRDefault="00F373B7" w:rsidP="00F373B7">
      <w:pPr>
        <w:pStyle w:val="ListParagraph"/>
        <w:ind w:left="0"/>
        <w:rPr>
          <w:rFonts w:ascii="Calibri" w:eastAsia="SimSun" w:hAnsi="Calibri"/>
          <w:sz w:val="20"/>
          <w:szCs w:val="20"/>
          <w:u w:val="single"/>
          <w:lang w:eastAsia="en-US"/>
        </w:rPr>
      </w:pPr>
    </w:p>
    <w:p w14:paraId="5613D490" w14:textId="77777777" w:rsidR="00F373B7" w:rsidRDefault="00F373B7" w:rsidP="00F373B7">
      <w:pPr>
        <w:pStyle w:val="ListParagraph"/>
        <w:ind w:left="0"/>
        <w:jc w:val="both"/>
        <w:rPr>
          <w:rFonts w:asciiTheme="minorHAnsi" w:hAnsiTheme="minorHAnsi"/>
          <w:sz w:val="22"/>
          <w:szCs w:val="22"/>
        </w:rPr>
      </w:pPr>
      <w:r>
        <w:rPr>
          <w:rFonts w:asciiTheme="minorHAnsi" w:hAnsiTheme="minorHAnsi"/>
          <w:sz w:val="22"/>
          <w:szCs w:val="22"/>
          <w:u w:val="single"/>
        </w:rPr>
        <w:t>Budget Revision and Tolerance</w:t>
      </w:r>
      <w:r>
        <w:rPr>
          <w:rFonts w:asciiTheme="minorHAnsi" w:hAnsiTheme="minorHAnsi"/>
          <w:sz w:val="22"/>
          <w:szCs w:val="22"/>
        </w:rPr>
        <w:t xml:space="preserve">: As per UNDP requirements outlined in the UNDP POPP, the project board will agree on a budget tolerance level for each plan under the overall annual work plan allowing the project coordinator to expend up to the tolerance level beyond the approved project budget amount for the year without requiring a revision from the Project Board. </w:t>
      </w:r>
    </w:p>
    <w:p w14:paraId="51CE7E97" w14:textId="77777777" w:rsidR="00F373B7" w:rsidRDefault="00F373B7" w:rsidP="00F373B7">
      <w:pPr>
        <w:pStyle w:val="ListParagraph"/>
        <w:ind w:left="0"/>
        <w:jc w:val="both"/>
        <w:rPr>
          <w:rFonts w:asciiTheme="minorHAnsi" w:hAnsiTheme="minorHAnsi"/>
          <w:sz w:val="22"/>
          <w:szCs w:val="22"/>
        </w:rPr>
      </w:pPr>
    </w:p>
    <w:p w14:paraId="79DB3E5E" w14:textId="77777777" w:rsidR="00F373B7" w:rsidRDefault="00F373B7" w:rsidP="00F373B7">
      <w:pPr>
        <w:pStyle w:val="ListParagraph"/>
        <w:ind w:left="0"/>
        <w:jc w:val="both"/>
        <w:rPr>
          <w:rFonts w:asciiTheme="minorHAnsi" w:hAnsiTheme="minorHAnsi"/>
          <w:sz w:val="22"/>
          <w:szCs w:val="22"/>
        </w:rPr>
      </w:pPr>
      <w:r>
        <w:rPr>
          <w:rFonts w:asciiTheme="minorHAnsi" w:hAnsiTheme="minorHAnsi"/>
          <w:sz w:val="22"/>
          <w:szCs w:val="22"/>
        </w:rPr>
        <w:t xml:space="preserve">Should the following deviations occur, the Project coordinator/CTA  will seek the approval of the HQ NCE team to ensure accurate reporting to the GEF: </w:t>
      </w:r>
    </w:p>
    <w:p w14:paraId="6AF4A258" w14:textId="77777777" w:rsidR="00F373B7" w:rsidRDefault="00F373B7" w:rsidP="00F373B7">
      <w:pPr>
        <w:pStyle w:val="ListParagraph"/>
        <w:ind w:left="0"/>
        <w:jc w:val="both"/>
        <w:rPr>
          <w:rFonts w:asciiTheme="minorHAnsi" w:hAnsiTheme="minorHAnsi"/>
          <w:sz w:val="22"/>
          <w:szCs w:val="22"/>
        </w:rPr>
      </w:pPr>
      <w:r>
        <w:rPr>
          <w:rFonts w:asciiTheme="minorHAnsi" w:hAnsiTheme="minorHAnsi"/>
          <w:sz w:val="22"/>
          <w:szCs w:val="22"/>
        </w:rPr>
        <w:t xml:space="preserve">a) Budget re-allocations among components in the project budget with amounts involving 10% of the total project grant or more; </w:t>
      </w:r>
    </w:p>
    <w:p w14:paraId="4604F019" w14:textId="77777777" w:rsidR="00F373B7" w:rsidRDefault="00F373B7" w:rsidP="00F373B7">
      <w:pPr>
        <w:pStyle w:val="ListParagraph"/>
        <w:ind w:left="0"/>
        <w:jc w:val="both"/>
        <w:rPr>
          <w:rFonts w:asciiTheme="minorHAnsi" w:hAnsiTheme="minorHAnsi"/>
          <w:sz w:val="22"/>
          <w:szCs w:val="22"/>
        </w:rPr>
      </w:pPr>
      <w:r>
        <w:rPr>
          <w:rFonts w:asciiTheme="minorHAnsi" w:hAnsiTheme="minorHAnsi"/>
          <w:sz w:val="22"/>
          <w:szCs w:val="22"/>
        </w:rPr>
        <w:t xml:space="preserve">b) Introduction of new budget items that exceed 5% of original GEF allocation. </w:t>
      </w:r>
    </w:p>
    <w:p w14:paraId="467BB8BD" w14:textId="77777777" w:rsidR="00F373B7" w:rsidRDefault="00F373B7" w:rsidP="00F373B7">
      <w:pPr>
        <w:jc w:val="both"/>
        <w:rPr>
          <w:rFonts w:asciiTheme="minorHAnsi" w:hAnsiTheme="minorHAnsi"/>
          <w:sz w:val="22"/>
          <w:szCs w:val="22"/>
        </w:rPr>
      </w:pPr>
    </w:p>
    <w:p w14:paraId="136AF358" w14:textId="77777777" w:rsidR="00F373B7" w:rsidRDefault="00F373B7" w:rsidP="00F373B7">
      <w:pPr>
        <w:jc w:val="both"/>
        <w:rPr>
          <w:rFonts w:asciiTheme="minorHAnsi" w:hAnsiTheme="minorHAnsi"/>
          <w:sz w:val="22"/>
          <w:szCs w:val="22"/>
          <w:u w:val="single"/>
        </w:rPr>
      </w:pPr>
      <w:r>
        <w:rPr>
          <w:rFonts w:asciiTheme="minorHAnsi" w:hAnsiTheme="minorHAnsi"/>
          <w:sz w:val="22"/>
          <w:szCs w:val="22"/>
        </w:rPr>
        <w:t>Any over expenditure incurred beyond the available GEF grant amount will be absorbed by non-GEF resources (e.g. UNDP TRAC or cash co-financing).</w:t>
      </w:r>
      <w:r>
        <w:rPr>
          <w:rFonts w:asciiTheme="minorHAnsi" w:hAnsiTheme="minorHAnsi"/>
          <w:sz w:val="22"/>
          <w:szCs w:val="22"/>
          <w:u w:val="single"/>
        </w:rPr>
        <w:t xml:space="preserve"> </w:t>
      </w:r>
    </w:p>
    <w:p w14:paraId="090631CB" w14:textId="77777777" w:rsidR="00F373B7" w:rsidRDefault="00F373B7" w:rsidP="00F373B7">
      <w:pPr>
        <w:jc w:val="both"/>
        <w:rPr>
          <w:rFonts w:asciiTheme="minorHAnsi" w:hAnsiTheme="minorHAnsi"/>
          <w:sz w:val="22"/>
          <w:szCs w:val="22"/>
          <w:u w:val="single"/>
        </w:rPr>
      </w:pPr>
    </w:p>
    <w:p w14:paraId="4DB0DC69" w14:textId="77777777" w:rsidR="00F373B7" w:rsidRDefault="00F373B7" w:rsidP="00F373B7">
      <w:pPr>
        <w:jc w:val="both"/>
        <w:rPr>
          <w:rFonts w:asciiTheme="minorHAnsi" w:hAnsiTheme="minorHAnsi" w:cs="Calibri"/>
          <w:sz w:val="22"/>
          <w:szCs w:val="22"/>
        </w:rPr>
      </w:pPr>
      <w:r>
        <w:rPr>
          <w:rFonts w:asciiTheme="minorHAnsi" w:hAnsiTheme="minorHAnsi" w:cs="Calibri"/>
          <w:sz w:val="22"/>
          <w:szCs w:val="22"/>
          <w:u w:val="single"/>
        </w:rPr>
        <w:t>Audit</w:t>
      </w:r>
      <w:r>
        <w:rPr>
          <w:rFonts w:asciiTheme="minorHAnsi" w:hAnsiTheme="minorHAnsi" w:cs="Calibri"/>
          <w:sz w:val="22"/>
          <w:szCs w:val="22"/>
        </w:rPr>
        <w:t xml:space="preserve">: 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150493AB" w14:textId="77777777" w:rsidR="00F373B7" w:rsidRDefault="00F373B7" w:rsidP="00F373B7">
      <w:pPr>
        <w:jc w:val="both"/>
        <w:rPr>
          <w:rFonts w:asciiTheme="minorHAnsi" w:hAnsiTheme="minorHAnsi"/>
          <w:sz w:val="22"/>
          <w:szCs w:val="22"/>
          <w:u w:val="single"/>
        </w:rPr>
      </w:pPr>
    </w:p>
    <w:p w14:paraId="6BA1D3B2" w14:textId="77777777" w:rsidR="00F373B7" w:rsidRDefault="00F373B7" w:rsidP="00F373B7">
      <w:pPr>
        <w:pStyle w:val="ListParagraph"/>
        <w:ind w:left="0"/>
        <w:jc w:val="both"/>
        <w:rPr>
          <w:rFonts w:asciiTheme="minorHAnsi" w:hAnsiTheme="minorHAnsi" w:cstheme="minorHAnsi"/>
          <w:sz w:val="22"/>
          <w:szCs w:val="22"/>
        </w:rPr>
      </w:pPr>
      <w:r>
        <w:rPr>
          <w:rFonts w:asciiTheme="minorHAnsi" w:hAnsiTheme="minorHAnsi"/>
          <w:sz w:val="22"/>
          <w:szCs w:val="22"/>
          <w:u w:val="single"/>
        </w:rPr>
        <w:t>Project Closure</w:t>
      </w:r>
      <w:r>
        <w:rPr>
          <w:rFonts w:asciiTheme="minorHAnsi" w:hAnsiTheme="minorHAnsi"/>
          <w:sz w:val="22"/>
          <w:szCs w:val="22"/>
        </w:rPr>
        <w:t>: Project closure will be conducted as per UNDP requirements outlined in the UNDP POPP. All c</w:t>
      </w:r>
      <w:r>
        <w:rPr>
          <w:rFonts w:asciiTheme="minorHAnsi" w:hAnsiTheme="minorHAnsi" w:cstheme="minorHAnsi"/>
          <w:sz w:val="22"/>
          <w:szCs w:val="22"/>
        </w:rPr>
        <w:t xml:space="preserve">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3A4345EE" w14:textId="77777777" w:rsidR="00F373B7" w:rsidRDefault="00F373B7" w:rsidP="00F373B7">
      <w:pPr>
        <w:jc w:val="both"/>
        <w:rPr>
          <w:rFonts w:asciiTheme="minorHAnsi" w:hAnsiTheme="minorHAnsi"/>
          <w:sz w:val="22"/>
          <w:szCs w:val="22"/>
          <w:u w:val="single"/>
        </w:rPr>
      </w:pPr>
    </w:p>
    <w:p w14:paraId="41DE9573" w14:textId="77777777" w:rsidR="00F373B7" w:rsidRDefault="00F373B7" w:rsidP="00F373B7">
      <w:pPr>
        <w:jc w:val="both"/>
        <w:rPr>
          <w:rFonts w:asciiTheme="minorHAnsi" w:hAnsiTheme="minorHAnsi"/>
          <w:sz w:val="22"/>
          <w:szCs w:val="22"/>
        </w:rPr>
      </w:pPr>
      <w:r>
        <w:rPr>
          <w:rFonts w:asciiTheme="minorHAnsi" w:hAnsiTheme="minorHAnsi"/>
          <w:sz w:val="22"/>
          <w:szCs w:val="22"/>
          <w:u w:val="single"/>
        </w:rPr>
        <w:t>Operational completion</w:t>
      </w:r>
      <w:r>
        <w:rPr>
          <w:rFonts w:asciiTheme="minorHAnsi" w:hAnsiTheme="minorHAnsi"/>
          <w:sz w:val="22"/>
          <w:szCs w:val="22"/>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Pr>
          <w:rFonts w:asciiTheme="minorHAnsi" w:hAnsiTheme="minorHAnsi"/>
          <w:b/>
          <w:sz w:val="22"/>
          <w:szCs w:val="22"/>
        </w:rPr>
        <w:t>Operational closure must happen with 3 months after posting the TE report to the UNDP ERC</w:t>
      </w:r>
      <w:r>
        <w:rPr>
          <w:rFonts w:asciiTheme="minorHAnsi" w:hAnsiTheme="minorHAnsi"/>
          <w:sz w:val="22"/>
          <w:szCs w:val="22"/>
        </w:rPr>
        <w:t xml:space="preserve">. The Implementing Partner </w:t>
      </w:r>
      <w:r>
        <w:rPr>
          <w:rFonts w:asciiTheme="minorHAnsi" w:hAnsiTheme="minorHAnsi"/>
          <w:sz w:val="22"/>
          <w:szCs w:val="22"/>
        </w:rPr>
        <w:lastRenderedPageBreak/>
        <w:t xml:space="preserve">through a Project Board decision will notify the lead UNDP Office when operational closure has been completed. At this time, the relevant parties will have already agreed and confirmed in writing on the arrangements for the disposal of any equipment that is still the property of UNDP. </w:t>
      </w:r>
    </w:p>
    <w:p w14:paraId="13183C64" w14:textId="77777777" w:rsidR="00F373B7" w:rsidRDefault="00F373B7" w:rsidP="00F373B7">
      <w:pPr>
        <w:jc w:val="both"/>
        <w:rPr>
          <w:rFonts w:asciiTheme="minorHAnsi" w:hAnsiTheme="minorHAnsi"/>
          <w:sz w:val="22"/>
          <w:szCs w:val="22"/>
          <w:u w:val="single"/>
        </w:rPr>
      </w:pPr>
    </w:p>
    <w:p w14:paraId="23D1731D" w14:textId="77777777" w:rsidR="00F373B7" w:rsidRDefault="00F373B7" w:rsidP="00F373B7">
      <w:pPr>
        <w:jc w:val="both"/>
        <w:rPr>
          <w:rFonts w:asciiTheme="minorHAnsi" w:hAnsiTheme="minorHAnsi"/>
          <w:sz w:val="22"/>
          <w:szCs w:val="22"/>
        </w:rPr>
      </w:pPr>
      <w:r>
        <w:rPr>
          <w:rFonts w:asciiTheme="minorHAnsi" w:hAnsiTheme="minorHAnsi"/>
          <w:sz w:val="22"/>
          <w:szCs w:val="22"/>
          <w:u w:val="single"/>
        </w:rPr>
        <w:t>Transfer or disposal of assets</w:t>
      </w:r>
      <w:r>
        <w:rPr>
          <w:rFonts w:asciiTheme="minorHAnsi" w:hAnsiTheme="minorHAnsi"/>
          <w:sz w:val="22"/>
          <w:szCs w:val="22"/>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rFonts w:asciiTheme="minorHAnsi" w:hAnsiTheme="minorHAnsi"/>
          <w:sz w:val="22"/>
          <w:szCs w:val="22"/>
        </w:rPr>
        <w:footnoteReference w:id="17"/>
      </w:r>
      <w:r>
        <w:rPr>
          <w:rFonts w:asciiTheme="minorHAnsi" w:hAnsiTheme="minorHAnsi"/>
          <w:sz w:val="22"/>
          <w:szCs w:val="22"/>
        </w:rPr>
        <w:t>. The transfer should be done before Project Management Unit complete their assignments.</w:t>
      </w:r>
    </w:p>
    <w:p w14:paraId="3539EE83" w14:textId="77777777" w:rsidR="00F373B7" w:rsidRDefault="00F373B7" w:rsidP="00F373B7">
      <w:pPr>
        <w:jc w:val="both"/>
        <w:rPr>
          <w:rFonts w:asciiTheme="minorHAnsi" w:hAnsiTheme="minorHAnsi"/>
          <w:sz w:val="22"/>
          <w:szCs w:val="22"/>
          <w:u w:val="single"/>
        </w:rPr>
      </w:pPr>
    </w:p>
    <w:p w14:paraId="0A7FDC4D" w14:textId="77777777" w:rsidR="00F373B7" w:rsidRDefault="00F373B7" w:rsidP="00F373B7">
      <w:pPr>
        <w:jc w:val="both"/>
        <w:rPr>
          <w:rFonts w:asciiTheme="minorHAnsi" w:hAnsiTheme="minorHAnsi"/>
          <w:sz w:val="22"/>
          <w:szCs w:val="22"/>
        </w:rPr>
      </w:pPr>
      <w:r>
        <w:rPr>
          <w:rFonts w:asciiTheme="minorHAnsi" w:hAnsiTheme="minorHAnsi"/>
          <w:sz w:val="22"/>
          <w:szCs w:val="22"/>
          <w:u w:val="single"/>
        </w:rPr>
        <w:t>Financial completion (closure)</w:t>
      </w:r>
      <w:r>
        <w:rPr>
          <w:rFonts w:asciiTheme="minorHAnsi" w:hAnsiTheme="minorHAnsi"/>
          <w:sz w:val="22"/>
          <w:szCs w:val="22"/>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66333F1A" w14:textId="77777777" w:rsidR="00F373B7" w:rsidRDefault="00F373B7" w:rsidP="00F373B7">
      <w:pPr>
        <w:jc w:val="both"/>
        <w:rPr>
          <w:rFonts w:asciiTheme="minorHAnsi" w:hAnsiTheme="minorHAnsi"/>
          <w:sz w:val="22"/>
          <w:szCs w:val="22"/>
        </w:rPr>
      </w:pPr>
    </w:p>
    <w:p w14:paraId="5708AD13" w14:textId="77777777" w:rsidR="00F373B7" w:rsidRDefault="00F373B7" w:rsidP="00F373B7">
      <w:pPr>
        <w:jc w:val="both"/>
        <w:rPr>
          <w:rFonts w:asciiTheme="minorHAnsi" w:hAnsiTheme="minorHAnsi"/>
          <w:sz w:val="22"/>
          <w:szCs w:val="22"/>
        </w:rPr>
      </w:pPr>
      <w:r>
        <w:rPr>
          <w:rFonts w:asciiTheme="minorHAnsi" w:hAnsiTheme="minorHAnsi"/>
          <w:sz w:val="22"/>
          <w:szCs w:val="22"/>
        </w:rPr>
        <w:t xml:space="preserve">The project will be financially completed </w:t>
      </w:r>
      <w:r>
        <w:rPr>
          <w:rFonts w:asciiTheme="minorHAnsi" w:hAnsiTheme="minorHAnsi"/>
          <w:b/>
          <w:sz w:val="22"/>
          <w:szCs w:val="22"/>
        </w:rPr>
        <w:t>within 6 months of operational closure or after the date of cancellation</w:t>
      </w:r>
      <w:r>
        <w:rPr>
          <w:rFonts w:asciiTheme="minorHAnsi" w:hAnsiTheme="minorHAnsi"/>
          <w:sz w:val="22"/>
          <w:szCs w:val="22"/>
        </w:rPr>
        <w:t>.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HQ NCE Unit for confirmation before the project will be financially closed in Atlas by the UNDP Lead Office (HQ NCE).</w:t>
      </w:r>
    </w:p>
    <w:p w14:paraId="02E48993" w14:textId="77777777" w:rsidR="00F373B7" w:rsidRDefault="00F373B7" w:rsidP="00F373B7">
      <w:pPr>
        <w:jc w:val="both"/>
        <w:rPr>
          <w:rFonts w:asciiTheme="minorHAnsi" w:hAnsiTheme="minorHAnsi"/>
          <w:sz w:val="22"/>
          <w:szCs w:val="22"/>
        </w:rPr>
      </w:pPr>
    </w:p>
    <w:p w14:paraId="147E6D73" w14:textId="77777777" w:rsidR="00F373B7" w:rsidRDefault="00F373B7" w:rsidP="00F373B7">
      <w:pPr>
        <w:jc w:val="both"/>
        <w:rPr>
          <w:rFonts w:asciiTheme="minorHAnsi" w:hAnsiTheme="minorHAnsi"/>
          <w:sz w:val="22"/>
          <w:szCs w:val="22"/>
        </w:rPr>
      </w:pPr>
      <w:r>
        <w:rPr>
          <w:rFonts w:asciiTheme="minorHAnsi" w:hAnsiTheme="minorHAnsi"/>
          <w:sz w:val="22"/>
          <w:szCs w:val="22"/>
          <w:u w:val="single"/>
        </w:rPr>
        <w:t>Refund to GEF:</w:t>
      </w:r>
      <w:r>
        <w:rPr>
          <w:rFonts w:asciiTheme="minorHAnsi" w:hAnsiTheme="minorHAnsi"/>
          <w:sz w:val="22"/>
          <w:szCs w:val="22"/>
        </w:rPr>
        <w:t xml:space="preserve">  Should a refund of unspent funds to the GEF be necessary, this will be managed directly by the HQ NCE Directorate in New York. </w:t>
      </w:r>
    </w:p>
    <w:p w14:paraId="51398C3A" w14:textId="77777777" w:rsidR="00F373B7" w:rsidRDefault="00F373B7" w:rsidP="00F373B7">
      <w:pPr>
        <w:jc w:val="both"/>
        <w:rPr>
          <w:rFonts w:asciiTheme="minorHAnsi" w:hAnsiTheme="minorHAnsi"/>
          <w:szCs w:val="20"/>
          <w:u w:val="single"/>
        </w:rPr>
      </w:pPr>
    </w:p>
    <w:p w14:paraId="27C56770" w14:textId="77777777" w:rsidR="00F373B7" w:rsidRDefault="00F373B7" w:rsidP="00F373B7">
      <w:pPr>
        <w:rPr>
          <w:rFonts w:asciiTheme="minorHAnsi" w:hAnsiTheme="minorHAnsi"/>
          <w:szCs w:val="20"/>
          <w:u w:val="single"/>
        </w:rPr>
      </w:pPr>
    </w:p>
    <w:p w14:paraId="5B1DE969" w14:textId="77777777" w:rsidR="00F373B7" w:rsidRDefault="00F373B7" w:rsidP="00F373B7">
      <w:pPr>
        <w:rPr>
          <w:rFonts w:asciiTheme="minorHAnsi" w:hAnsiTheme="minorHAnsi"/>
          <w:szCs w:val="20"/>
        </w:rPr>
      </w:pPr>
    </w:p>
    <w:p w14:paraId="4A3F9897" w14:textId="7392EEB7" w:rsidR="00D83888" w:rsidRDefault="00D83888">
      <w:pPr>
        <w:spacing w:after="160" w:line="259" w:lineRule="auto"/>
        <w:rPr>
          <w:lang w:eastAsia="en-US"/>
        </w:rPr>
      </w:pPr>
    </w:p>
    <w:p w14:paraId="0F1FAB82" w14:textId="77777777" w:rsidR="00F373B7" w:rsidRPr="00F373B7" w:rsidRDefault="00F373B7" w:rsidP="00F373B7">
      <w:pPr>
        <w:rPr>
          <w:lang w:eastAsia="en-US"/>
        </w:rPr>
      </w:pPr>
    </w:p>
    <w:p w14:paraId="2D6AC1A0" w14:textId="77777777" w:rsidR="00F0133E" w:rsidRDefault="00F0133E" w:rsidP="00D83888">
      <w:pPr>
        <w:pStyle w:val="Heading1"/>
        <w:spacing w:before="0" w:after="60"/>
        <w:jc w:val="left"/>
        <w:rPr>
          <w:rFonts w:ascii="Calibri" w:eastAsia="SimSun" w:hAnsi="Calibri"/>
          <w:szCs w:val="28"/>
        </w:rPr>
        <w:sectPr w:rsidR="00F0133E">
          <w:pgSz w:w="11906" w:h="16838"/>
          <w:pgMar w:top="1440" w:right="1440" w:bottom="1440" w:left="1440" w:header="708" w:footer="708" w:gutter="0"/>
          <w:cols w:space="708"/>
          <w:docGrid w:linePitch="360"/>
        </w:sectPr>
      </w:pPr>
      <w:bookmarkStart w:id="50" w:name="_Toc46749084"/>
    </w:p>
    <w:p w14:paraId="4D0354BF" w14:textId="4DEB9AF3" w:rsidR="00D83888" w:rsidRDefault="00D83888" w:rsidP="00D83888">
      <w:pPr>
        <w:pStyle w:val="Heading1"/>
        <w:spacing w:before="0" w:after="60"/>
        <w:jc w:val="left"/>
        <w:rPr>
          <w:rFonts w:ascii="Calibri" w:eastAsia="SimSun" w:hAnsi="Calibri"/>
          <w:szCs w:val="28"/>
        </w:rPr>
      </w:pPr>
      <w:bookmarkStart w:id="51" w:name="_Toc115094390"/>
      <w:r>
        <w:rPr>
          <w:rFonts w:ascii="Calibri" w:eastAsia="SimSun" w:hAnsi="Calibri"/>
          <w:szCs w:val="28"/>
        </w:rPr>
        <w:lastRenderedPageBreak/>
        <w:t>Total Budget and Work Plan</w:t>
      </w:r>
      <w:bookmarkEnd w:id="50"/>
      <w:bookmarkEnd w:id="51"/>
    </w:p>
    <w:p w14:paraId="3C075935" w14:textId="77777777" w:rsidR="00F0133E" w:rsidRDefault="00F0133E" w:rsidP="00F0133E">
      <w:pPr>
        <w:rPr>
          <w:rFonts w:asciiTheme="minorHAnsi" w:hAnsiTheme="minorHAnsi" w:cstheme="minorHAnsi"/>
          <w:i/>
          <w:noProof/>
          <w:sz w:val="18"/>
          <w:szCs w:val="18"/>
          <w:lang w:eastAsia="zh-CN"/>
        </w:rPr>
      </w:pPr>
    </w:p>
    <w:p w14:paraId="00F62617" w14:textId="77777777" w:rsidR="00F0133E" w:rsidRDefault="00F0133E" w:rsidP="00F0133E">
      <w:pPr>
        <w:rPr>
          <w:rFonts w:asciiTheme="minorHAnsi" w:hAnsiTheme="minorHAnsi" w:cstheme="minorHAnsi"/>
          <w:i/>
          <w:noProof/>
          <w:sz w:val="18"/>
          <w:szCs w:val="18"/>
          <w:lang w:eastAsia="zh-CN"/>
        </w:rPr>
      </w:pPr>
    </w:p>
    <w:tbl>
      <w:tblPr>
        <w:tblW w:w="145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0"/>
        <w:gridCol w:w="4527"/>
        <w:gridCol w:w="3643"/>
        <w:gridCol w:w="3590"/>
      </w:tblGrid>
      <w:tr w:rsidR="00F0133E" w:rsidRPr="00F0133E" w14:paraId="2CAE8EF9" w14:textId="77777777" w:rsidTr="00F0133E">
        <w:tc>
          <w:tcPr>
            <w:tcW w:w="1452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20000B" w14:textId="77777777" w:rsidR="00F0133E" w:rsidRDefault="00F0133E">
            <w:pPr>
              <w:rPr>
                <w:rFonts w:asciiTheme="minorHAnsi" w:hAnsiTheme="minorHAnsi" w:cstheme="minorHAnsi"/>
                <w:bCs/>
                <w:sz w:val="20"/>
                <w:szCs w:val="20"/>
              </w:rPr>
            </w:pPr>
            <w:r>
              <w:rPr>
                <w:rFonts w:asciiTheme="minorHAnsi" w:hAnsiTheme="minorHAnsi" w:cstheme="minorHAnsi"/>
                <w:bCs/>
                <w:sz w:val="20"/>
                <w:szCs w:val="20"/>
              </w:rPr>
              <w:t>Total Budget and Work Plan</w:t>
            </w:r>
          </w:p>
        </w:tc>
      </w:tr>
      <w:tr w:rsidR="00F0133E" w14:paraId="3E50A76B" w14:textId="77777777" w:rsidTr="00F0133E">
        <w:tc>
          <w:tcPr>
            <w:tcW w:w="2761" w:type="dxa"/>
            <w:tcBorders>
              <w:top w:val="single" w:sz="4" w:space="0" w:color="000000"/>
              <w:left w:val="single" w:sz="4" w:space="0" w:color="000000"/>
              <w:bottom w:val="single" w:sz="4" w:space="0" w:color="000000"/>
              <w:right w:val="single" w:sz="4" w:space="0" w:color="000000"/>
            </w:tcBorders>
            <w:vAlign w:val="center"/>
            <w:hideMark/>
          </w:tcPr>
          <w:p w14:paraId="3FAFB7E8" w14:textId="77777777" w:rsidR="00F0133E" w:rsidRDefault="00F0133E">
            <w:pPr>
              <w:rPr>
                <w:rFonts w:asciiTheme="minorHAnsi" w:hAnsiTheme="minorHAnsi" w:cstheme="minorHAnsi"/>
                <w:bCs/>
                <w:sz w:val="20"/>
                <w:szCs w:val="20"/>
              </w:rPr>
            </w:pPr>
            <w:r>
              <w:rPr>
                <w:rFonts w:asciiTheme="minorHAnsi" w:hAnsiTheme="minorHAnsi" w:cstheme="minorHAnsi"/>
                <w:bCs/>
                <w:color w:val="000000"/>
                <w:sz w:val="20"/>
                <w:szCs w:val="20"/>
              </w:rPr>
              <w:t>Atlas</w:t>
            </w:r>
            <w:r>
              <w:rPr>
                <w:rFonts w:asciiTheme="minorHAnsi" w:hAnsiTheme="minorHAnsi" w:cstheme="minorHAnsi"/>
                <w:bCs/>
                <w:color w:val="000000"/>
                <w:sz w:val="20"/>
                <w:szCs w:val="20"/>
                <w:vertAlign w:val="superscript"/>
              </w:rPr>
              <w:footnoteReference w:id="18"/>
            </w:r>
            <w:r>
              <w:rPr>
                <w:rFonts w:asciiTheme="minorHAnsi" w:hAnsiTheme="minorHAnsi" w:cstheme="minorHAnsi"/>
                <w:bCs/>
                <w:color w:val="000000"/>
                <w:sz w:val="20"/>
                <w:szCs w:val="20"/>
              </w:rPr>
              <w:t xml:space="preserve"> Proposal or Award ID:  </w:t>
            </w:r>
          </w:p>
        </w:tc>
        <w:tc>
          <w:tcPr>
            <w:tcW w:w="4529" w:type="dxa"/>
            <w:tcBorders>
              <w:top w:val="single" w:sz="4" w:space="0" w:color="000000"/>
              <w:left w:val="single" w:sz="4" w:space="0" w:color="000000"/>
              <w:bottom w:val="single" w:sz="4" w:space="0" w:color="000000"/>
              <w:right w:val="single" w:sz="4" w:space="0" w:color="000000"/>
            </w:tcBorders>
            <w:vAlign w:val="center"/>
            <w:hideMark/>
          </w:tcPr>
          <w:p w14:paraId="532F03C4" w14:textId="77777777" w:rsidR="00F0133E" w:rsidRDefault="00F0133E">
            <w:pPr>
              <w:rPr>
                <w:rFonts w:asciiTheme="minorHAnsi" w:hAnsiTheme="minorHAnsi" w:cstheme="minorHAnsi"/>
                <w:bCs/>
                <w:sz w:val="20"/>
                <w:szCs w:val="20"/>
                <w:lang w:val="hr-HR"/>
              </w:rPr>
            </w:pPr>
            <w:r>
              <w:rPr>
                <w:rFonts w:asciiTheme="minorHAnsi" w:hAnsiTheme="minorHAnsi" w:cstheme="minorHAnsi"/>
                <w:bCs/>
                <w:sz w:val="20"/>
                <w:szCs w:val="20"/>
                <w:lang w:val="hr-HR"/>
              </w:rPr>
              <w:t>00139753</w:t>
            </w:r>
          </w:p>
        </w:tc>
        <w:tc>
          <w:tcPr>
            <w:tcW w:w="3645" w:type="dxa"/>
            <w:tcBorders>
              <w:top w:val="single" w:sz="4" w:space="0" w:color="000000"/>
              <w:left w:val="single" w:sz="4" w:space="0" w:color="000000"/>
              <w:bottom w:val="single" w:sz="4" w:space="0" w:color="000000"/>
              <w:right w:val="single" w:sz="4" w:space="0" w:color="000000"/>
            </w:tcBorders>
            <w:vAlign w:val="center"/>
            <w:hideMark/>
          </w:tcPr>
          <w:p w14:paraId="4DB050CA"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Atlas Primary Output Project ID:</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00184661" w14:textId="77777777" w:rsidR="00F0133E" w:rsidRDefault="00F0133E">
            <w:pPr>
              <w:rPr>
                <w:rFonts w:asciiTheme="minorHAnsi" w:hAnsiTheme="minorHAnsi" w:cstheme="minorHAnsi"/>
                <w:bCs/>
                <w:sz w:val="20"/>
                <w:szCs w:val="20"/>
                <w:lang w:val="hr-HR"/>
              </w:rPr>
            </w:pPr>
            <w:r>
              <w:rPr>
                <w:rFonts w:asciiTheme="minorHAnsi" w:hAnsiTheme="minorHAnsi" w:cstheme="minorHAnsi"/>
                <w:bCs/>
                <w:sz w:val="20"/>
                <w:szCs w:val="20"/>
                <w:lang w:val="hr-HR"/>
              </w:rPr>
              <w:t>00129237</w:t>
            </w:r>
          </w:p>
        </w:tc>
      </w:tr>
      <w:tr w:rsidR="00F0133E" w:rsidRPr="00F0133E" w14:paraId="4CE1E8B7" w14:textId="77777777" w:rsidTr="00F0133E">
        <w:trPr>
          <w:trHeight w:val="77"/>
        </w:trPr>
        <w:tc>
          <w:tcPr>
            <w:tcW w:w="2761" w:type="dxa"/>
            <w:tcBorders>
              <w:top w:val="nil"/>
              <w:left w:val="single" w:sz="4" w:space="0" w:color="000000"/>
              <w:bottom w:val="single" w:sz="4" w:space="0" w:color="000000"/>
              <w:right w:val="single" w:sz="4" w:space="0" w:color="000000"/>
            </w:tcBorders>
            <w:vAlign w:val="center"/>
            <w:hideMark/>
          </w:tcPr>
          <w:p w14:paraId="373385D8"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Atlas Proposal or Award Title:</w:t>
            </w:r>
          </w:p>
        </w:tc>
        <w:tc>
          <w:tcPr>
            <w:tcW w:w="11765" w:type="dxa"/>
            <w:gridSpan w:val="3"/>
            <w:tcBorders>
              <w:top w:val="single" w:sz="4" w:space="0" w:color="000000"/>
              <w:left w:val="nil"/>
              <w:bottom w:val="single" w:sz="4" w:space="0" w:color="000000"/>
              <w:right w:val="single" w:sz="4" w:space="0" w:color="000000"/>
            </w:tcBorders>
            <w:vAlign w:val="center"/>
            <w:hideMark/>
          </w:tcPr>
          <w:p w14:paraId="4EA28C01"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GEF IW:LEARN 5: Supporting Portfolio Coordination Within and Beyond the International Waters Focal Area, particularly in Small Island Developing States, Through Knowledge Sharing, Information Management, Partnership Building and Programmatic Guidance Services</w:t>
            </w:r>
          </w:p>
        </w:tc>
      </w:tr>
      <w:tr w:rsidR="00F0133E" w14:paraId="60437A7A" w14:textId="77777777" w:rsidTr="00F0133E">
        <w:trPr>
          <w:trHeight w:val="77"/>
        </w:trPr>
        <w:tc>
          <w:tcPr>
            <w:tcW w:w="2761" w:type="dxa"/>
            <w:tcBorders>
              <w:top w:val="nil"/>
              <w:left w:val="single" w:sz="4" w:space="0" w:color="000000"/>
              <w:bottom w:val="single" w:sz="4" w:space="0" w:color="000000"/>
              <w:right w:val="single" w:sz="4" w:space="0" w:color="000000"/>
            </w:tcBorders>
            <w:vAlign w:val="center"/>
            <w:hideMark/>
          </w:tcPr>
          <w:p w14:paraId="11A992F8"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Atlas Business Unit</w:t>
            </w:r>
          </w:p>
        </w:tc>
        <w:tc>
          <w:tcPr>
            <w:tcW w:w="11765" w:type="dxa"/>
            <w:gridSpan w:val="3"/>
            <w:tcBorders>
              <w:top w:val="single" w:sz="4" w:space="0" w:color="000000"/>
              <w:left w:val="nil"/>
              <w:bottom w:val="single" w:sz="4" w:space="0" w:color="000000"/>
              <w:right w:val="single" w:sz="4" w:space="0" w:color="000000"/>
            </w:tcBorders>
            <w:vAlign w:val="center"/>
            <w:hideMark/>
          </w:tcPr>
          <w:p w14:paraId="3177E972"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lang w:val="hr-HR"/>
              </w:rPr>
              <w:t>UNDP1</w:t>
            </w:r>
            <w:r>
              <w:rPr>
                <w:rFonts w:asciiTheme="minorHAnsi" w:hAnsiTheme="minorHAnsi" w:cstheme="minorHAnsi"/>
                <w:bCs/>
                <w:color w:val="000000"/>
                <w:sz w:val="20"/>
                <w:szCs w:val="20"/>
              </w:rPr>
              <w:t> </w:t>
            </w:r>
          </w:p>
        </w:tc>
      </w:tr>
      <w:tr w:rsidR="00F0133E" w:rsidRPr="00F0133E" w14:paraId="5259231E" w14:textId="77777777" w:rsidTr="00F0133E">
        <w:trPr>
          <w:trHeight w:val="77"/>
        </w:trPr>
        <w:tc>
          <w:tcPr>
            <w:tcW w:w="2761" w:type="dxa"/>
            <w:tcBorders>
              <w:top w:val="nil"/>
              <w:left w:val="single" w:sz="4" w:space="0" w:color="000000"/>
              <w:bottom w:val="single" w:sz="4" w:space="0" w:color="000000"/>
              <w:right w:val="single" w:sz="4" w:space="0" w:color="000000"/>
            </w:tcBorders>
            <w:vAlign w:val="center"/>
            <w:hideMark/>
          </w:tcPr>
          <w:p w14:paraId="17BE7FC7"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Atlas Primary Output Project Title</w:t>
            </w:r>
          </w:p>
        </w:tc>
        <w:tc>
          <w:tcPr>
            <w:tcW w:w="11765" w:type="dxa"/>
            <w:gridSpan w:val="3"/>
            <w:tcBorders>
              <w:top w:val="single" w:sz="4" w:space="0" w:color="000000"/>
              <w:left w:val="nil"/>
              <w:bottom w:val="single" w:sz="4" w:space="0" w:color="000000"/>
              <w:right w:val="single" w:sz="4" w:space="0" w:color="000000"/>
            </w:tcBorders>
            <w:vAlign w:val="center"/>
            <w:hideMark/>
          </w:tcPr>
          <w:p w14:paraId="0238A686"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GEF IW:LEARN 5: Supporting Portfolio Coordination Within and Beyond the International Waters Focal Area, particularly in Small Island Developing States, Through Knowledge Sharing, Information Management, Partnership Building and Programmatic Guidance Services</w:t>
            </w:r>
          </w:p>
        </w:tc>
      </w:tr>
      <w:tr w:rsidR="00F0133E" w14:paraId="6C3695C1" w14:textId="77777777" w:rsidTr="00F0133E">
        <w:trPr>
          <w:trHeight w:val="77"/>
        </w:trPr>
        <w:tc>
          <w:tcPr>
            <w:tcW w:w="2761" w:type="dxa"/>
            <w:tcBorders>
              <w:top w:val="nil"/>
              <w:left w:val="single" w:sz="4" w:space="0" w:color="000000"/>
              <w:bottom w:val="single" w:sz="4" w:space="0" w:color="000000"/>
              <w:right w:val="single" w:sz="4" w:space="0" w:color="000000"/>
            </w:tcBorders>
            <w:vAlign w:val="center"/>
            <w:hideMark/>
          </w:tcPr>
          <w:p w14:paraId="40A517D5"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 xml:space="preserve">UNDP-GEF PIMS No. </w:t>
            </w:r>
          </w:p>
        </w:tc>
        <w:tc>
          <w:tcPr>
            <w:tcW w:w="11765" w:type="dxa"/>
            <w:gridSpan w:val="3"/>
            <w:tcBorders>
              <w:top w:val="single" w:sz="4" w:space="0" w:color="000000"/>
              <w:left w:val="nil"/>
              <w:bottom w:val="single" w:sz="4" w:space="0" w:color="000000"/>
              <w:right w:val="single" w:sz="4" w:space="0" w:color="000000"/>
            </w:tcBorders>
            <w:vAlign w:val="center"/>
            <w:hideMark/>
          </w:tcPr>
          <w:p w14:paraId="1890205F"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6438</w:t>
            </w:r>
          </w:p>
        </w:tc>
      </w:tr>
      <w:tr w:rsidR="00F0133E" w14:paraId="1B39B307" w14:textId="77777777" w:rsidTr="00F0133E">
        <w:trPr>
          <w:trHeight w:val="77"/>
        </w:trPr>
        <w:tc>
          <w:tcPr>
            <w:tcW w:w="2761" w:type="dxa"/>
            <w:tcBorders>
              <w:top w:val="nil"/>
              <w:left w:val="single" w:sz="4" w:space="0" w:color="000000"/>
              <w:bottom w:val="single" w:sz="4" w:space="0" w:color="000000"/>
              <w:right w:val="single" w:sz="4" w:space="0" w:color="000000"/>
            </w:tcBorders>
            <w:vAlign w:val="center"/>
            <w:hideMark/>
          </w:tcPr>
          <w:p w14:paraId="051C04A1"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212121"/>
                <w:sz w:val="20"/>
                <w:szCs w:val="20"/>
              </w:rPr>
              <w:t>Implementing Partner (</w:t>
            </w:r>
            <w:r>
              <w:rPr>
                <w:rFonts w:asciiTheme="minorHAnsi" w:hAnsiTheme="minorHAnsi" w:cstheme="minorHAnsi"/>
                <w:bCs/>
                <w:sz w:val="20"/>
                <w:szCs w:val="20"/>
              </w:rPr>
              <w:t>Executing Agency)</w:t>
            </w:r>
          </w:p>
        </w:tc>
        <w:tc>
          <w:tcPr>
            <w:tcW w:w="11765" w:type="dxa"/>
            <w:gridSpan w:val="3"/>
            <w:tcBorders>
              <w:top w:val="single" w:sz="4" w:space="0" w:color="000000"/>
              <w:left w:val="nil"/>
              <w:bottom w:val="single" w:sz="4" w:space="0" w:color="000000"/>
              <w:right w:val="single" w:sz="4" w:space="0" w:color="000000"/>
            </w:tcBorders>
            <w:vAlign w:val="center"/>
            <w:hideMark/>
          </w:tcPr>
          <w:p w14:paraId="1EEA3D2D" w14:textId="77777777" w:rsidR="00F0133E" w:rsidRDefault="00F0133E">
            <w:pPr>
              <w:rPr>
                <w:rFonts w:asciiTheme="minorHAnsi" w:hAnsiTheme="minorHAnsi" w:cstheme="minorHAnsi"/>
                <w:bCs/>
                <w:color w:val="000000"/>
                <w:sz w:val="20"/>
                <w:szCs w:val="20"/>
              </w:rPr>
            </w:pPr>
            <w:r>
              <w:rPr>
                <w:rFonts w:asciiTheme="minorHAnsi" w:hAnsiTheme="minorHAnsi" w:cstheme="minorHAnsi"/>
                <w:bCs/>
                <w:color w:val="000000"/>
                <w:sz w:val="20"/>
                <w:szCs w:val="20"/>
              </w:rPr>
              <w:t>UNESCO-IOC</w:t>
            </w:r>
          </w:p>
        </w:tc>
      </w:tr>
    </w:tbl>
    <w:p w14:paraId="0F95D88E" w14:textId="77777777" w:rsidR="00F0133E" w:rsidRDefault="00F0133E" w:rsidP="00F0133E">
      <w:pPr>
        <w:rPr>
          <w:rFonts w:asciiTheme="minorHAnsi" w:hAnsiTheme="minorHAnsi" w:cstheme="minorHAnsi"/>
          <w:sz w:val="18"/>
          <w:szCs w:val="18"/>
        </w:rPr>
      </w:pPr>
    </w:p>
    <w:p w14:paraId="02A17E3B" w14:textId="77777777" w:rsidR="00F0133E" w:rsidRDefault="00F0133E" w:rsidP="00F0133E">
      <w:pPr>
        <w:rPr>
          <w:rFonts w:asciiTheme="minorHAnsi" w:hAnsiTheme="minorHAnsi" w:cstheme="minorHAnsi"/>
          <w:sz w:val="18"/>
          <w:szCs w:val="18"/>
        </w:rPr>
      </w:pPr>
    </w:p>
    <w:tbl>
      <w:tblPr>
        <w:tblW w:w="14850" w:type="dxa"/>
        <w:tblLayout w:type="fixed"/>
        <w:tblLook w:val="04A0" w:firstRow="1" w:lastRow="0" w:firstColumn="1" w:lastColumn="0" w:noHBand="0" w:noVBand="1"/>
      </w:tblPr>
      <w:tblGrid>
        <w:gridCol w:w="1805"/>
        <w:gridCol w:w="1265"/>
        <w:gridCol w:w="778"/>
        <w:gridCol w:w="683"/>
        <w:gridCol w:w="992"/>
        <w:gridCol w:w="1846"/>
        <w:gridCol w:w="1281"/>
        <w:gridCol w:w="1276"/>
        <w:gridCol w:w="1276"/>
        <w:gridCol w:w="1285"/>
        <w:gridCol w:w="1276"/>
        <w:gridCol w:w="851"/>
        <w:gridCol w:w="236"/>
      </w:tblGrid>
      <w:tr w:rsidR="00F0133E" w14:paraId="14F04162" w14:textId="77777777" w:rsidTr="00F0133E">
        <w:trPr>
          <w:gridAfter w:val="1"/>
          <w:wAfter w:w="236" w:type="dxa"/>
          <w:trHeight w:val="670"/>
        </w:trPr>
        <w:tc>
          <w:tcPr>
            <w:tcW w:w="1804" w:type="dxa"/>
            <w:vMerge w:val="restart"/>
            <w:tcBorders>
              <w:top w:val="single" w:sz="4" w:space="0" w:color="auto"/>
              <w:left w:val="single" w:sz="4" w:space="0" w:color="auto"/>
              <w:bottom w:val="single" w:sz="4" w:space="0" w:color="auto"/>
              <w:right w:val="single" w:sz="4" w:space="0" w:color="auto"/>
            </w:tcBorders>
            <w:noWrap/>
            <w:vAlign w:val="center"/>
            <w:hideMark/>
          </w:tcPr>
          <w:p w14:paraId="08744B38"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Atlas Activity (GEF Component)</w:t>
            </w:r>
          </w:p>
        </w:tc>
        <w:tc>
          <w:tcPr>
            <w:tcW w:w="1264" w:type="dxa"/>
            <w:vMerge w:val="restart"/>
            <w:tcBorders>
              <w:top w:val="single" w:sz="4" w:space="0" w:color="auto"/>
              <w:left w:val="single" w:sz="4" w:space="0" w:color="auto"/>
              <w:bottom w:val="single" w:sz="4" w:space="0" w:color="auto"/>
              <w:right w:val="single" w:sz="4" w:space="0" w:color="auto"/>
            </w:tcBorders>
            <w:vAlign w:val="center"/>
            <w:hideMark/>
          </w:tcPr>
          <w:p w14:paraId="70765625"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Atlas Implementing Agent (Responsible Party[2] , IP or UNDP)</w:t>
            </w:r>
          </w:p>
        </w:tc>
        <w:tc>
          <w:tcPr>
            <w:tcW w:w="777" w:type="dxa"/>
            <w:vMerge w:val="restart"/>
            <w:tcBorders>
              <w:top w:val="single" w:sz="4" w:space="0" w:color="auto"/>
              <w:left w:val="single" w:sz="4" w:space="0" w:color="auto"/>
              <w:bottom w:val="single" w:sz="4" w:space="0" w:color="auto"/>
              <w:right w:val="single" w:sz="4" w:space="0" w:color="auto"/>
            </w:tcBorders>
            <w:vAlign w:val="center"/>
            <w:hideMark/>
          </w:tcPr>
          <w:p w14:paraId="06D3C01F"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Atlas Fund ID</w:t>
            </w:r>
          </w:p>
        </w:tc>
        <w:tc>
          <w:tcPr>
            <w:tcW w:w="683" w:type="dxa"/>
            <w:vMerge w:val="restart"/>
            <w:tcBorders>
              <w:top w:val="single" w:sz="4" w:space="0" w:color="auto"/>
              <w:left w:val="single" w:sz="4" w:space="0" w:color="auto"/>
              <w:bottom w:val="single" w:sz="4" w:space="0" w:color="auto"/>
              <w:right w:val="single" w:sz="4" w:space="0" w:color="auto"/>
            </w:tcBorders>
            <w:vAlign w:val="center"/>
            <w:hideMark/>
          </w:tcPr>
          <w:p w14:paraId="047E252E"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Donor Name</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6506DC"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Atlas Budgetary Account Code[3]</w:t>
            </w:r>
          </w:p>
        </w:tc>
        <w:tc>
          <w:tcPr>
            <w:tcW w:w="1846" w:type="dxa"/>
            <w:vMerge w:val="restart"/>
            <w:tcBorders>
              <w:top w:val="single" w:sz="4" w:space="0" w:color="auto"/>
              <w:left w:val="single" w:sz="4" w:space="0" w:color="auto"/>
              <w:bottom w:val="single" w:sz="4" w:space="0" w:color="auto"/>
              <w:right w:val="single" w:sz="4" w:space="0" w:color="auto"/>
            </w:tcBorders>
            <w:vAlign w:val="center"/>
            <w:hideMark/>
          </w:tcPr>
          <w:p w14:paraId="1CC52C1F"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ATLAS Budget Account Description[3]</w:t>
            </w:r>
          </w:p>
        </w:tc>
        <w:tc>
          <w:tcPr>
            <w:tcW w:w="1281" w:type="dxa"/>
            <w:vMerge w:val="restart"/>
            <w:tcBorders>
              <w:top w:val="single" w:sz="4" w:space="0" w:color="auto"/>
              <w:left w:val="single" w:sz="4" w:space="0" w:color="auto"/>
              <w:bottom w:val="single" w:sz="4" w:space="0" w:color="auto"/>
              <w:right w:val="single" w:sz="4" w:space="0" w:color="auto"/>
            </w:tcBorders>
            <w:vAlign w:val="center"/>
            <w:hideMark/>
          </w:tcPr>
          <w:p w14:paraId="533A6106"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Amount Year 1</w:t>
            </w:r>
            <w:r>
              <w:rPr>
                <w:rFonts w:asciiTheme="minorHAnsi" w:hAnsiTheme="minorHAnsi" w:cstheme="minorHAnsi"/>
                <w:b/>
                <w:bCs/>
                <w:i/>
                <w:iCs/>
                <w:color w:val="000000"/>
                <w:sz w:val="18"/>
                <w:szCs w:val="18"/>
                <w:lang w:eastAsia="en-US"/>
              </w:rPr>
              <w:br/>
            </w:r>
            <w:r>
              <w:rPr>
                <w:rFonts w:asciiTheme="minorHAnsi" w:hAnsiTheme="minorHAnsi" w:cstheme="minorHAnsi"/>
                <w:b/>
                <w:bCs/>
                <w:color w:val="000000"/>
                <w:sz w:val="18"/>
                <w:szCs w:val="18"/>
                <w:lang w:eastAsia="en-US"/>
              </w:rPr>
              <w:t>(USD)</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1A91320"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Amount Year 2</w:t>
            </w:r>
            <w:r>
              <w:rPr>
                <w:rFonts w:asciiTheme="minorHAnsi" w:hAnsiTheme="minorHAnsi" w:cstheme="minorHAnsi"/>
                <w:b/>
                <w:bCs/>
                <w:i/>
                <w:iCs/>
                <w:color w:val="000000"/>
                <w:sz w:val="18"/>
                <w:szCs w:val="18"/>
                <w:lang w:eastAsia="en-US"/>
              </w:rPr>
              <w:br/>
            </w:r>
            <w:r>
              <w:rPr>
                <w:rFonts w:asciiTheme="minorHAnsi" w:hAnsiTheme="minorHAnsi" w:cstheme="minorHAnsi"/>
                <w:b/>
                <w:bCs/>
                <w:color w:val="000000"/>
                <w:sz w:val="18"/>
                <w:szCs w:val="18"/>
                <w:lang w:eastAsia="en-US"/>
              </w:rPr>
              <w:t>(USD)</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E4F7456"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Amount Year 3</w:t>
            </w:r>
            <w:r>
              <w:rPr>
                <w:rFonts w:asciiTheme="minorHAnsi" w:hAnsiTheme="minorHAnsi" w:cstheme="minorHAnsi"/>
                <w:b/>
                <w:bCs/>
                <w:i/>
                <w:iCs/>
                <w:color w:val="000000"/>
                <w:sz w:val="18"/>
                <w:szCs w:val="18"/>
                <w:lang w:eastAsia="en-US"/>
              </w:rPr>
              <w:br/>
            </w:r>
            <w:r>
              <w:rPr>
                <w:rFonts w:asciiTheme="minorHAnsi" w:hAnsiTheme="minorHAnsi" w:cstheme="minorHAnsi"/>
                <w:b/>
                <w:bCs/>
                <w:color w:val="000000"/>
                <w:sz w:val="18"/>
                <w:szCs w:val="18"/>
                <w:lang w:eastAsia="en-US"/>
              </w:rPr>
              <w:t>(USD)</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14:paraId="592EEC8C"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Amount Year 4</w:t>
            </w:r>
            <w:r>
              <w:rPr>
                <w:rFonts w:asciiTheme="minorHAnsi" w:hAnsiTheme="minorHAnsi" w:cstheme="minorHAnsi"/>
                <w:b/>
                <w:bCs/>
                <w:i/>
                <w:iCs/>
                <w:color w:val="000000"/>
                <w:sz w:val="18"/>
                <w:szCs w:val="18"/>
                <w:lang w:eastAsia="en-US"/>
              </w:rPr>
              <w:br/>
            </w:r>
            <w:r>
              <w:rPr>
                <w:rFonts w:asciiTheme="minorHAnsi" w:hAnsiTheme="minorHAnsi" w:cstheme="minorHAnsi"/>
                <w:b/>
                <w:bCs/>
                <w:color w:val="000000"/>
                <w:sz w:val="18"/>
                <w:szCs w:val="18"/>
                <w:lang w:eastAsia="en-US"/>
              </w:rPr>
              <w:t>(USD)</w:t>
            </w:r>
          </w:p>
        </w:tc>
        <w:tc>
          <w:tcPr>
            <w:tcW w:w="1276" w:type="dxa"/>
            <w:vMerge w:val="restart"/>
            <w:tcBorders>
              <w:top w:val="single" w:sz="4" w:space="0" w:color="auto"/>
              <w:left w:val="single" w:sz="4" w:space="0" w:color="auto"/>
              <w:bottom w:val="single" w:sz="4" w:space="0" w:color="auto"/>
              <w:right w:val="nil"/>
            </w:tcBorders>
            <w:noWrap/>
            <w:vAlign w:val="center"/>
            <w:hideMark/>
          </w:tcPr>
          <w:p w14:paraId="78358BFA"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Total (USD)</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947DCD9"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See Budget Note:</w:t>
            </w:r>
          </w:p>
        </w:tc>
      </w:tr>
      <w:tr w:rsidR="00F0133E" w14:paraId="2E76B78D" w14:textId="77777777" w:rsidTr="00F0133E">
        <w:trPr>
          <w:trHeight w:val="805"/>
        </w:trPr>
        <w:tc>
          <w:tcPr>
            <w:tcW w:w="1804" w:type="dxa"/>
            <w:vMerge/>
            <w:tcBorders>
              <w:top w:val="single" w:sz="4" w:space="0" w:color="auto"/>
              <w:left w:val="single" w:sz="4" w:space="0" w:color="auto"/>
              <w:bottom w:val="single" w:sz="4" w:space="0" w:color="auto"/>
              <w:right w:val="single" w:sz="4" w:space="0" w:color="auto"/>
            </w:tcBorders>
            <w:vAlign w:val="center"/>
            <w:hideMark/>
          </w:tcPr>
          <w:p w14:paraId="60090A31"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55D8DF7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7C0237D0"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7C24275C" w14:textId="77777777" w:rsidR="00F0133E" w:rsidRDefault="00F0133E">
            <w:pPr>
              <w:rPr>
                <w:rFonts w:asciiTheme="minorHAnsi" w:hAnsiTheme="minorHAnsi" w:cstheme="minorHAnsi"/>
                <w:b/>
                <w:bCs/>
                <w:color w:val="000000"/>
                <w:sz w:val="18"/>
                <w:szCs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06FDEB" w14:textId="77777777" w:rsidR="00F0133E" w:rsidRDefault="00F0133E">
            <w:pPr>
              <w:rPr>
                <w:rFonts w:asciiTheme="minorHAnsi" w:hAnsiTheme="minorHAnsi" w:cstheme="minorHAnsi"/>
                <w:b/>
                <w:bCs/>
                <w:color w:val="000000"/>
                <w:sz w:val="18"/>
                <w:szCs w:val="18"/>
                <w:lang w:eastAsia="en-US"/>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14:paraId="3147DFD6" w14:textId="77777777" w:rsidR="00F0133E" w:rsidRDefault="00F0133E">
            <w:pPr>
              <w:rPr>
                <w:rFonts w:asciiTheme="minorHAnsi" w:hAnsiTheme="minorHAnsi" w:cstheme="minorHAnsi"/>
                <w:b/>
                <w:bCs/>
                <w:color w:val="000000"/>
                <w:sz w:val="18"/>
                <w:szCs w:val="18"/>
                <w:lang w:eastAsia="en-US"/>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2D62E8D0" w14:textId="77777777" w:rsidR="00F0133E" w:rsidRDefault="00F0133E">
            <w:pPr>
              <w:rPr>
                <w:rFonts w:asciiTheme="minorHAnsi" w:hAnsiTheme="minorHAnsi" w:cstheme="minorHAnsi"/>
                <w:b/>
                <w:bCs/>
                <w:color w:val="000000"/>
                <w:sz w:val="18"/>
                <w:szCs w:val="1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68A45C2" w14:textId="77777777" w:rsidR="00F0133E" w:rsidRDefault="00F0133E">
            <w:pPr>
              <w:rPr>
                <w:rFonts w:asciiTheme="minorHAnsi" w:hAnsiTheme="minorHAnsi" w:cstheme="minorHAnsi"/>
                <w:b/>
                <w:bCs/>
                <w:color w:val="000000"/>
                <w:sz w:val="18"/>
                <w:szCs w:val="18"/>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A30748" w14:textId="77777777" w:rsidR="00F0133E" w:rsidRDefault="00F0133E">
            <w:pPr>
              <w:rPr>
                <w:rFonts w:asciiTheme="minorHAnsi" w:hAnsiTheme="minorHAnsi" w:cstheme="minorHAnsi"/>
                <w:b/>
                <w:bCs/>
                <w:color w:val="000000"/>
                <w:sz w:val="18"/>
                <w:szCs w:val="18"/>
                <w:lang w:eastAsia="en-US"/>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265B2CE6" w14:textId="77777777" w:rsidR="00F0133E" w:rsidRDefault="00F0133E">
            <w:pPr>
              <w:rPr>
                <w:rFonts w:asciiTheme="minorHAnsi" w:hAnsiTheme="minorHAnsi" w:cstheme="minorHAnsi"/>
                <w:b/>
                <w:bCs/>
                <w:color w:val="000000"/>
                <w:sz w:val="18"/>
                <w:szCs w:val="18"/>
                <w:lang w:eastAsia="en-US"/>
              </w:rPr>
            </w:pPr>
          </w:p>
        </w:tc>
        <w:tc>
          <w:tcPr>
            <w:tcW w:w="1276" w:type="dxa"/>
            <w:vMerge/>
            <w:tcBorders>
              <w:top w:val="single" w:sz="4" w:space="0" w:color="auto"/>
              <w:left w:val="single" w:sz="4" w:space="0" w:color="auto"/>
              <w:bottom w:val="single" w:sz="4" w:space="0" w:color="auto"/>
              <w:right w:val="nil"/>
            </w:tcBorders>
            <w:vAlign w:val="center"/>
            <w:hideMark/>
          </w:tcPr>
          <w:p w14:paraId="12D641EF" w14:textId="77777777" w:rsidR="00F0133E" w:rsidRDefault="00F0133E">
            <w:pPr>
              <w:rPr>
                <w:rFonts w:asciiTheme="minorHAnsi" w:hAnsiTheme="minorHAnsi" w:cstheme="minorHAnsi"/>
                <w:b/>
                <w:bCs/>
                <w:color w:val="000000"/>
                <w:sz w:val="18"/>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0AC2126" w14:textId="77777777" w:rsidR="00F0133E" w:rsidRDefault="00F0133E">
            <w:pPr>
              <w:rPr>
                <w:rFonts w:asciiTheme="minorHAnsi" w:hAnsiTheme="minorHAnsi" w:cstheme="minorHAnsi"/>
                <w:b/>
                <w:bCs/>
                <w:color w:val="000000"/>
                <w:sz w:val="18"/>
                <w:szCs w:val="18"/>
                <w:lang w:eastAsia="en-US"/>
              </w:rPr>
            </w:pPr>
          </w:p>
        </w:tc>
        <w:tc>
          <w:tcPr>
            <w:tcW w:w="236" w:type="dxa"/>
            <w:noWrap/>
            <w:vAlign w:val="bottom"/>
            <w:hideMark/>
          </w:tcPr>
          <w:p w14:paraId="268098E8" w14:textId="77777777" w:rsidR="00F0133E" w:rsidRDefault="00F0133E"/>
        </w:tc>
      </w:tr>
      <w:tr w:rsidR="00F0133E" w14:paraId="36DBC020" w14:textId="77777777" w:rsidTr="00F0133E">
        <w:trPr>
          <w:trHeight w:val="300"/>
        </w:trPr>
        <w:tc>
          <w:tcPr>
            <w:tcW w:w="1804" w:type="dxa"/>
            <w:vMerge w:val="restart"/>
            <w:tcBorders>
              <w:top w:val="nil"/>
              <w:left w:val="single" w:sz="4" w:space="0" w:color="auto"/>
              <w:bottom w:val="single" w:sz="4" w:space="0" w:color="auto"/>
              <w:right w:val="single" w:sz="4" w:space="0" w:color="auto"/>
            </w:tcBorders>
            <w:vAlign w:val="center"/>
            <w:hideMark/>
          </w:tcPr>
          <w:p w14:paraId="1B6C69B3"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b/>
                <w:bCs/>
                <w:color w:val="000000"/>
                <w:sz w:val="18"/>
                <w:szCs w:val="18"/>
                <w:lang w:eastAsia="en-US"/>
              </w:rPr>
              <w:t xml:space="preserve">COMPONENT 1: </w:t>
            </w:r>
            <w:r>
              <w:rPr>
                <w:rFonts w:asciiTheme="minorHAnsi" w:hAnsiTheme="minorHAnsi" w:cstheme="minorHAnsi"/>
                <w:color w:val="000000"/>
                <w:sz w:val="18"/>
                <w:szCs w:val="18"/>
                <w:lang w:eastAsia="en-US"/>
              </w:rPr>
              <w:br/>
              <w:t xml:space="preserve">Provide Targeted Knowledge Sharing and Results Showcasing Across Projects and Development Partners (Through Face-to-Face Dialogue and Training) to Advance Transboundary Water Management </w:t>
            </w:r>
            <w:r>
              <w:rPr>
                <w:rFonts w:asciiTheme="minorHAnsi" w:hAnsiTheme="minorHAnsi" w:cstheme="minorHAnsi"/>
                <w:color w:val="000000"/>
                <w:sz w:val="18"/>
                <w:szCs w:val="18"/>
                <w:lang w:eastAsia="en-US"/>
              </w:rPr>
              <w:lastRenderedPageBreak/>
              <w:t>in All IW Focal Area Ecosystems</w:t>
            </w:r>
          </w:p>
        </w:tc>
        <w:tc>
          <w:tcPr>
            <w:tcW w:w="1264" w:type="dxa"/>
            <w:vMerge w:val="restart"/>
            <w:tcBorders>
              <w:top w:val="nil"/>
              <w:left w:val="single" w:sz="4" w:space="0" w:color="auto"/>
              <w:bottom w:val="single" w:sz="4" w:space="0" w:color="auto"/>
              <w:right w:val="single" w:sz="4" w:space="0" w:color="auto"/>
            </w:tcBorders>
            <w:vAlign w:val="center"/>
            <w:hideMark/>
          </w:tcPr>
          <w:p w14:paraId="291FCAD3"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lastRenderedPageBreak/>
              <w:t>UNESCO-IOC</w:t>
            </w:r>
          </w:p>
        </w:tc>
        <w:tc>
          <w:tcPr>
            <w:tcW w:w="777" w:type="dxa"/>
            <w:vMerge w:val="restart"/>
            <w:tcBorders>
              <w:top w:val="nil"/>
              <w:left w:val="single" w:sz="4" w:space="0" w:color="auto"/>
              <w:bottom w:val="single" w:sz="4" w:space="0" w:color="auto"/>
              <w:right w:val="single" w:sz="4" w:space="0" w:color="auto"/>
            </w:tcBorders>
            <w:vAlign w:val="center"/>
            <w:hideMark/>
          </w:tcPr>
          <w:p w14:paraId="43B4CF7A"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auto"/>
              <w:right w:val="single" w:sz="4" w:space="0" w:color="auto"/>
            </w:tcBorders>
            <w:vAlign w:val="center"/>
            <w:hideMark/>
          </w:tcPr>
          <w:p w14:paraId="0A885876"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2BB651E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vAlign w:val="center"/>
            <w:hideMark/>
          </w:tcPr>
          <w:p w14:paraId="0C6FE242"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3B47B65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142.174,00 </w:t>
            </w:r>
          </w:p>
        </w:tc>
        <w:tc>
          <w:tcPr>
            <w:tcW w:w="1276" w:type="dxa"/>
            <w:tcBorders>
              <w:top w:val="nil"/>
              <w:left w:val="nil"/>
              <w:bottom w:val="single" w:sz="4" w:space="0" w:color="auto"/>
              <w:right w:val="single" w:sz="4" w:space="0" w:color="auto"/>
            </w:tcBorders>
            <w:noWrap/>
            <w:vAlign w:val="center"/>
            <w:hideMark/>
          </w:tcPr>
          <w:p w14:paraId="492A586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142.174,00 </w:t>
            </w:r>
          </w:p>
        </w:tc>
        <w:tc>
          <w:tcPr>
            <w:tcW w:w="1276" w:type="dxa"/>
            <w:tcBorders>
              <w:top w:val="nil"/>
              <w:left w:val="nil"/>
              <w:bottom w:val="single" w:sz="4" w:space="0" w:color="auto"/>
              <w:right w:val="single" w:sz="4" w:space="0" w:color="auto"/>
            </w:tcBorders>
            <w:noWrap/>
            <w:vAlign w:val="center"/>
            <w:hideMark/>
          </w:tcPr>
          <w:p w14:paraId="788E67D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142.174,00 </w:t>
            </w:r>
          </w:p>
        </w:tc>
        <w:tc>
          <w:tcPr>
            <w:tcW w:w="1285" w:type="dxa"/>
            <w:tcBorders>
              <w:top w:val="nil"/>
              <w:left w:val="nil"/>
              <w:bottom w:val="single" w:sz="4" w:space="0" w:color="auto"/>
              <w:right w:val="single" w:sz="4" w:space="0" w:color="auto"/>
            </w:tcBorders>
            <w:noWrap/>
            <w:vAlign w:val="center"/>
            <w:hideMark/>
          </w:tcPr>
          <w:p w14:paraId="0A32B00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142.174,00 </w:t>
            </w:r>
          </w:p>
        </w:tc>
        <w:tc>
          <w:tcPr>
            <w:tcW w:w="1276" w:type="dxa"/>
            <w:tcBorders>
              <w:top w:val="nil"/>
              <w:left w:val="nil"/>
              <w:bottom w:val="single" w:sz="4" w:space="0" w:color="auto"/>
              <w:right w:val="nil"/>
            </w:tcBorders>
            <w:noWrap/>
            <w:vAlign w:val="center"/>
            <w:hideMark/>
          </w:tcPr>
          <w:p w14:paraId="5598897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568.696,00 </w:t>
            </w:r>
          </w:p>
        </w:tc>
        <w:tc>
          <w:tcPr>
            <w:tcW w:w="851" w:type="dxa"/>
            <w:tcBorders>
              <w:top w:val="nil"/>
              <w:left w:val="single" w:sz="4" w:space="0" w:color="auto"/>
              <w:bottom w:val="single" w:sz="4" w:space="0" w:color="auto"/>
              <w:right w:val="single" w:sz="4" w:space="0" w:color="auto"/>
            </w:tcBorders>
            <w:noWrap/>
            <w:vAlign w:val="center"/>
            <w:hideMark/>
          </w:tcPr>
          <w:p w14:paraId="57DE4A2F"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w:t>
            </w:r>
          </w:p>
        </w:tc>
        <w:tc>
          <w:tcPr>
            <w:tcW w:w="236" w:type="dxa"/>
            <w:vAlign w:val="center"/>
            <w:hideMark/>
          </w:tcPr>
          <w:p w14:paraId="05D0D082" w14:textId="77777777" w:rsidR="00F0133E" w:rsidRDefault="00F0133E">
            <w:pPr>
              <w:rPr>
                <w:rFonts w:asciiTheme="minorHAnsi" w:hAnsiTheme="minorHAnsi" w:cstheme="minorHAnsi"/>
                <w:i/>
                <w:iCs/>
                <w:color w:val="000000"/>
                <w:sz w:val="18"/>
                <w:szCs w:val="18"/>
                <w:lang w:eastAsia="en-US"/>
              </w:rPr>
            </w:pPr>
          </w:p>
        </w:tc>
      </w:tr>
      <w:tr w:rsidR="00F0133E" w14:paraId="4BF9D4DF"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27666E9B"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1FAE0820"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727A88F7"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1E567A9"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38C6A90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71300</w:t>
            </w:r>
          </w:p>
        </w:tc>
        <w:tc>
          <w:tcPr>
            <w:tcW w:w="1846" w:type="dxa"/>
            <w:tcBorders>
              <w:top w:val="nil"/>
              <w:left w:val="nil"/>
              <w:bottom w:val="single" w:sz="4" w:space="0" w:color="auto"/>
              <w:right w:val="single" w:sz="4" w:space="0" w:color="auto"/>
            </w:tcBorders>
            <w:vAlign w:val="center"/>
            <w:hideMark/>
          </w:tcPr>
          <w:p w14:paraId="384EEA80"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Local Consultants</w:t>
            </w:r>
          </w:p>
        </w:tc>
        <w:tc>
          <w:tcPr>
            <w:tcW w:w="1281" w:type="dxa"/>
            <w:tcBorders>
              <w:top w:val="nil"/>
              <w:left w:val="nil"/>
              <w:bottom w:val="single" w:sz="4" w:space="0" w:color="auto"/>
              <w:right w:val="single" w:sz="4" w:space="0" w:color="auto"/>
            </w:tcBorders>
            <w:noWrap/>
            <w:vAlign w:val="center"/>
            <w:hideMark/>
          </w:tcPr>
          <w:p w14:paraId="4687077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32.171,00 </w:t>
            </w:r>
          </w:p>
        </w:tc>
        <w:tc>
          <w:tcPr>
            <w:tcW w:w="1276" w:type="dxa"/>
            <w:tcBorders>
              <w:top w:val="nil"/>
              <w:left w:val="nil"/>
              <w:bottom w:val="single" w:sz="4" w:space="0" w:color="auto"/>
              <w:right w:val="single" w:sz="4" w:space="0" w:color="auto"/>
            </w:tcBorders>
            <w:noWrap/>
            <w:vAlign w:val="center"/>
            <w:hideMark/>
          </w:tcPr>
          <w:p w14:paraId="4537423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32.171,00 </w:t>
            </w:r>
          </w:p>
        </w:tc>
        <w:tc>
          <w:tcPr>
            <w:tcW w:w="1276" w:type="dxa"/>
            <w:tcBorders>
              <w:top w:val="nil"/>
              <w:left w:val="nil"/>
              <w:bottom w:val="single" w:sz="4" w:space="0" w:color="auto"/>
              <w:right w:val="single" w:sz="4" w:space="0" w:color="auto"/>
            </w:tcBorders>
            <w:noWrap/>
            <w:vAlign w:val="center"/>
            <w:hideMark/>
          </w:tcPr>
          <w:p w14:paraId="73F32E5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32.171,00 </w:t>
            </w:r>
          </w:p>
        </w:tc>
        <w:tc>
          <w:tcPr>
            <w:tcW w:w="1285" w:type="dxa"/>
            <w:tcBorders>
              <w:top w:val="nil"/>
              <w:left w:val="nil"/>
              <w:bottom w:val="single" w:sz="4" w:space="0" w:color="auto"/>
              <w:right w:val="single" w:sz="4" w:space="0" w:color="auto"/>
            </w:tcBorders>
            <w:noWrap/>
            <w:vAlign w:val="center"/>
            <w:hideMark/>
          </w:tcPr>
          <w:p w14:paraId="53457F9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32.171,00 </w:t>
            </w:r>
          </w:p>
        </w:tc>
        <w:tc>
          <w:tcPr>
            <w:tcW w:w="1276" w:type="dxa"/>
            <w:tcBorders>
              <w:top w:val="nil"/>
              <w:left w:val="nil"/>
              <w:bottom w:val="single" w:sz="4" w:space="0" w:color="auto"/>
              <w:right w:val="nil"/>
            </w:tcBorders>
            <w:noWrap/>
            <w:vAlign w:val="center"/>
            <w:hideMark/>
          </w:tcPr>
          <w:p w14:paraId="2C3CC8D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128.684,00 </w:t>
            </w:r>
          </w:p>
        </w:tc>
        <w:tc>
          <w:tcPr>
            <w:tcW w:w="851" w:type="dxa"/>
            <w:tcBorders>
              <w:top w:val="nil"/>
              <w:left w:val="single" w:sz="4" w:space="0" w:color="auto"/>
              <w:bottom w:val="single" w:sz="4" w:space="0" w:color="auto"/>
              <w:right w:val="single" w:sz="4" w:space="0" w:color="auto"/>
            </w:tcBorders>
            <w:noWrap/>
            <w:vAlign w:val="center"/>
            <w:hideMark/>
          </w:tcPr>
          <w:p w14:paraId="32F23CD8"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w:t>
            </w:r>
          </w:p>
        </w:tc>
        <w:tc>
          <w:tcPr>
            <w:tcW w:w="236" w:type="dxa"/>
            <w:vAlign w:val="center"/>
            <w:hideMark/>
          </w:tcPr>
          <w:p w14:paraId="121508A8" w14:textId="77777777" w:rsidR="00F0133E" w:rsidRDefault="00F0133E">
            <w:pPr>
              <w:rPr>
                <w:rFonts w:asciiTheme="minorHAnsi" w:hAnsiTheme="minorHAnsi" w:cstheme="minorHAnsi"/>
                <w:i/>
                <w:iCs/>
                <w:color w:val="000000"/>
                <w:sz w:val="18"/>
                <w:szCs w:val="18"/>
                <w:lang w:eastAsia="en-US"/>
              </w:rPr>
            </w:pPr>
          </w:p>
        </w:tc>
      </w:tr>
      <w:tr w:rsidR="00F0133E" w14:paraId="18E8F252" w14:textId="77777777" w:rsidTr="00F0133E">
        <w:trPr>
          <w:trHeight w:val="320"/>
        </w:trPr>
        <w:tc>
          <w:tcPr>
            <w:tcW w:w="1804" w:type="dxa"/>
            <w:vMerge/>
            <w:tcBorders>
              <w:top w:val="nil"/>
              <w:left w:val="single" w:sz="4" w:space="0" w:color="auto"/>
              <w:bottom w:val="single" w:sz="4" w:space="0" w:color="auto"/>
              <w:right w:val="single" w:sz="4" w:space="0" w:color="auto"/>
            </w:tcBorders>
            <w:vAlign w:val="center"/>
            <w:hideMark/>
          </w:tcPr>
          <w:p w14:paraId="4A683F8F"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1C5B34E8"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7209679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DD81EB6"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171F2CE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72100</w:t>
            </w:r>
          </w:p>
        </w:tc>
        <w:tc>
          <w:tcPr>
            <w:tcW w:w="1846" w:type="dxa"/>
            <w:tcBorders>
              <w:top w:val="nil"/>
              <w:left w:val="nil"/>
              <w:bottom w:val="single" w:sz="4" w:space="0" w:color="auto"/>
              <w:right w:val="single" w:sz="4" w:space="0" w:color="auto"/>
            </w:tcBorders>
            <w:vAlign w:val="center"/>
            <w:hideMark/>
          </w:tcPr>
          <w:p w14:paraId="220B1681"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Contractual Services-Companies</w:t>
            </w:r>
          </w:p>
        </w:tc>
        <w:tc>
          <w:tcPr>
            <w:tcW w:w="1281" w:type="dxa"/>
            <w:tcBorders>
              <w:top w:val="nil"/>
              <w:left w:val="nil"/>
              <w:bottom w:val="single" w:sz="4" w:space="0" w:color="auto"/>
              <w:right w:val="single" w:sz="4" w:space="0" w:color="auto"/>
            </w:tcBorders>
            <w:noWrap/>
            <w:vAlign w:val="center"/>
            <w:hideMark/>
          </w:tcPr>
          <w:p w14:paraId="1E6B124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177.455,00 </w:t>
            </w:r>
          </w:p>
        </w:tc>
        <w:tc>
          <w:tcPr>
            <w:tcW w:w="1276" w:type="dxa"/>
            <w:tcBorders>
              <w:top w:val="nil"/>
              <w:left w:val="nil"/>
              <w:bottom w:val="single" w:sz="4" w:space="0" w:color="auto"/>
              <w:right w:val="single" w:sz="4" w:space="0" w:color="auto"/>
            </w:tcBorders>
            <w:noWrap/>
            <w:vAlign w:val="center"/>
            <w:hideMark/>
          </w:tcPr>
          <w:p w14:paraId="0CA814B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177.455,00 </w:t>
            </w:r>
          </w:p>
        </w:tc>
        <w:tc>
          <w:tcPr>
            <w:tcW w:w="1276" w:type="dxa"/>
            <w:tcBorders>
              <w:top w:val="nil"/>
              <w:left w:val="nil"/>
              <w:bottom w:val="single" w:sz="4" w:space="0" w:color="auto"/>
              <w:right w:val="single" w:sz="4" w:space="0" w:color="auto"/>
            </w:tcBorders>
            <w:noWrap/>
            <w:vAlign w:val="center"/>
            <w:hideMark/>
          </w:tcPr>
          <w:p w14:paraId="272F86C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177.455,00 </w:t>
            </w:r>
          </w:p>
        </w:tc>
        <w:tc>
          <w:tcPr>
            <w:tcW w:w="1285" w:type="dxa"/>
            <w:tcBorders>
              <w:top w:val="nil"/>
              <w:left w:val="nil"/>
              <w:bottom w:val="single" w:sz="4" w:space="0" w:color="auto"/>
              <w:right w:val="single" w:sz="4" w:space="0" w:color="auto"/>
            </w:tcBorders>
            <w:noWrap/>
            <w:vAlign w:val="center"/>
            <w:hideMark/>
          </w:tcPr>
          <w:p w14:paraId="6553238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177.455,00 </w:t>
            </w:r>
          </w:p>
        </w:tc>
        <w:tc>
          <w:tcPr>
            <w:tcW w:w="1276" w:type="dxa"/>
            <w:tcBorders>
              <w:top w:val="nil"/>
              <w:left w:val="nil"/>
              <w:bottom w:val="single" w:sz="4" w:space="0" w:color="auto"/>
              <w:right w:val="nil"/>
            </w:tcBorders>
            <w:noWrap/>
            <w:vAlign w:val="center"/>
            <w:hideMark/>
          </w:tcPr>
          <w:p w14:paraId="4187406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709.820,00 </w:t>
            </w:r>
          </w:p>
        </w:tc>
        <w:tc>
          <w:tcPr>
            <w:tcW w:w="851" w:type="dxa"/>
            <w:tcBorders>
              <w:top w:val="nil"/>
              <w:left w:val="single" w:sz="4" w:space="0" w:color="auto"/>
              <w:bottom w:val="single" w:sz="4" w:space="0" w:color="auto"/>
              <w:right w:val="single" w:sz="4" w:space="0" w:color="auto"/>
            </w:tcBorders>
            <w:vAlign w:val="center"/>
            <w:hideMark/>
          </w:tcPr>
          <w:p w14:paraId="7CBE45AB"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3</w:t>
            </w:r>
          </w:p>
        </w:tc>
        <w:tc>
          <w:tcPr>
            <w:tcW w:w="236" w:type="dxa"/>
            <w:vAlign w:val="center"/>
            <w:hideMark/>
          </w:tcPr>
          <w:p w14:paraId="2A83AF4D" w14:textId="77777777" w:rsidR="00F0133E" w:rsidRDefault="00F0133E">
            <w:pPr>
              <w:rPr>
                <w:rFonts w:asciiTheme="minorHAnsi" w:hAnsiTheme="minorHAnsi" w:cstheme="minorHAnsi"/>
                <w:i/>
                <w:iCs/>
                <w:color w:val="000000"/>
                <w:sz w:val="18"/>
                <w:szCs w:val="18"/>
                <w:lang w:eastAsia="en-US"/>
              </w:rPr>
            </w:pPr>
          </w:p>
        </w:tc>
      </w:tr>
      <w:tr w:rsidR="00F0133E" w14:paraId="4055E48E" w14:textId="77777777" w:rsidTr="00F0133E">
        <w:trPr>
          <w:trHeight w:val="320"/>
        </w:trPr>
        <w:tc>
          <w:tcPr>
            <w:tcW w:w="1804" w:type="dxa"/>
            <w:vMerge/>
            <w:tcBorders>
              <w:top w:val="nil"/>
              <w:left w:val="single" w:sz="4" w:space="0" w:color="auto"/>
              <w:bottom w:val="single" w:sz="4" w:space="0" w:color="auto"/>
              <w:right w:val="single" w:sz="4" w:space="0" w:color="auto"/>
            </w:tcBorders>
            <w:vAlign w:val="center"/>
            <w:hideMark/>
          </w:tcPr>
          <w:p w14:paraId="3BA4E2FF"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FA514BF"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3B19C17F"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621045E"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1BB1852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vAlign w:val="center"/>
            <w:hideMark/>
          </w:tcPr>
          <w:p w14:paraId="044F194B"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698A151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10.000,00 </w:t>
            </w:r>
          </w:p>
        </w:tc>
        <w:tc>
          <w:tcPr>
            <w:tcW w:w="1276" w:type="dxa"/>
            <w:tcBorders>
              <w:top w:val="nil"/>
              <w:left w:val="nil"/>
              <w:bottom w:val="single" w:sz="4" w:space="0" w:color="auto"/>
              <w:right w:val="single" w:sz="4" w:space="0" w:color="auto"/>
            </w:tcBorders>
            <w:noWrap/>
            <w:vAlign w:val="center"/>
            <w:hideMark/>
          </w:tcPr>
          <w:p w14:paraId="7157A15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10.000,00 </w:t>
            </w:r>
          </w:p>
        </w:tc>
        <w:tc>
          <w:tcPr>
            <w:tcW w:w="1276" w:type="dxa"/>
            <w:tcBorders>
              <w:top w:val="nil"/>
              <w:left w:val="nil"/>
              <w:bottom w:val="single" w:sz="4" w:space="0" w:color="auto"/>
              <w:right w:val="single" w:sz="4" w:space="0" w:color="auto"/>
            </w:tcBorders>
            <w:noWrap/>
            <w:vAlign w:val="center"/>
            <w:hideMark/>
          </w:tcPr>
          <w:p w14:paraId="49D66BB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10.000,00 </w:t>
            </w:r>
          </w:p>
        </w:tc>
        <w:tc>
          <w:tcPr>
            <w:tcW w:w="1285" w:type="dxa"/>
            <w:tcBorders>
              <w:top w:val="nil"/>
              <w:left w:val="nil"/>
              <w:bottom w:val="single" w:sz="4" w:space="0" w:color="auto"/>
              <w:right w:val="single" w:sz="4" w:space="0" w:color="auto"/>
            </w:tcBorders>
            <w:noWrap/>
            <w:vAlign w:val="center"/>
            <w:hideMark/>
          </w:tcPr>
          <w:p w14:paraId="41EF19E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10.000,00 </w:t>
            </w:r>
          </w:p>
        </w:tc>
        <w:tc>
          <w:tcPr>
            <w:tcW w:w="1276" w:type="dxa"/>
            <w:tcBorders>
              <w:top w:val="nil"/>
              <w:left w:val="nil"/>
              <w:bottom w:val="single" w:sz="4" w:space="0" w:color="auto"/>
              <w:right w:val="nil"/>
            </w:tcBorders>
            <w:noWrap/>
            <w:vAlign w:val="center"/>
            <w:hideMark/>
          </w:tcPr>
          <w:p w14:paraId="0CC2A01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40.000,00 </w:t>
            </w:r>
          </w:p>
        </w:tc>
        <w:tc>
          <w:tcPr>
            <w:tcW w:w="851" w:type="dxa"/>
            <w:tcBorders>
              <w:top w:val="nil"/>
              <w:left w:val="single" w:sz="4" w:space="0" w:color="auto"/>
              <w:bottom w:val="single" w:sz="4" w:space="0" w:color="auto"/>
              <w:right w:val="single" w:sz="4" w:space="0" w:color="auto"/>
            </w:tcBorders>
            <w:vAlign w:val="center"/>
            <w:hideMark/>
          </w:tcPr>
          <w:p w14:paraId="218584E1"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4</w:t>
            </w:r>
          </w:p>
        </w:tc>
        <w:tc>
          <w:tcPr>
            <w:tcW w:w="236" w:type="dxa"/>
            <w:vAlign w:val="center"/>
            <w:hideMark/>
          </w:tcPr>
          <w:p w14:paraId="1A476762" w14:textId="77777777" w:rsidR="00F0133E" w:rsidRDefault="00F0133E">
            <w:pPr>
              <w:rPr>
                <w:rFonts w:asciiTheme="minorHAnsi" w:hAnsiTheme="minorHAnsi" w:cstheme="minorHAnsi"/>
                <w:i/>
                <w:iCs/>
                <w:color w:val="000000"/>
                <w:sz w:val="18"/>
                <w:szCs w:val="18"/>
                <w:lang w:eastAsia="en-US"/>
              </w:rPr>
            </w:pPr>
          </w:p>
        </w:tc>
      </w:tr>
      <w:tr w:rsidR="00F0133E" w14:paraId="3EF7C097" w14:textId="77777777" w:rsidTr="00F0133E">
        <w:trPr>
          <w:trHeight w:val="340"/>
        </w:trPr>
        <w:tc>
          <w:tcPr>
            <w:tcW w:w="1804" w:type="dxa"/>
            <w:vMerge/>
            <w:tcBorders>
              <w:top w:val="nil"/>
              <w:left w:val="single" w:sz="4" w:space="0" w:color="auto"/>
              <w:bottom w:val="single" w:sz="4" w:space="0" w:color="auto"/>
              <w:right w:val="single" w:sz="4" w:space="0" w:color="auto"/>
            </w:tcBorders>
            <w:vAlign w:val="center"/>
            <w:hideMark/>
          </w:tcPr>
          <w:p w14:paraId="3A2E0024"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11C835C7"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48C3DED2"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1D47FBBA"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6D90D57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75700</w:t>
            </w:r>
          </w:p>
        </w:tc>
        <w:tc>
          <w:tcPr>
            <w:tcW w:w="1846" w:type="dxa"/>
            <w:tcBorders>
              <w:top w:val="nil"/>
              <w:left w:val="nil"/>
              <w:bottom w:val="single" w:sz="4" w:space="0" w:color="auto"/>
              <w:right w:val="single" w:sz="4" w:space="0" w:color="auto"/>
            </w:tcBorders>
            <w:vAlign w:val="center"/>
            <w:hideMark/>
          </w:tcPr>
          <w:p w14:paraId="68599689"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Training, Workshops and Confer</w:t>
            </w:r>
          </w:p>
        </w:tc>
        <w:tc>
          <w:tcPr>
            <w:tcW w:w="1281" w:type="dxa"/>
            <w:tcBorders>
              <w:top w:val="nil"/>
              <w:left w:val="nil"/>
              <w:bottom w:val="single" w:sz="4" w:space="0" w:color="auto"/>
              <w:right w:val="single" w:sz="4" w:space="0" w:color="auto"/>
            </w:tcBorders>
            <w:noWrap/>
            <w:vAlign w:val="center"/>
            <w:hideMark/>
          </w:tcPr>
          <w:p w14:paraId="4FF0E60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67.500,00 </w:t>
            </w:r>
          </w:p>
        </w:tc>
        <w:tc>
          <w:tcPr>
            <w:tcW w:w="1276" w:type="dxa"/>
            <w:tcBorders>
              <w:top w:val="nil"/>
              <w:left w:val="nil"/>
              <w:bottom w:val="single" w:sz="4" w:space="0" w:color="auto"/>
              <w:right w:val="single" w:sz="4" w:space="0" w:color="auto"/>
            </w:tcBorders>
            <w:noWrap/>
            <w:vAlign w:val="center"/>
            <w:hideMark/>
          </w:tcPr>
          <w:p w14:paraId="67B66A3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67.500,00 </w:t>
            </w:r>
          </w:p>
        </w:tc>
        <w:tc>
          <w:tcPr>
            <w:tcW w:w="1276" w:type="dxa"/>
            <w:tcBorders>
              <w:top w:val="nil"/>
              <w:left w:val="nil"/>
              <w:bottom w:val="single" w:sz="4" w:space="0" w:color="auto"/>
              <w:right w:val="single" w:sz="4" w:space="0" w:color="auto"/>
            </w:tcBorders>
            <w:noWrap/>
            <w:vAlign w:val="center"/>
            <w:hideMark/>
          </w:tcPr>
          <w:p w14:paraId="5C15DCF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67.500,00 </w:t>
            </w:r>
          </w:p>
        </w:tc>
        <w:tc>
          <w:tcPr>
            <w:tcW w:w="1285" w:type="dxa"/>
            <w:tcBorders>
              <w:top w:val="nil"/>
              <w:left w:val="nil"/>
              <w:bottom w:val="single" w:sz="4" w:space="0" w:color="auto"/>
              <w:right w:val="single" w:sz="4" w:space="0" w:color="auto"/>
            </w:tcBorders>
            <w:noWrap/>
            <w:vAlign w:val="center"/>
            <w:hideMark/>
          </w:tcPr>
          <w:p w14:paraId="4DCA6B1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67.500,00 </w:t>
            </w:r>
          </w:p>
        </w:tc>
        <w:tc>
          <w:tcPr>
            <w:tcW w:w="1276" w:type="dxa"/>
            <w:tcBorders>
              <w:top w:val="nil"/>
              <w:left w:val="nil"/>
              <w:bottom w:val="single" w:sz="4" w:space="0" w:color="auto"/>
              <w:right w:val="nil"/>
            </w:tcBorders>
            <w:noWrap/>
            <w:vAlign w:val="center"/>
            <w:hideMark/>
          </w:tcPr>
          <w:p w14:paraId="697AFAC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270.000,00 </w:t>
            </w:r>
          </w:p>
        </w:tc>
        <w:tc>
          <w:tcPr>
            <w:tcW w:w="851" w:type="dxa"/>
            <w:tcBorders>
              <w:top w:val="nil"/>
              <w:left w:val="single" w:sz="4" w:space="0" w:color="auto"/>
              <w:bottom w:val="single" w:sz="4" w:space="0" w:color="auto"/>
              <w:right w:val="single" w:sz="4" w:space="0" w:color="auto"/>
            </w:tcBorders>
            <w:vAlign w:val="center"/>
            <w:hideMark/>
          </w:tcPr>
          <w:p w14:paraId="2DF40262"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5</w:t>
            </w:r>
          </w:p>
        </w:tc>
        <w:tc>
          <w:tcPr>
            <w:tcW w:w="236" w:type="dxa"/>
            <w:vAlign w:val="center"/>
            <w:hideMark/>
          </w:tcPr>
          <w:p w14:paraId="050C2BC4" w14:textId="77777777" w:rsidR="00F0133E" w:rsidRDefault="00F0133E">
            <w:pPr>
              <w:rPr>
                <w:rFonts w:asciiTheme="minorHAnsi" w:hAnsiTheme="minorHAnsi" w:cstheme="minorHAnsi"/>
                <w:i/>
                <w:iCs/>
                <w:color w:val="000000"/>
                <w:sz w:val="18"/>
                <w:szCs w:val="18"/>
                <w:lang w:eastAsia="en-US"/>
              </w:rPr>
            </w:pPr>
          </w:p>
        </w:tc>
      </w:tr>
      <w:tr w:rsidR="00F0133E" w14:paraId="0B9B0589"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41A43826"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540AD4BB"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3E8FFC59"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34D0CA2F"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8E93D7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E7E6E6"/>
            <w:noWrap/>
            <w:vAlign w:val="center"/>
            <w:hideMark/>
          </w:tcPr>
          <w:p w14:paraId="36E820FA"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E7E6E6"/>
            <w:noWrap/>
            <w:vAlign w:val="center"/>
            <w:hideMark/>
          </w:tcPr>
          <w:p w14:paraId="0245DE6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76" w:type="dxa"/>
            <w:tcBorders>
              <w:top w:val="nil"/>
              <w:left w:val="nil"/>
              <w:bottom w:val="single" w:sz="4" w:space="0" w:color="auto"/>
              <w:right w:val="single" w:sz="4" w:space="0" w:color="auto"/>
            </w:tcBorders>
            <w:shd w:val="clear" w:color="auto" w:fill="E7E6E6"/>
            <w:noWrap/>
            <w:vAlign w:val="center"/>
            <w:hideMark/>
          </w:tcPr>
          <w:p w14:paraId="4D70F49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76" w:type="dxa"/>
            <w:tcBorders>
              <w:top w:val="nil"/>
              <w:left w:val="nil"/>
              <w:bottom w:val="single" w:sz="4" w:space="0" w:color="auto"/>
              <w:right w:val="single" w:sz="4" w:space="0" w:color="auto"/>
            </w:tcBorders>
            <w:shd w:val="clear" w:color="auto" w:fill="E7E6E6"/>
            <w:noWrap/>
            <w:vAlign w:val="center"/>
            <w:hideMark/>
          </w:tcPr>
          <w:p w14:paraId="0165594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85" w:type="dxa"/>
            <w:tcBorders>
              <w:top w:val="nil"/>
              <w:left w:val="nil"/>
              <w:bottom w:val="single" w:sz="4" w:space="0" w:color="auto"/>
              <w:right w:val="single" w:sz="4" w:space="0" w:color="auto"/>
            </w:tcBorders>
            <w:shd w:val="clear" w:color="auto" w:fill="E7E6E6"/>
            <w:noWrap/>
            <w:vAlign w:val="center"/>
            <w:hideMark/>
          </w:tcPr>
          <w:p w14:paraId="281D9C6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76" w:type="dxa"/>
            <w:tcBorders>
              <w:top w:val="nil"/>
              <w:left w:val="nil"/>
              <w:bottom w:val="single" w:sz="4" w:space="0" w:color="auto"/>
              <w:right w:val="nil"/>
            </w:tcBorders>
            <w:shd w:val="clear" w:color="auto" w:fill="E7E6E6"/>
            <w:noWrap/>
            <w:vAlign w:val="center"/>
            <w:hideMark/>
          </w:tcPr>
          <w:p w14:paraId="1306F9F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1.717.200,00 </w:t>
            </w:r>
          </w:p>
        </w:tc>
        <w:tc>
          <w:tcPr>
            <w:tcW w:w="851" w:type="dxa"/>
            <w:tcBorders>
              <w:top w:val="nil"/>
              <w:left w:val="single" w:sz="4" w:space="0" w:color="auto"/>
              <w:bottom w:val="single" w:sz="4" w:space="0" w:color="auto"/>
              <w:right w:val="single" w:sz="4" w:space="0" w:color="auto"/>
            </w:tcBorders>
            <w:vAlign w:val="center"/>
            <w:hideMark/>
          </w:tcPr>
          <w:p w14:paraId="0DAF203B" w14:textId="77777777" w:rsidR="00F0133E" w:rsidRDefault="00F0133E">
            <w:pPr>
              <w:jc w:val="center"/>
              <w:rPr>
                <w:rFonts w:asciiTheme="minorHAnsi" w:hAnsiTheme="minorHAnsi" w:cstheme="minorHAnsi"/>
                <w:b/>
                <w:bCs/>
                <w:i/>
                <w:iCs/>
                <w:color w:val="000000"/>
                <w:sz w:val="18"/>
                <w:szCs w:val="18"/>
                <w:lang w:eastAsia="en-US"/>
              </w:rPr>
            </w:pPr>
            <w:r>
              <w:rPr>
                <w:rFonts w:asciiTheme="minorHAnsi" w:hAnsiTheme="minorHAnsi" w:cstheme="minorHAnsi"/>
                <w:b/>
                <w:bCs/>
                <w:i/>
                <w:iCs/>
                <w:color w:val="000000"/>
                <w:sz w:val="18"/>
                <w:szCs w:val="18"/>
                <w:lang w:eastAsia="en-US"/>
              </w:rPr>
              <w:t> </w:t>
            </w:r>
          </w:p>
        </w:tc>
        <w:tc>
          <w:tcPr>
            <w:tcW w:w="236" w:type="dxa"/>
            <w:vAlign w:val="center"/>
            <w:hideMark/>
          </w:tcPr>
          <w:p w14:paraId="12741D76" w14:textId="77777777" w:rsidR="00F0133E" w:rsidRDefault="00F0133E">
            <w:pPr>
              <w:rPr>
                <w:rFonts w:asciiTheme="minorHAnsi" w:hAnsiTheme="minorHAnsi" w:cstheme="minorHAnsi"/>
                <w:b/>
                <w:bCs/>
                <w:i/>
                <w:iCs/>
                <w:color w:val="000000"/>
                <w:sz w:val="18"/>
                <w:szCs w:val="18"/>
                <w:lang w:eastAsia="en-US"/>
              </w:rPr>
            </w:pPr>
          </w:p>
        </w:tc>
      </w:tr>
      <w:tr w:rsidR="00F0133E" w14:paraId="4AEB002D"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55300371"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2E00DDC1"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7248133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521650F1"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vAlign w:val="center"/>
            <w:hideMark/>
          </w:tcPr>
          <w:p w14:paraId="3D2C024C"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5B9BD5"/>
            <w:vAlign w:val="center"/>
            <w:hideMark/>
          </w:tcPr>
          <w:p w14:paraId="5C60E1CB"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Outcome 1</w:t>
            </w:r>
          </w:p>
        </w:tc>
        <w:tc>
          <w:tcPr>
            <w:tcW w:w="1281" w:type="dxa"/>
            <w:tcBorders>
              <w:top w:val="nil"/>
              <w:left w:val="nil"/>
              <w:bottom w:val="single" w:sz="4" w:space="0" w:color="auto"/>
              <w:right w:val="single" w:sz="4" w:space="0" w:color="auto"/>
            </w:tcBorders>
            <w:shd w:val="clear" w:color="auto" w:fill="5B9BD5"/>
            <w:noWrap/>
            <w:vAlign w:val="center"/>
            <w:hideMark/>
          </w:tcPr>
          <w:p w14:paraId="0BC30DD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76" w:type="dxa"/>
            <w:tcBorders>
              <w:top w:val="nil"/>
              <w:left w:val="nil"/>
              <w:bottom w:val="single" w:sz="4" w:space="0" w:color="auto"/>
              <w:right w:val="single" w:sz="4" w:space="0" w:color="auto"/>
            </w:tcBorders>
            <w:shd w:val="clear" w:color="auto" w:fill="5B9BD5"/>
            <w:noWrap/>
            <w:vAlign w:val="center"/>
            <w:hideMark/>
          </w:tcPr>
          <w:p w14:paraId="54F632C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76" w:type="dxa"/>
            <w:tcBorders>
              <w:top w:val="nil"/>
              <w:left w:val="nil"/>
              <w:bottom w:val="single" w:sz="4" w:space="0" w:color="auto"/>
              <w:right w:val="single" w:sz="4" w:space="0" w:color="auto"/>
            </w:tcBorders>
            <w:shd w:val="clear" w:color="auto" w:fill="5B9BD5"/>
            <w:noWrap/>
            <w:vAlign w:val="center"/>
            <w:hideMark/>
          </w:tcPr>
          <w:p w14:paraId="04065E4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85" w:type="dxa"/>
            <w:tcBorders>
              <w:top w:val="nil"/>
              <w:left w:val="nil"/>
              <w:bottom w:val="single" w:sz="4" w:space="0" w:color="auto"/>
              <w:right w:val="single" w:sz="4" w:space="0" w:color="auto"/>
            </w:tcBorders>
            <w:shd w:val="clear" w:color="auto" w:fill="5B9BD5"/>
            <w:noWrap/>
            <w:vAlign w:val="center"/>
            <w:hideMark/>
          </w:tcPr>
          <w:p w14:paraId="035A76F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429.300,00 </w:t>
            </w:r>
          </w:p>
        </w:tc>
        <w:tc>
          <w:tcPr>
            <w:tcW w:w="1276" w:type="dxa"/>
            <w:tcBorders>
              <w:top w:val="nil"/>
              <w:left w:val="nil"/>
              <w:bottom w:val="single" w:sz="4" w:space="0" w:color="auto"/>
              <w:right w:val="nil"/>
            </w:tcBorders>
            <w:shd w:val="clear" w:color="auto" w:fill="5B9BD5"/>
            <w:noWrap/>
            <w:vAlign w:val="center"/>
            <w:hideMark/>
          </w:tcPr>
          <w:p w14:paraId="4091F68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1.717.200,00 </w:t>
            </w:r>
          </w:p>
        </w:tc>
        <w:tc>
          <w:tcPr>
            <w:tcW w:w="851" w:type="dxa"/>
            <w:tcBorders>
              <w:top w:val="nil"/>
              <w:left w:val="single" w:sz="4" w:space="0" w:color="auto"/>
              <w:bottom w:val="single" w:sz="4" w:space="0" w:color="auto"/>
              <w:right w:val="single" w:sz="4" w:space="0" w:color="auto"/>
            </w:tcBorders>
            <w:vAlign w:val="center"/>
            <w:hideMark/>
          </w:tcPr>
          <w:p w14:paraId="3AAAB5D7" w14:textId="77777777" w:rsidR="00F0133E" w:rsidRDefault="00F0133E">
            <w:pPr>
              <w:jc w:val="center"/>
              <w:rPr>
                <w:rFonts w:asciiTheme="minorHAnsi" w:hAnsiTheme="minorHAnsi" w:cstheme="minorHAnsi"/>
                <w:b/>
                <w:bCs/>
                <w:i/>
                <w:iCs/>
                <w:color w:val="000000"/>
                <w:sz w:val="18"/>
                <w:szCs w:val="18"/>
                <w:lang w:eastAsia="en-US"/>
              </w:rPr>
            </w:pPr>
            <w:r>
              <w:rPr>
                <w:rFonts w:asciiTheme="minorHAnsi" w:hAnsiTheme="minorHAnsi" w:cstheme="minorHAnsi"/>
                <w:b/>
                <w:bCs/>
                <w:i/>
                <w:iCs/>
                <w:color w:val="000000"/>
                <w:sz w:val="18"/>
                <w:szCs w:val="18"/>
                <w:lang w:eastAsia="en-US"/>
              </w:rPr>
              <w:t> </w:t>
            </w:r>
          </w:p>
        </w:tc>
        <w:tc>
          <w:tcPr>
            <w:tcW w:w="236" w:type="dxa"/>
            <w:vAlign w:val="center"/>
            <w:hideMark/>
          </w:tcPr>
          <w:p w14:paraId="420EC010" w14:textId="77777777" w:rsidR="00F0133E" w:rsidRDefault="00F0133E">
            <w:pPr>
              <w:rPr>
                <w:rFonts w:asciiTheme="minorHAnsi" w:hAnsiTheme="minorHAnsi" w:cstheme="minorHAnsi"/>
                <w:b/>
                <w:bCs/>
                <w:i/>
                <w:iCs/>
                <w:color w:val="000000"/>
                <w:sz w:val="18"/>
                <w:szCs w:val="18"/>
                <w:lang w:eastAsia="en-US"/>
              </w:rPr>
            </w:pPr>
          </w:p>
        </w:tc>
      </w:tr>
      <w:tr w:rsidR="00F0133E" w14:paraId="0A21AA03" w14:textId="77777777" w:rsidTr="00F0133E">
        <w:trPr>
          <w:trHeight w:val="300"/>
        </w:trPr>
        <w:tc>
          <w:tcPr>
            <w:tcW w:w="1804" w:type="dxa"/>
            <w:vMerge w:val="restart"/>
            <w:tcBorders>
              <w:top w:val="nil"/>
              <w:left w:val="single" w:sz="4" w:space="0" w:color="auto"/>
              <w:bottom w:val="single" w:sz="4" w:space="0" w:color="auto"/>
              <w:right w:val="single" w:sz="4" w:space="0" w:color="auto"/>
            </w:tcBorders>
            <w:vAlign w:val="center"/>
            <w:hideMark/>
          </w:tcPr>
          <w:p w14:paraId="34729A70"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b/>
                <w:bCs/>
                <w:color w:val="000000"/>
                <w:sz w:val="18"/>
                <w:szCs w:val="18"/>
                <w:lang w:eastAsia="en-US"/>
              </w:rPr>
              <w:t>COMPONENT2:</w:t>
            </w:r>
            <w:r>
              <w:rPr>
                <w:rFonts w:asciiTheme="minorHAnsi" w:hAnsiTheme="minorHAnsi" w:cstheme="minorHAnsi"/>
                <w:color w:val="000000"/>
                <w:sz w:val="18"/>
                <w:szCs w:val="18"/>
                <w:lang w:eastAsia="en-US"/>
              </w:rPr>
              <w:br/>
              <w:t>Support the Communication and Replication of Portfolio Results and Experiences</w:t>
            </w:r>
          </w:p>
        </w:tc>
        <w:tc>
          <w:tcPr>
            <w:tcW w:w="1264" w:type="dxa"/>
            <w:vMerge w:val="restart"/>
            <w:tcBorders>
              <w:top w:val="nil"/>
              <w:left w:val="single" w:sz="4" w:space="0" w:color="auto"/>
              <w:bottom w:val="single" w:sz="4" w:space="0" w:color="auto"/>
              <w:right w:val="single" w:sz="4" w:space="0" w:color="auto"/>
            </w:tcBorders>
            <w:vAlign w:val="center"/>
            <w:hideMark/>
          </w:tcPr>
          <w:p w14:paraId="2B9B773B"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UNESCO-IOC</w:t>
            </w:r>
          </w:p>
        </w:tc>
        <w:tc>
          <w:tcPr>
            <w:tcW w:w="777" w:type="dxa"/>
            <w:vMerge w:val="restart"/>
            <w:tcBorders>
              <w:top w:val="nil"/>
              <w:left w:val="single" w:sz="4" w:space="0" w:color="auto"/>
              <w:bottom w:val="single" w:sz="4" w:space="0" w:color="auto"/>
              <w:right w:val="single" w:sz="4" w:space="0" w:color="auto"/>
            </w:tcBorders>
            <w:vAlign w:val="center"/>
            <w:hideMark/>
          </w:tcPr>
          <w:p w14:paraId="0639E349"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auto"/>
              <w:right w:val="single" w:sz="4" w:space="0" w:color="auto"/>
            </w:tcBorders>
            <w:vAlign w:val="center"/>
            <w:hideMark/>
          </w:tcPr>
          <w:p w14:paraId="75D11A9E"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71F71AF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vAlign w:val="center"/>
            <w:hideMark/>
          </w:tcPr>
          <w:p w14:paraId="2FD1F0B6"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240C498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118.306,00 </w:t>
            </w:r>
          </w:p>
        </w:tc>
        <w:tc>
          <w:tcPr>
            <w:tcW w:w="1276" w:type="dxa"/>
            <w:tcBorders>
              <w:top w:val="nil"/>
              <w:left w:val="nil"/>
              <w:bottom w:val="single" w:sz="4" w:space="0" w:color="auto"/>
              <w:right w:val="single" w:sz="4" w:space="0" w:color="auto"/>
            </w:tcBorders>
            <w:noWrap/>
            <w:vAlign w:val="center"/>
            <w:hideMark/>
          </w:tcPr>
          <w:p w14:paraId="066D06C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88.306,00 </w:t>
            </w:r>
          </w:p>
        </w:tc>
        <w:tc>
          <w:tcPr>
            <w:tcW w:w="1276" w:type="dxa"/>
            <w:tcBorders>
              <w:top w:val="nil"/>
              <w:left w:val="nil"/>
              <w:bottom w:val="single" w:sz="4" w:space="0" w:color="auto"/>
              <w:right w:val="single" w:sz="4" w:space="0" w:color="auto"/>
            </w:tcBorders>
            <w:noWrap/>
            <w:vAlign w:val="center"/>
            <w:hideMark/>
          </w:tcPr>
          <w:p w14:paraId="1FAAA2A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118.306,00 </w:t>
            </w:r>
          </w:p>
        </w:tc>
        <w:tc>
          <w:tcPr>
            <w:tcW w:w="1285" w:type="dxa"/>
            <w:tcBorders>
              <w:top w:val="nil"/>
              <w:left w:val="nil"/>
              <w:bottom w:val="single" w:sz="4" w:space="0" w:color="auto"/>
              <w:right w:val="single" w:sz="4" w:space="0" w:color="auto"/>
            </w:tcBorders>
            <w:noWrap/>
            <w:vAlign w:val="center"/>
            <w:hideMark/>
          </w:tcPr>
          <w:p w14:paraId="702E41F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88.306,00 </w:t>
            </w:r>
          </w:p>
        </w:tc>
        <w:tc>
          <w:tcPr>
            <w:tcW w:w="1276" w:type="dxa"/>
            <w:tcBorders>
              <w:top w:val="nil"/>
              <w:left w:val="nil"/>
              <w:bottom w:val="single" w:sz="4" w:space="0" w:color="auto"/>
              <w:right w:val="nil"/>
            </w:tcBorders>
            <w:noWrap/>
            <w:vAlign w:val="center"/>
            <w:hideMark/>
          </w:tcPr>
          <w:p w14:paraId="39A4CEF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413.224,00 </w:t>
            </w:r>
          </w:p>
        </w:tc>
        <w:tc>
          <w:tcPr>
            <w:tcW w:w="851" w:type="dxa"/>
            <w:tcBorders>
              <w:top w:val="nil"/>
              <w:left w:val="single" w:sz="4" w:space="0" w:color="auto"/>
              <w:bottom w:val="single" w:sz="4" w:space="0" w:color="auto"/>
              <w:right w:val="single" w:sz="4" w:space="0" w:color="auto"/>
            </w:tcBorders>
            <w:vAlign w:val="center"/>
            <w:hideMark/>
          </w:tcPr>
          <w:p w14:paraId="02A56CF2"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6</w:t>
            </w:r>
          </w:p>
        </w:tc>
        <w:tc>
          <w:tcPr>
            <w:tcW w:w="236" w:type="dxa"/>
            <w:vAlign w:val="center"/>
            <w:hideMark/>
          </w:tcPr>
          <w:p w14:paraId="1F5139C3" w14:textId="77777777" w:rsidR="00F0133E" w:rsidRDefault="00F0133E">
            <w:pPr>
              <w:rPr>
                <w:rFonts w:asciiTheme="minorHAnsi" w:hAnsiTheme="minorHAnsi" w:cstheme="minorHAnsi"/>
                <w:i/>
                <w:iCs/>
                <w:color w:val="000000"/>
                <w:sz w:val="18"/>
                <w:szCs w:val="18"/>
                <w:lang w:eastAsia="en-US"/>
              </w:rPr>
            </w:pPr>
          </w:p>
        </w:tc>
      </w:tr>
      <w:tr w:rsidR="00F0133E" w14:paraId="18C77C2E"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4883FA19"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0A1E7617"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4DA4FE23"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4DB65DE1"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683C606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71300</w:t>
            </w:r>
          </w:p>
        </w:tc>
        <w:tc>
          <w:tcPr>
            <w:tcW w:w="1846" w:type="dxa"/>
            <w:tcBorders>
              <w:top w:val="nil"/>
              <w:left w:val="nil"/>
              <w:bottom w:val="single" w:sz="4" w:space="0" w:color="auto"/>
              <w:right w:val="single" w:sz="4" w:space="0" w:color="auto"/>
            </w:tcBorders>
            <w:vAlign w:val="center"/>
            <w:hideMark/>
          </w:tcPr>
          <w:p w14:paraId="6F4BE759"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Local Consultants</w:t>
            </w:r>
          </w:p>
        </w:tc>
        <w:tc>
          <w:tcPr>
            <w:tcW w:w="1281" w:type="dxa"/>
            <w:tcBorders>
              <w:top w:val="nil"/>
              <w:left w:val="nil"/>
              <w:bottom w:val="single" w:sz="4" w:space="0" w:color="auto"/>
              <w:right w:val="single" w:sz="4" w:space="0" w:color="auto"/>
            </w:tcBorders>
            <w:noWrap/>
            <w:vAlign w:val="center"/>
            <w:hideMark/>
          </w:tcPr>
          <w:p w14:paraId="4DF7328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12.963,00 </w:t>
            </w:r>
          </w:p>
        </w:tc>
        <w:tc>
          <w:tcPr>
            <w:tcW w:w="1276" w:type="dxa"/>
            <w:tcBorders>
              <w:top w:val="nil"/>
              <w:left w:val="nil"/>
              <w:bottom w:val="single" w:sz="4" w:space="0" w:color="auto"/>
              <w:right w:val="single" w:sz="4" w:space="0" w:color="auto"/>
            </w:tcBorders>
            <w:noWrap/>
            <w:vAlign w:val="center"/>
            <w:hideMark/>
          </w:tcPr>
          <w:p w14:paraId="1F5B106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12.963,00 </w:t>
            </w:r>
          </w:p>
        </w:tc>
        <w:tc>
          <w:tcPr>
            <w:tcW w:w="1276" w:type="dxa"/>
            <w:tcBorders>
              <w:top w:val="nil"/>
              <w:left w:val="nil"/>
              <w:bottom w:val="single" w:sz="4" w:space="0" w:color="auto"/>
              <w:right w:val="single" w:sz="4" w:space="0" w:color="auto"/>
            </w:tcBorders>
            <w:noWrap/>
            <w:vAlign w:val="center"/>
            <w:hideMark/>
          </w:tcPr>
          <w:p w14:paraId="03904C2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12.963,00 </w:t>
            </w:r>
          </w:p>
        </w:tc>
        <w:tc>
          <w:tcPr>
            <w:tcW w:w="1285" w:type="dxa"/>
            <w:tcBorders>
              <w:top w:val="nil"/>
              <w:left w:val="nil"/>
              <w:bottom w:val="single" w:sz="4" w:space="0" w:color="auto"/>
              <w:right w:val="single" w:sz="4" w:space="0" w:color="auto"/>
            </w:tcBorders>
            <w:noWrap/>
            <w:vAlign w:val="center"/>
            <w:hideMark/>
          </w:tcPr>
          <w:p w14:paraId="51C74C9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12.963,00 </w:t>
            </w:r>
          </w:p>
        </w:tc>
        <w:tc>
          <w:tcPr>
            <w:tcW w:w="1276" w:type="dxa"/>
            <w:tcBorders>
              <w:top w:val="nil"/>
              <w:left w:val="nil"/>
              <w:bottom w:val="single" w:sz="4" w:space="0" w:color="auto"/>
              <w:right w:val="nil"/>
            </w:tcBorders>
            <w:noWrap/>
            <w:vAlign w:val="center"/>
            <w:hideMark/>
          </w:tcPr>
          <w:p w14:paraId="65D2FCF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51.852,00 </w:t>
            </w:r>
          </w:p>
        </w:tc>
        <w:tc>
          <w:tcPr>
            <w:tcW w:w="851" w:type="dxa"/>
            <w:tcBorders>
              <w:top w:val="nil"/>
              <w:left w:val="single" w:sz="4" w:space="0" w:color="auto"/>
              <w:bottom w:val="single" w:sz="4" w:space="0" w:color="auto"/>
              <w:right w:val="single" w:sz="4" w:space="0" w:color="auto"/>
            </w:tcBorders>
            <w:vAlign w:val="center"/>
            <w:hideMark/>
          </w:tcPr>
          <w:p w14:paraId="6A3ECEEA"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7</w:t>
            </w:r>
          </w:p>
        </w:tc>
        <w:tc>
          <w:tcPr>
            <w:tcW w:w="236" w:type="dxa"/>
            <w:vAlign w:val="center"/>
            <w:hideMark/>
          </w:tcPr>
          <w:p w14:paraId="0694E2A5" w14:textId="77777777" w:rsidR="00F0133E" w:rsidRDefault="00F0133E">
            <w:pPr>
              <w:rPr>
                <w:rFonts w:asciiTheme="minorHAnsi" w:hAnsiTheme="minorHAnsi" w:cstheme="minorHAnsi"/>
                <w:i/>
                <w:iCs/>
                <w:color w:val="000000"/>
                <w:sz w:val="18"/>
                <w:szCs w:val="18"/>
                <w:lang w:eastAsia="en-US"/>
              </w:rPr>
            </w:pPr>
          </w:p>
        </w:tc>
      </w:tr>
      <w:tr w:rsidR="00F0133E" w14:paraId="7BDA269A"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37F3B8F1"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1C0AD34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66587A46"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B57B8B4"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1F55B31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72100</w:t>
            </w:r>
          </w:p>
        </w:tc>
        <w:tc>
          <w:tcPr>
            <w:tcW w:w="1846" w:type="dxa"/>
            <w:tcBorders>
              <w:top w:val="nil"/>
              <w:left w:val="nil"/>
              <w:bottom w:val="single" w:sz="4" w:space="0" w:color="auto"/>
              <w:right w:val="single" w:sz="4" w:space="0" w:color="auto"/>
            </w:tcBorders>
            <w:vAlign w:val="center"/>
            <w:hideMark/>
          </w:tcPr>
          <w:p w14:paraId="35C49A87"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Contractual Services-Companies</w:t>
            </w:r>
          </w:p>
        </w:tc>
        <w:tc>
          <w:tcPr>
            <w:tcW w:w="1281" w:type="dxa"/>
            <w:tcBorders>
              <w:top w:val="nil"/>
              <w:left w:val="nil"/>
              <w:bottom w:val="single" w:sz="4" w:space="0" w:color="auto"/>
              <w:right w:val="single" w:sz="4" w:space="0" w:color="auto"/>
            </w:tcBorders>
            <w:noWrap/>
            <w:vAlign w:val="center"/>
            <w:hideMark/>
          </w:tcPr>
          <w:p w14:paraId="5268FBB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28.481,00 </w:t>
            </w:r>
          </w:p>
        </w:tc>
        <w:tc>
          <w:tcPr>
            <w:tcW w:w="1276" w:type="dxa"/>
            <w:tcBorders>
              <w:top w:val="nil"/>
              <w:left w:val="nil"/>
              <w:bottom w:val="single" w:sz="4" w:space="0" w:color="auto"/>
              <w:right w:val="single" w:sz="4" w:space="0" w:color="auto"/>
            </w:tcBorders>
            <w:noWrap/>
            <w:vAlign w:val="center"/>
            <w:hideMark/>
          </w:tcPr>
          <w:p w14:paraId="208D910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28.481,00 </w:t>
            </w:r>
          </w:p>
        </w:tc>
        <w:tc>
          <w:tcPr>
            <w:tcW w:w="1276" w:type="dxa"/>
            <w:tcBorders>
              <w:top w:val="nil"/>
              <w:left w:val="nil"/>
              <w:bottom w:val="single" w:sz="4" w:space="0" w:color="auto"/>
              <w:right w:val="single" w:sz="4" w:space="0" w:color="auto"/>
            </w:tcBorders>
            <w:noWrap/>
            <w:vAlign w:val="center"/>
            <w:hideMark/>
          </w:tcPr>
          <w:p w14:paraId="72022C9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28.481,00 </w:t>
            </w:r>
          </w:p>
        </w:tc>
        <w:tc>
          <w:tcPr>
            <w:tcW w:w="1285" w:type="dxa"/>
            <w:tcBorders>
              <w:top w:val="nil"/>
              <w:left w:val="nil"/>
              <w:bottom w:val="single" w:sz="4" w:space="0" w:color="auto"/>
              <w:right w:val="single" w:sz="4" w:space="0" w:color="auto"/>
            </w:tcBorders>
            <w:noWrap/>
            <w:vAlign w:val="center"/>
            <w:hideMark/>
          </w:tcPr>
          <w:p w14:paraId="58763FC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28.481,00 </w:t>
            </w:r>
          </w:p>
        </w:tc>
        <w:tc>
          <w:tcPr>
            <w:tcW w:w="1276" w:type="dxa"/>
            <w:tcBorders>
              <w:top w:val="nil"/>
              <w:left w:val="nil"/>
              <w:bottom w:val="single" w:sz="4" w:space="0" w:color="auto"/>
              <w:right w:val="nil"/>
            </w:tcBorders>
            <w:noWrap/>
            <w:vAlign w:val="center"/>
            <w:hideMark/>
          </w:tcPr>
          <w:p w14:paraId="4B7A814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113.924,00 </w:t>
            </w:r>
          </w:p>
        </w:tc>
        <w:tc>
          <w:tcPr>
            <w:tcW w:w="851" w:type="dxa"/>
            <w:tcBorders>
              <w:top w:val="nil"/>
              <w:left w:val="single" w:sz="4" w:space="0" w:color="auto"/>
              <w:bottom w:val="single" w:sz="4" w:space="0" w:color="auto"/>
              <w:right w:val="single" w:sz="4" w:space="0" w:color="auto"/>
            </w:tcBorders>
            <w:vAlign w:val="center"/>
            <w:hideMark/>
          </w:tcPr>
          <w:p w14:paraId="35BF3B0B"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8</w:t>
            </w:r>
          </w:p>
        </w:tc>
        <w:tc>
          <w:tcPr>
            <w:tcW w:w="236" w:type="dxa"/>
            <w:vAlign w:val="center"/>
            <w:hideMark/>
          </w:tcPr>
          <w:p w14:paraId="0448E732" w14:textId="77777777" w:rsidR="00F0133E" w:rsidRDefault="00F0133E">
            <w:pPr>
              <w:rPr>
                <w:rFonts w:asciiTheme="minorHAnsi" w:hAnsiTheme="minorHAnsi" w:cstheme="minorHAnsi"/>
                <w:i/>
                <w:iCs/>
                <w:color w:val="000000"/>
                <w:sz w:val="18"/>
                <w:szCs w:val="18"/>
                <w:lang w:eastAsia="en-US"/>
              </w:rPr>
            </w:pPr>
          </w:p>
        </w:tc>
      </w:tr>
      <w:tr w:rsidR="00F0133E" w14:paraId="1917C2FD"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7B07E00C"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782B212B"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29A475B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2544DA81"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5D7F455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vAlign w:val="center"/>
            <w:hideMark/>
          </w:tcPr>
          <w:p w14:paraId="76947A43"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3923641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1DC4651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12679BF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85" w:type="dxa"/>
            <w:tcBorders>
              <w:top w:val="nil"/>
              <w:left w:val="nil"/>
              <w:bottom w:val="single" w:sz="4" w:space="0" w:color="auto"/>
              <w:right w:val="single" w:sz="4" w:space="0" w:color="auto"/>
            </w:tcBorders>
            <w:noWrap/>
            <w:vAlign w:val="center"/>
            <w:hideMark/>
          </w:tcPr>
          <w:p w14:paraId="2BD746C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nil"/>
            </w:tcBorders>
            <w:noWrap/>
            <w:vAlign w:val="center"/>
            <w:hideMark/>
          </w:tcPr>
          <w:p w14:paraId="7CC3C17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vAlign w:val="center"/>
            <w:hideMark/>
          </w:tcPr>
          <w:p w14:paraId="7CE11B3C"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9</w:t>
            </w:r>
          </w:p>
        </w:tc>
        <w:tc>
          <w:tcPr>
            <w:tcW w:w="236" w:type="dxa"/>
            <w:vAlign w:val="center"/>
            <w:hideMark/>
          </w:tcPr>
          <w:p w14:paraId="62DED17E" w14:textId="77777777" w:rsidR="00F0133E" w:rsidRDefault="00F0133E">
            <w:pPr>
              <w:rPr>
                <w:rFonts w:asciiTheme="minorHAnsi" w:hAnsiTheme="minorHAnsi" w:cstheme="minorHAnsi"/>
                <w:i/>
                <w:iCs/>
                <w:color w:val="000000"/>
                <w:sz w:val="18"/>
                <w:szCs w:val="18"/>
                <w:lang w:eastAsia="en-US"/>
              </w:rPr>
            </w:pPr>
          </w:p>
        </w:tc>
      </w:tr>
      <w:tr w:rsidR="00F0133E" w14:paraId="5C929865"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3FA0332F"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7FD872A7"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2DB3760B"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58C443C2"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7C68596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75700</w:t>
            </w:r>
          </w:p>
        </w:tc>
        <w:tc>
          <w:tcPr>
            <w:tcW w:w="1846" w:type="dxa"/>
            <w:tcBorders>
              <w:top w:val="nil"/>
              <w:left w:val="nil"/>
              <w:bottom w:val="single" w:sz="4" w:space="0" w:color="auto"/>
              <w:right w:val="single" w:sz="4" w:space="0" w:color="auto"/>
            </w:tcBorders>
            <w:vAlign w:val="center"/>
            <w:hideMark/>
          </w:tcPr>
          <w:p w14:paraId="4A3B45F2"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Training, Workshops and Confer</w:t>
            </w:r>
          </w:p>
        </w:tc>
        <w:tc>
          <w:tcPr>
            <w:tcW w:w="1281" w:type="dxa"/>
            <w:tcBorders>
              <w:top w:val="nil"/>
              <w:left w:val="nil"/>
              <w:bottom w:val="single" w:sz="4" w:space="0" w:color="auto"/>
              <w:right w:val="single" w:sz="4" w:space="0" w:color="auto"/>
            </w:tcBorders>
            <w:noWrap/>
            <w:vAlign w:val="center"/>
            <w:hideMark/>
          </w:tcPr>
          <w:p w14:paraId="5EF73A4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10.250,00 </w:t>
            </w:r>
          </w:p>
        </w:tc>
        <w:tc>
          <w:tcPr>
            <w:tcW w:w="1276" w:type="dxa"/>
            <w:tcBorders>
              <w:top w:val="nil"/>
              <w:left w:val="nil"/>
              <w:bottom w:val="single" w:sz="4" w:space="0" w:color="auto"/>
              <w:right w:val="single" w:sz="4" w:space="0" w:color="auto"/>
            </w:tcBorders>
            <w:noWrap/>
            <w:vAlign w:val="center"/>
            <w:hideMark/>
          </w:tcPr>
          <w:p w14:paraId="4D841FD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10.250,00 </w:t>
            </w:r>
          </w:p>
        </w:tc>
        <w:tc>
          <w:tcPr>
            <w:tcW w:w="1276" w:type="dxa"/>
            <w:tcBorders>
              <w:top w:val="nil"/>
              <w:left w:val="nil"/>
              <w:bottom w:val="single" w:sz="4" w:space="0" w:color="auto"/>
              <w:right w:val="single" w:sz="4" w:space="0" w:color="auto"/>
            </w:tcBorders>
            <w:noWrap/>
            <w:vAlign w:val="center"/>
            <w:hideMark/>
          </w:tcPr>
          <w:p w14:paraId="60C7729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10.250,00 </w:t>
            </w:r>
          </w:p>
        </w:tc>
        <w:tc>
          <w:tcPr>
            <w:tcW w:w="1285" w:type="dxa"/>
            <w:tcBorders>
              <w:top w:val="nil"/>
              <w:left w:val="nil"/>
              <w:bottom w:val="single" w:sz="4" w:space="0" w:color="auto"/>
              <w:right w:val="single" w:sz="4" w:space="0" w:color="auto"/>
            </w:tcBorders>
            <w:noWrap/>
            <w:vAlign w:val="center"/>
            <w:hideMark/>
          </w:tcPr>
          <w:p w14:paraId="5E832C9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10.250,00 </w:t>
            </w:r>
          </w:p>
        </w:tc>
        <w:tc>
          <w:tcPr>
            <w:tcW w:w="1276" w:type="dxa"/>
            <w:tcBorders>
              <w:top w:val="nil"/>
              <w:left w:val="nil"/>
              <w:bottom w:val="single" w:sz="4" w:space="0" w:color="auto"/>
              <w:right w:val="nil"/>
            </w:tcBorders>
            <w:noWrap/>
            <w:vAlign w:val="center"/>
            <w:hideMark/>
          </w:tcPr>
          <w:p w14:paraId="6952B01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41.000,00 </w:t>
            </w:r>
          </w:p>
        </w:tc>
        <w:tc>
          <w:tcPr>
            <w:tcW w:w="851" w:type="dxa"/>
            <w:tcBorders>
              <w:top w:val="nil"/>
              <w:left w:val="single" w:sz="4" w:space="0" w:color="auto"/>
              <w:bottom w:val="single" w:sz="4" w:space="0" w:color="auto"/>
              <w:right w:val="single" w:sz="4" w:space="0" w:color="auto"/>
            </w:tcBorders>
            <w:vAlign w:val="center"/>
            <w:hideMark/>
          </w:tcPr>
          <w:p w14:paraId="243A3946"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10</w:t>
            </w:r>
          </w:p>
        </w:tc>
        <w:tc>
          <w:tcPr>
            <w:tcW w:w="236" w:type="dxa"/>
            <w:vAlign w:val="center"/>
            <w:hideMark/>
          </w:tcPr>
          <w:p w14:paraId="68B400E1" w14:textId="77777777" w:rsidR="00F0133E" w:rsidRDefault="00F0133E">
            <w:pPr>
              <w:rPr>
                <w:rFonts w:asciiTheme="minorHAnsi" w:hAnsiTheme="minorHAnsi" w:cstheme="minorHAnsi"/>
                <w:i/>
                <w:iCs/>
                <w:color w:val="000000"/>
                <w:sz w:val="18"/>
                <w:szCs w:val="18"/>
                <w:lang w:eastAsia="en-US"/>
              </w:rPr>
            </w:pPr>
          </w:p>
        </w:tc>
      </w:tr>
      <w:tr w:rsidR="00F0133E" w14:paraId="722F15BB"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7EED40AA"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6ED6C220"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3FE235F1"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43C432D"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76EA136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E7E6E6"/>
            <w:noWrap/>
            <w:vAlign w:val="center"/>
            <w:hideMark/>
          </w:tcPr>
          <w:p w14:paraId="0CF637A6"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E7E6E6"/>
            <w:noWrap/>
            <w:vAlign w:val="center"/>
            <w:hideMark/>
          </w:tcPr>
          <w:p w14:paraId="5CC192D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175.000,00 </w:t>
            </w:r>
          </w:p>
        </w:tc>
        <w:tc>
          <w:tcPr>
            <w:tcW w:w="1276" w:type="dxa"/>
            <w:tcBorders>
              <w:top w:val="nil"/>
              <w:left w:val="nil"/>
              <w:bottom w:val="single" w:sz="4" w:space="0" w:color="auto"/>
              <w:right w:val="single" w:sz="4" w:space="0" w:color="auto"/>
            </w:tcBorders>
            <w:shd w:val="clear" w:color="auto" w:fill="E7E6E6"/>
            <w:noWrap/>
            <w:vAlign w:val="center"/>
            <w:hideMark/>
          </w:tcPr>
          <w:p w14:paraId="092A995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145.000,00 </w:t>
            </w:r>
          </w:p>
        </w:tc>
        <w:tc>
          <w:tcPr>
            <w:tcW w:w="1276" w:type="dxa"/>
            <w:tcBorders>
              <w:top w:val="nil"/>
              <w:left w:val="nil"/>
              <w:bottom w:val="single" w:sz="4" w:space="0" w:color="auto"/>
              <w:right w:val="single" w:sz="4" w:space="0" w:color="auto"/>
            </w:tcBorders>
            <w:shd w:val="clear" w:color="auto" w:fill="E7E6E6"/>
            <w:noWrap/>
            <w:vAlign w:val="center"/>
            <w:hideMark/>
          </w:tcPr>
          <w:p w14:paraId="4249A60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175.000,00 </w:t>
            </w:r>
          </w:p>
        </w:tc>
        <w:tc>
          <w:tcPr>
            <w:tcW w:w="1285" w:type="dxa"/>
            <w:tcBorders>
              <w:top w:val="nil"/>
              <w:left w:val="nil"/>
              <w:bottom w:val="single" w:sz="4" w:space="0" w:color="auto"/>
              <w:right w:val="single" w:sz="4" w:space="0" w:color="auto"/>
            </w:tcBorders>
            <w:shd w:val="clear" w:color="auto" w:fill="E7E6E6"/>
            <w:noWrap/>
            <w:vAlign w:val="center"/>
            <w:hideMark/>
          </w:tcPr>
          <w:p w14:paraId="1E72307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145.000,00 </w:t>
            </w:r>
          </w:p>
        </w:tc>
        <w:tc>
          <w:tcPr>
            <w:tcW w:w="1276" w:type="dxa"/>
            <w:tcBorders>
              <w:top w:val="nil"/>
              <w:left w:val="nil"/>
              <w:bottom w:val="single" w:sz="4" w:space="0" w:color="auto"/>
              <w:right w:val="nil"/>
            </w:tcBorders>
            <w:shd w:val="clear" w:color="auto" w:fill="E7E6E6"/>
            <w:noWrap/>
            <w:vAlign w:val="center"/>
            <w:hideMark/>
          </w:tcPr>
          <w:p w14:paraId="1DB9C5E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640.000,00 </w:t>
            </w:r>
          </w:p>
        </w:tc>
        <w:tc>
          <w:tcPr>
            <w:tcW w:w="851" w:type="dxa"/>
            <w:tcBorders>
              <w:top w:val="nil"/>
              <w:left w:val="single" w:sz="4" w:space="0" w:color="auto"/>
              <w:bottom w:val="single" w:sz="4" w:space="0" w:color="auto"/>
              <w:right w:val="single" w:sz="4" w:space="0" w:color="auto"/>
            </w:tcBorders>
            <w:vAlign w:val="center"/>
            <w:hideMark/>
          </w:tcPr>
          <w:p w14:paraId="7AEA211B"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0305021F" w14:textId="77777777" w:rsidR="00F0133E" w:rsidRDefault="00F0133E">
            <w:pPr>
              <w:rPr>
                <w:rFonts w:asciiTheme="minorHAnsi" w:hAnsiTheme="minorHAnsi" w:cstheme="minorHAnsi"/>
                <w:i/>
                <w:iCs/>
                <w:color w:val="000000"/>
                <w:sz w:val="18"/>
                <w:szCs w:val="18"/>
                <w:lang w:eastAsia="en-US"/>
              </w:rPr>
            </w:pPr>
          </w:p>
        </w:tc>
      </w:tr>
      <w:tr w:rsidR="00F0133E" w14:paraId="4441D453"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1361A92A"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24A36EF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2CE52192"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D45B315"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25F40CB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5B9BD5"/>
            <w:noWrap/>
            <w:vAlign w:val="center"/>
            <w:hideMark/>
          </w:tcPr>
          <w:p w14:paraId="1E9790AF"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Outcome 2</w:t>
            </w:r>
          </w:p>
        </w:tc>
        <w:tc>
          <w:tcPr>
            <w:tcW w:w="1281" w:type="dxa"/>
            <w:tcBorders>
              <w:top w:val="nil"/>
              <w:left w:val="nil"/>
              <w:bottom w:val="single" w:sz="4" w:space="0" w:color="auto"/>
              <w:right w:val="single" w:sz="4" w:space="0" w:color="auto"/>
            </w:tcBorders>
            <w:shd w:val="clear" w:color="auto" w:fill="5B9BD5"/>
            <w:noWrap/>
            <w:vAlign w:val="center"/>
            <w:hideMark/>
          </w:tcPr>
          <w:p w14:paraId="37964DC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175.000,00 </w:t>
            </w:r>
          </w:p>
        </w:tc>
        <w:tc>
          <w:tcPr>
            <w:tcW w:w="1276" w:type="dxa"/>
            <w:tcBorders>
              <w:top w:val="nil"/>
              <w:left w:val="nil"/>
              <w:bottom w:val="single" w:sz="4" w:space="0" w:color="auto"/>
              <w:right w:val="single" w:sz="4" w:space="0" w:color="auto"/>
            </w:tcBorders>
            <w:shd w:val="clear" w:color="auto" w:fill="5B9BD5"/>
            <w:noWrap/>
            <w:vAlign w:val="center"/>
            <w:hideMark/>
          </w:tcPr>
          <w:p w14:paraId="1C31F08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145.000,00 </w:t>
            </w:r>
          </w:p>
        </w:tc>
        <w:tc>
          <w:tcPr>
            <w:tcW w:w="1276" w:type="dxa"/>
            <w:tcBorders>
              <w:top w:val="nil"/>
              <w:left w:val="nil"/>
              <w:bottom w:val="single" w:sz="4" w:space="0" w:color="auto"/>
              <w:right w:val="single" w:sz="4" w:space="0" w:color="auto"/>
            </w:tcBorders>
            <w:shd w:val="clear" w:color="auto" w:fill="5B9BD5"/>
            <w:noWrap/>
            <w:vAlign w:val="center"/>
            <w:hideMark/>
          </w:tcPr>
          <w:p w14:paraId="42E652B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175.000,00 </w:t>
            </w:r>
          </w:p>
        </w:tc>
        <w:tc>
          <w:tcPr>
            <w:tcW w:w="1285" w:type="dxa"/>
            <w:tcBorders>
              <w:top w:val="nil"/>
              <w:left w:val="nil"/>
              <w:bottom w:val="single" w:sz="4" w:space="0" w:color="auto"/>
              <w:right w:val="single" w:sz="4" w:space="0" w:color="auto"/>
            </w:tcBorders>
            <w:shd w:val="clear" w:color="auto" w:fill="5B9BD5"/>
            <w:noWrap/>
            <w:vAlign w:val="center"/>
            <w:hideMark/>
          </w:tcPr>
          <w:p w14:paraId="18FF721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145.000,00 </w:t>
            </w:r>
          </w:p>
        </w:tc>
        <w:tc>
          <w:tcPr>
            <w:tcW w:w="1276" w:type="dxa"/>
            <w:tcBorders>
              <w:top w:val="nil"/>
              <w:left w:val="nil"/>
              <w:bottom w:val="single" w:sz="4" w:space="0" w:color="auto"/>
              <w:right w:val="nil"/>
            </w:tcBorders>
            <w:shd w:val="clear" w:color="auto" w:fill="5B9BD5"/>
            <w:noWrap/>
            <w:vAlign w:val="center"/>
            <w:hideMark/>
          </w:tcPr>
          <w:p w14:paraId="1AC7FC9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640.000,00 </w:t>
            </w:r>
          </w:p>
        </w:tc>
        <w:tc>
          <w:tcPr>
            <w:tcW w:w="851" w:type="dxa"/>
            <w:tcBorders>
              <w:top w:val="nil"/>
              <w:left w:val="single" w:sz="4" w:space="0" w:color="auto"/>
              <w:bottom w:val="single" w:sz="4" w:space="0" w:color="auto"/>
              <w:right w:val="single" w:sz="4" w:space="0" w:color="auto"/>
            </w:tcBorders>
            <w:vAlign w:val="center"/>
            <w:hideMark/>
          </w:tcPr>
          <w:p w14:paraId="05324E2E"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75EDF0F5" w14:textId="77777777" w:rsidR="00F0133E" w:rsidRDefault="00F0133E">
            <w:pPr>
              <w:rPr>
                <w:rFonts w:asciiTheme="minorHAnsi" w:hAnsiTheme="minorHAnsi" w:cstheme="minorHAnsi"/>
                <w:i/>
                <w:iCs/>
                <w:color w:val="000000"/>
                <w:sz w:val="18"/>
                <w:szCs w:val="18"/>
                <w:lang w:eastAsia="en-US"/>
              </w:rPr>
            </w:pPr>
          </w:p>
        </w:tc>
      </w:tr>
      <w:tr w:rsidR="00F0133E" w14:paraId="4E1AED36" w14:textId="77777777" w:rsidTr="00F0133E">
        <w:trPr>
          <w:trHeight w:val="300"/>
        </w:trPr>
        <w:tc>
          <w:tcPr>
            <w:tcW w:w="1804" w:type="dxa"/>
            <w:vMerge w:val="restart"/>
            <w:tcBorders>
              <w:top w:val="nil"/>
              <w:left w:val="single" w:sz="4" w:space="0" w:color="auto"/>
              <w:bottom w:val="single" w:sz="4" w:space="0" w:color="auto"/>
              <w:right w:val="single" w:sz="4" w:space="0" w:color="auto"/>
            </w:tcBorders>
            <w:vAlign w:val="center"/>
            <w:hideMark/>
          </w:tcPr>
          <w:p w14:paraId="2C7B4E98"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COMPONENT 3:</w:t>
            </w:r>
            <w:r>
              <w:rPr>
                <w:rFonts w:asciiTheme="minorHAnsi" w:hAnsiTheme="minorHAnsi" w:cstheme="minorHAnsi"/>
                <w:b/>
                <w:bCs/>
                <w:color w:val="000000"/>
                <w:sz w:val="18"/>
                <w:szCs w:val="18"/>
                <w:lang w:eastAsia="en-US"/>
              </w:rPr>
              <w:br/>
            </w:r>
            <w:r>
              <w:rPr>
                <w:rFonts w:asciiTheme="minorHAnsi" w:hAnsiTheme="minorHAnsi" w:cstheme="minorHAnsi"/>
                <w:color w:val="000000"/>
                <w:sz w:val="18"/>
                <w:szCs w:val="18"/>
                <w:lang w:eastAsia="en-US"/>
              </w:rPr>
              <w:t>Deliver Intra and  Inter-Regional Coordination and Knowledge Management Across Focal Areas in Small Island Developing States to Improve Portfolio Performance</w:t>
            </w:r>
          </w:p>
        </w:tc>
        <w:tc>
          <w:tcPr>
            <w:tcW w:w="1264" w:type="dxa"/>
            <w:vMerge w:val="restart"/>
            <w:tcBorders>
              <w:top w:val="nil"/>
              <w:left w:val="single" w:sz="4" w:space="0" w:color="auto"/>
              <w:bottom w:val="single" w:sz="4" w:space="0" w:color="auto"/>
              <w:right w:val="single" w:sz="4" w:space="0" w:color="auto"/>
            </w:tcBorders>
            <w:vAlign w:val="center"/>
            <w:hideMark/>
          </w:tcPr>
          <w:p w14:paraId="1182D9EA"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UNESCO-IOC</w:t>
            </w:r>
          </w:p>
        </w:tc>
        <w:tc>
          <w:tcPr>
            <w:tcW w:w="777" w:type="dxa"/>
            <w:vMerge w:val="restart"/>
            <w:tcBorders>
              <w:top w:val="nil"/>
              <w:left w:val="single" w:sz="4" w:space="0" w:color="auto"/>
              <w:bottom w:val="single" w:sz="4" w:space="0" w:color="auto"/>
              <w:right w:val="single" w:sz="4" w:space="0" w:color="auto"/>
            </w:tcBorders>
            <w:vAlign w:val="center"/>
            <w:hideMark/>
          </w:tcPr>
          <w:p w14:paraId="63EE9E6D"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auto"/>
              <w:right w:val="single" w:sz="4" w:space="0" w:color="auto"/>
            </w:tcBorders>
            <w:vAlign w:val="center"/>
            <w:hideMark/>
          </w:tcPr>
          <w:p w14:paraId="5440B32F"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5126E80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vAlign w:val="center"/>
            <w:hideMark/>
          </w:tcPr>
          <w:p w14:paraId="5C9FC867"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78D8074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5.586,00 </w:t>
            </w:r>
          </w:p>
        </w:tc>
        <w:tc>
          <w:tcPr>
            <w:tcW w:w="1276" w:type="dxa"/>
            <w:tcBorders>
              <w:top w:val="nil"/>
              <w:left w:val="nil"/>
              <w:bottom w:val="single" w:sz="4" w:space="0" w:color="auto"/>
              <w:right w:val="single" w:sz="4" w:space="0" w:color="auto"/>
            </w:tcBorders>
            <w:noWrap/>
            <w:vAlign w:val="center"/>
            <w:hideMark/>
          </w:tcPr>
          <w:p w14:paraId="129C5CA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5.586,00 </w:t>
            </w:r>
          </w:p>
        </w:tc>
        <w:tc>
          <w:tcPr>
            <w:tcW w:w="1276" w:type="dxa"/>
            <w:tcBorders>
              <w:top w:val="nil"/>
              <w:left w:val="nil"/>
              <w:bottom w:val="single" w:sz="4" w:space="0" w:color="auto"/>
              <w:right w:val="single" w:sz="4" w:space="0" w:color="auto"/>
            </w:tcBorders>
            <w:noWrap/>
            <w:vAlign w:val="center"/>
            <w:hideMark/>
          </w:tcPr>
          <w:p w14:paraId="139A4F8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5.586,00 </w:t>
            </w:r>
          </w:p>
        </w:tc>
        <w:tc>
          <w:tcPr>
            <w:tcW w:w="1285" w:type="dxa"/>
            <w:tcBorders>
              <w:top w:val="nil"/>
              <w:left w:val="nil"/>
              <w:bottom w:val="single" w:sz="4" w:space="0" w:color="auto"/>
              <w:right w:val="single" w:sz="4" w:space="0" w:color="auto"/>
            </w:tcBorders>
            <w:noWrap/>
            <w:vAlign w:val="center"/>
            <w:hideMark/>
          </w:tcPr>
          <w:p w14:paraId="21EA9D8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5.586,00 </w:t>
            </w:r>
          </w:p>
        </w:tc>
        <w:tc>
          <w:tcPr>
            <w:tcW w:w="1276" w:type="dxa"/>
            <w:tcBorders>
              <w:top w:val="nil"/>
              <w:left w:val="nil"/>
              <w:bottom w:val="single" w:sz="4" w:space="0" w:color="auto"/>
              <w:right w:val="nil"/>
            </w:tcBorders>
            <w:noWrap/>
            <w:vAlign w:val="center"/>
            <w:hideMark/>
          </w:tcPr>
          <w:p w14:paraId="40A92A1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22,344,00 </w:t>
            </w:r>
          </w:p>
        </w:tc>
        <w:tc>
          <w:tcPr>
            <w:tcW w:w="851" w:type="dxa"/>
            <w:tcBorders>
              <w:top w:val="nil"/>
              <w:left w:val="single" w:sz="4" w:space="0" w:color="auto"/>
              <w:bottom w:val="single" w:sz="4" w:space="0" w:color="auto"/>
              <w:right w:val="single" w:sz="4" w:space="0" w:color="auto"/>
            </w:tcBorders>
            <w:vAlign w:val="center"/>
            <w:hideMark/>
          </w:tcPr>
          <w:p w14:paraId="34BF9D9A"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11</w:t>
            </w:r>
          </w:p>
        </w:tc>
        <w:tc>
          <w:tcPr>
            <w:tcW w:w="236" w:type="dxa"/>
            <w:vAlign w:val="center"/>
            <w:hideMark/>
          </w:tcPr>
          <w:p w14:paraId="360DE51A" w14:textId="77777777" w:rsidR="00F0133E" w:rsidRDefault="00F0133E">
            <w:pPr>
              <w:rPr>
                <w:rFonts w:asciiTheme="minorHAnsi" w:hAnsiTheme="minorHAnsi" w:cstheme="minorHAnsi"/>
                <w:i/>
                <w:iCs/>
                <w:color w:val="000000"/>
                <w:sz w:val="18"/>
                <w:szCs w:val="18"/>
                <w:lang w:eastAsia="en-US"/>
              </w:rPr>
            </w:pPr>
          </w:p>
        </w:tc>
      </w:tr>
      <w:tr w:rsidR="00F0133E" w14:paraId="43C555BA"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7A0B177E"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169125AD"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595F1CB6"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30DD5B2B"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36FF4D6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71300</w:t>
            </w:r>
          </w:p>
        </w:tc>
        <w:tc>
          <w:tcPr>
            <w:tcW w:w="1846" w:type="dxa"/>
            <w:tcBorders>
              <w:top w:val="nil"/>
              <w:left w:val="nil"/>
              <w:bottom w:val="single" w:sz="4" w:space="0" w:color="auto"/>
              <w:right w:val="single" w:sz="4" w:space="0" w:color="auto"/>
            </w:tcBorders>
            <w:vAlign w:val="center"/>
            <w:hideMark/>
          </w:tcPr>
          <w:p w14:paraId="7B4A090A"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Local Consultants</w:t>
            </w:r>
          </w:p>
        </w:tc>
        <w:tc>
          <w:tcPr>
            <w:tcW w:w="1281" w:type="dxa"/>
            <w:tcBorders>
              <w:top w:val="nil"/>
              <w:left w:val="nil"/>
              <w:bottom w:val="single" w:sz="4" w:space="0" w:color="auto"/>
              <w:right w:val="single" w:sz="4" w:space="0" w:color="auto"/>
            </w:tcBorders>
            <w:noWrap/>
            <w:vAlign w:val="center"/>
            <w:hideMark/>
          </w:tcPr>
          <w:p w14:paraId="6249B88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17.004,00 </w:t>
            </w:r>
          </w:p>
        </w:tc>
        <w:tc>
          <w:tcPr>
            <w:tcW w:w="1276" w:type="dxa"/>
            <w:tcBorders>
              <w:top w:val="nil"/>
              <w:left w:val="nil"/>
              <w:bottom w:val="single" w:sz="4" w:space="0" w:color="auto"/>
              <w:right w:val="single" w:sz="4" w:space="0" w:color="auto"/>
            </w:tcBorders>
            <w:noWrap/>
            <w:vAlign w:val="center"/>
            <w:hideMark/>
          </w:tcPr>
          <w:p w14:paraId="4139ACB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17.004,00 </w:t>
            </w:r>
          </w:p>
        </w:tc>
        <w:tc>
          <w:tcPr>
            <w:tcW w:w="1276" w:type="dxa"/>
            <w:tcBorders>
              <w:top w:val="nil"/>
              <w:left w:val="nil"/>
              <w:bottom w:val="single" w:sz="4" w:space="0" w:color="auto"/>
              <w:right w:val="single" w:sz="4" w:space="0" w:color="auto"/>
            </w:tcBorders>
            <w:noWrap/>
            <w:vAlign w:val="center"/>
            <w:hideMark/>
          </w:tcPr>
          <w:p w14:paraId="5CA320B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17.004,00 </w:t>
            </w:r>
          </w:p>
        </w:tc>
        <w:tc>
          <w:tcPr>
            <w:tcW w:w="1285" w:type="dxa"/>
            <w:tcBorders>
              <w:top w:val="nil"/>
              <w:left w:val="nil"/>
              <w:bottom w:val="single" w:sz="4" w:space="0" w:color="auto"/>
              <w:right w:val="single" w:sz="4" w:space="0" w:color="auto"/>
            </w:tcBorders>
            <w:noWrap/>
            <w:vAlign w:val="center"/>
            <w:hideMark/>
          </w:tcPr>
          <w:p w14:paraId="792A4C6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17.004,00 </w:t>
            </w:r>
          </w:p>
        </w:tc>
        <w:tc>
          <w:tcPr>
            <w:tcW w:w="1276" w:type="dxa"/>
            <w:tcBorders>
              <w:top w:val="nil"/>
              <w:left w:val="nil"/>
              <w:bottom w:val="single" w:sz="4" w:space="0" w:color="auto"/>
              <w:right w:val="nil"/>
            </w:tcBorders>
            <w:noWrap/>
            <w:vAlign w:val="center"/>
            <w:hideMark/>
          </w:tcPr>
          <w:p w14:paraId="66C2731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68.016,00 </w:t>
            </w:r>
          </w:p>
        </w:tc>
        <w:tc>
          <w:tcPr>
            <w:tcW w:w="851" w:type="dxa"/>
            <w:tcBorders>
              <w:top w:val="nil"/>
              <w:left w:val="single" w:sz="4" w:space="0" w:color="auto"/>
              <w:bottom w:val="single" w:sz="4" w:space="0" w:color="auto"/>
              <w:right w:val="single" w:sz="4" w:space="0" w:color="auto"/>
            </w:tcBorders>
            <w:vAlign w:val="center"/>
            <w:hideMark/>
          </w:tcPr>
          <w:p w14:paraId="4CC651D6"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12</w:t>
            </w:r>
          </w:p>
        </w:tc>
        <w:tc>
          <w:tcPr>
            <w:tcW w:w="236" w:type="dxa"/>
            <w:vAlign w:val="center"/>
            <w:hideMark/>
          </w:tcPr>
          <w:p w14:paraId="6F3E4AB8" w14:textId="77777777" w:rsidR="00F0133E" w:rsidRDefault="00F0133E">
            <w:pPr>
              <w:rPr>
                <w:rFonts w:asciiTheme="minorHAnsi" w:hAnsiTheme="minorHAnsi" w:cstheme="minorHAnsi"/>
                <w:i/>
                <w:iCs/>
                <w:color w:val="000000"/>
                <w:sz w:val="18"/>
                <w:szCs w:val="18"/>
                <w:lang w:eastAsia="en-US"/>
              </w:rPr>
            </w:pPr>
          </w:p>
        </w:tc>
      </w:tr>
      <w:tr w:rsidR="00F0133E" w14:paraId="731C67F9"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0476952B"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544548DE"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010959F9"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5ECD5975"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06EDB99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72100</w:t>
            </w:r>
          </w:p>
        </w:tc>
        <w:tc>
          <w:tcPr>
            <w:tcW w:w="1846" w:type="dxa"/>
            <w:tcBorders>
              <w:top w:val="nil"/>
              <w:left w:val="nil"/>
              <w:bottom w:val="single" w:sz="4" w:space="0" w:color="auto"/>
              <w:right w:val="single" w:sz="4" w:space="0" w:color="auto"/>
            </w:tcBorders>
            <w:vAlign w:val="center"/>
            <w:hideMark/>
          </w:tcPr>
          <w:p w14:paraId="68F5C439"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Contractual Services-Companies</w:t>
            </w:r>
          </w:p>
        </w:tc>
        <w:tc>
          <w:tcPr>
            <w:tcW w:w="1281" w:type="dxa"/>
            <w:tcBorders>
              <w:top w:val="nil"/>
              <w:left w:val="nil"/>
              <w:bottom w:val="single" w:sz="4" w:space="0" w:color="auto"/>
              <w:right w:val="single" w:sz="4" w:space="0" w:color="auto"/>
            </w:tcBorders>
            <w:noWrap/>
            <w:vAlign w:val="center"/>
            <w:hideMark/>
          </w:tcPr>
          <w:p w14:paraId="3775ADE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33.685,00 </w:t>
            </w:r>
          </w:p>
        </w:tc>
        <w:tc>
          <w:tcPr>
            <w:tcW w:w="1276" w:type="dxa"/>
            <w:tcBorders>
              <w:top w:val="nil"/>
              <w:left w:val="nil"/>
              <w:bottom w:val="single" w:sz="4" w:space="0" w:color="auto"/>
              <w:right w:val="single" w:sz="4" w:space="0" w:color="auto"/>
            </w:tcBorders>
            <w:noWrap/>
            <w:vAlign w:val="center"/>
            <w:hideMark/>
          </w:tcPr>
          <w:p w14:paraId="389D3FA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33.685,00 </w:t>
            </w:r>
          </w:p>
        </w:tc>
        <w:tc>
          <w:tcPr>
            <w:tcW w:w="1276" w:type="dxa"/>
            <w:tcBorders>
              <w:top w:val="nil"/>
              <w:left w:val="nil"/>
              <w:bottom w:val="single" w:sz="4" w:space="0" w:color="auto"/>
              <w:right w:val="single" w:sz="4" w:space="0" w:color="auto"/>
            </w:tcBorders>
            <w:noWrap/>
            <w:vAlign w:val="center"/>
            <w:hideMark/>
          </w:tcPr>
          <w:p w14:paraId="03A091A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33.685,00 </w:t>
            </w:r>
          </w:p>
        </w:tc>
        <w:tc>
          <w:tcPr>
            <w:tcW w:w="1285" w:type="dxa"/>
            <w:tcBorders>
              <w:top w:val="nil"/>
              <w:left w:val="nil"/>
              <w:bottom w:val="single" w:sz="4" w:space="0" w:color="auto"/>
              <w:right w:val="single" w:sz="4" w:space="0" w:color="auto"/>
            </w:tcBorders>
            <w:noWrap/>
            <w:vAlign w:val="center"/>
            <w:hideMark/>
          </w:tcPr>
          <w:p w14:paraId="41FFE02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33.685,00 </w:t>
            </w:r>
          </w:p>
        </w:tc>
        <w:tc>
          <w:tcPr>
            <w:tcW w:w="1276" w:type="dxa"/>
            <w:tcBorders>
              <w:top w:val="nil"/>
              <w:left w:val="nil"/>
              <w:bottom w:val="single" w:sz="4" w:space="0" w:color="auto"/>
              <w:right w:val="nil"/>
            </w:tcBorders>
            <w:noWrap/>
            <w:vAlign w:val="center"/>
            <w:hideMark/>
          </w:tcPr>
          <w:p w14:paraId="1045F12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134.740,00 </w:t>
            </w:r>
          </w:p>
        </w:tc>
        <w:tc>
          <w:tcPr>
            <w:tcW w:w="851" w:type="dxa"/>
            <w:tcBorders>
              <w:top w:val="nil"/>
              <w:left w:val="single" w:sz="4" w:space="0" w:color="auto"/>
              <w:bottom w:val="single" w:sz="4" w:space="0" w:color="auto"/>
              <w:right w:val="single" w:sz="4" w:space="0" w:color="auto"/>
            </w:tcBorders>
            <w:vAlign w:val="center"/>
            <w:hideMark/>
          </w:tcPr>
          <w:p w14:paraId="66417AF3"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13</w:t>
            </w:r>
          </w:p>
        </w:tc>
        <w:tc>
          <w:tcPr>
            <w:tcW w:w="236" w:type="dxa"/>
            <w:vAlign w:val="center"/>
            <w:hideMark/>
          </w:tcPr>
          <w:p w14:paraId="791699EF" w14:textId="77777777" w:rsidR="00F0133E" w:rsidRDefault="00F0133E">
            <w:pPr>
              <w:rPr>
                <w:rFonts w:asciiTheme="minorHAnsi" w:hAnsiTheme="minorHAnsi" w:cstheme="minorHAnsi"/>
                <w:i/>
                <w:iCs/>
                <w:color w:val="000000"/>
                <w:sz w:val="18"/>
                <w:szCs w:val="18"/>
                <w:lang w:eastAsia="en-US"/>
              </w:rPr>
            </w:pPr>
          </w:p>
        </w:tc>
      </w:tr>
      <w:tr w:rsidR="00F0133E" w14:paraId="60D043B7"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23CDA8EE"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23D6747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753F20C4"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11D9051A"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DA580B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vAlign w:val="center"/>
            <w:hideMark/>
          </w:tcPr>
          <w:p w14:paraId="61472D17"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0299B1F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5D4BEAD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447D7C8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85" w:type="dxa"/>
            <w:tcBorders>
              <w:top w:val="nil"/>
              <w:left w:val="nil"/>
              <w:bottom w:val="single" w:sz="4" w:space="0" w:color="auto"/>
              <w:right w:val="single" w:sz="4" w:space="0" w:color="auto"/>
            </w:tcBorders>
            <w:noWrap/>
            <w:vAlign w:val="center"/>
            <w:hideMark/>
          </w:tcPr>
          <w:p w14:paraId="1D1FDF0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nil"/>
            </w:tcBorders>
            <w:noWrap/>
            <w:vAlign w:val="center"/>
            <w:hideMark/>
          </w:tcPr>
          <w:p w14:paraId="6ABCC78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noWrap/>
            <w:vAlign w:val="bottom"/>
            <w:hideMark/>
          </w:tcPr>
          <w:p w14:paraId="674006D2"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14</w:t>
            </w:r>
          </w:p>
        </w:tc>
        <w:tc>
          <w:tcPr>
            <w:tcW w:w="236" w:type="dxa"/>
            <w:vAlign w:val="center"/>
            <w:hideMark/>
          </w:tcPr>
          <w:p w14:paraId="1E5292A3" w14:textId="77777777" w:rsidR="00F0133E" w:rsidRDefault="00F0133E">
            <w:pPr>
              <w:rPr>
                <w:rFonts w:asciiTheme="minorHAnsi" w:hAnsiTheme="minorHAnsi" w:cstheme="minorHAnsi"/>
                <w:i/>
                <w:iCs/>
                <w:color w:val="000000"/>
                <w:sz w:val="18"/>
                <w:szCs w:val="18"/>
                <w:lang w:eastAsia="en-US"/>
              </w:rPr>
            </w:pPr>
          </w:p>
        </w:tc>
      </w:tr>
      <w:tr w:rsidR="00F0133E" w14:paraId="7D4ABBD6"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30C2AEC7"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7B7E654"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250BFCC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57ED5D72"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826C19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75700</w:t>
            </w:r>
          </w:p>
        </w:tc>
        <w:tc>
          <w:tcPr>
            <w:tcW w:w="1846" w:type="dxa"/>
            <w:tcBorders>
              <w:top w:val="nil"/>
              <w:left w:val="nil"/>
              <w:bottom w:val="single" w:sz="4" w:space="0" w:color="auto"/>
              <w:right w:val="single" w:sz="4" w:space="0" w:color="auto"/>
            </w:tcBorders>
            <w:vAlign w:val="center"/>
            <w:hideMark/>
          </w:tcPr>
          <w:p w14:paraId="11DEB71F"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Training, Workshops and Confer</w:t>
            </w:r>
          </w:p>
        </w:tc>
        <w:tc>
          <w:tcPr>
            <w:tcW w:w="1281" w:type="dxa"/>
            <w:tcBorders>
              <w:top w:val="nil"/>
              <w:left w:val="nil"/>
              <w:bottom w:val="single" w:sz="4" w:space="0" w:color="auto"/>
              <w:right w:val="single" w:sz="4" w:space="0" w:color="auto"/>
            </w:tcBorders>
            <w:noWrap/>
            <w:vAlign w:val="center"/>
            <w:hideMark/>
          </w:tcPr>
          <w:p w14:paraId="2823E93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26.226,00 </w:t>
            </w:r>
          </w:p>
        </w:tc>
        <w:tc>
          <w:tcPr>
            <w:tcW w:w="1276" w:type="dxa"/>
            <w:tcBorders>
              <w:top w:val="nil"/>
              <w:left w:val="nil"/>
              <w:bottom w:val="single" w:sz="4" w:space="0" w:color="auto"/>
              <w:right w:val="single" w:sz="4" w:space="0" w:color="auto"/>
            </w:tcBorders>
            <w:noWrap/>
            <w:vAlign w:val="center"/>
            <w:hideMark/>
          </w:tcPr>
          <w:p w14:paraId="04B7C63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26.226,00 </w:t>
            </w:r>
          </w:p>
        </w:tc>
        <w:tc>
          <w:tcPr>
            <w:tcW w:w="1276" w:type="dxa"/>
            <w:tcBorders>
              <w:top w:val="nil"/>
              <w:left w:val="nil"/>
              <w:bottom w:val="single" w:sz="4" w:space="0" w:color="auto"/>
              <w:right w:val="single" w:sz="4" w:space="0" w:color="auto"/>
            </w:tcBorders>
            <w:noWrap/>
            <w:vAlign w:val="center"/>
            <w:hideMark/>
          </w:tcPr>
          <w:p w14:paraId="193C0BE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26.226,00 </w:t>
            </w:r>
          </w:p>
        </w:tc>
        <w:tc>
          <w:tcPr>
            <w:tcW w:w="1285" w:type="dxa"/>
            <w:tcBorders>
              <w:top w:val="nil"/>
              <w:left w:val="nil"/>
              <w:bottom w:val="single" w:sz="4" w:space="0" w:color="auto"/>
              <w:right w:val="single" w:sz="4" w:space="0" w:color="auto"/>
            </w:tcBorders>
            <w:noWrap/>
            <w:vAlign w:val="center"/>
            <w:hideMark/>
          </w:tcPr>
          <w:p w14:paraId="2FA0F07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26.226,00 </w:t>
            </w:r>
          </w:p>
        </w:tc>
        <w:tc>
          <w:tcPr>
            <w:tcW w:w="1276" w:type="dxa"/>
            <w:tcBorders>
              <w:top w:val="nil"/>
              <w:left w:val="nil"/>
              <w:bottom w:val="single" w:sz="4" w:space="0" w:color="auto"/>
              <w:right w:val="nil"/>
            </w:tcBorders>
            <w:noWrap/>
            <w:vAlign w:val="center"/>
            <w:hideMark/>
          </w:tcPr>
          <w:p w14:paraId="4C36A9E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104.904,00 </w:t>
            </w:r>
          </w:p>
        </w:tc>
        <w:tc>
          <w:tcPr>
            <w:tcW w:w="851" w:type="dxa"/>
            <w:tcBorders>
              <w:top w:val="nil"/>
              <w:left w:val="single" w:sz="4" w:space="0" w:color="auto"/>
              <w:bottom w:val="single" w:sz="4" w:space="0" w:color="auto"/>
              <w:right w:val="single" w:sz="4" w:space="0" w:color="auto"/>
            </w:tcBorders>
            <w:vAlign w:val="center"/>
            <w:hideMark/>
          </w:tcPr>
          <w:p w14:paraId="6820C920"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15</w:t>
            </w:r>
          </w:p>
        </w:tc>
        <w:tc>
          <w:tcPr>
            <w:tcW w:w="236" w:type="dxa"/>
            <w:vAlign w:val="center"/>
            <w:hideMark/>
          </w:tcPr>
          <w:p w14:paraId="4CD0B208" w14:textId="77777777" w:rsidR="00F0133E" w:rsidRDefault="00F0133E">
            <w:pPr>
              <w:rPr>
                <w:rFonts w:asciiTheme="minorHAnsi" w:hAnsiTheme="minorHAnsi" w:cstheme="minorHAnsi"/>
                <w:i/>
                <w:iCs/>
                <w:color w:val="000000"/>
                <w:sz w:val="18"/>
                <w:szCs w:val="18"/>
                <w:lang w:eastAsia="en-US"/>
              </w:rPr>
            </w:pPr>
          </w:p>
        </w:tc>
      </w:tr>
      <w:tr w:rsidR="00F0133E" w14:paraId="6F3903D2"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37150644"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C9E2C8E"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1B2012DD"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38806281"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304FCDE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E7E6E6"/>
            <w:noWrap/>
            <w:vAlign w:val="center"/>
            <w:hideMark/>
          </w:tcPr>
          <w:p w14:paraId="0099CA25"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E7E6E6"/>
            <w:noWrap/>
            <w:vAlign w:val="center"/>
            <w:hideMark/>
          </w:tcPr>
          <w:p w14:paraId="26EC90A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76" w:type="dxa"/>
            <w:tcBorders>
              <w:top w:val="nil"/>
              <w:left w:val="nil"/>
              <w:bottom w:val="single" w:sz="4" w:space="0" w:color="auto"/>
              <w:right w:val="single" w:sz="4" w:space="0" w:color="auto"/>
            </w:tcBorders>
            <w:shd w:val="clear" w:color="auto" w:fill="E7E6E6"/>
            <w:noWrap/>
            <w:vAlign w:val="center"/>
            <w:hideMark/>
          </w:tcPr>
          <w:p w14:paraId="5C76651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76" w:type="dxa"/>
            <w:tcBorders>
              <w:top w:val="nil"/>
              <w:left w:val="nil"/>
              <w:bottom w:val="single" w:sz="4" w:space="0" w:color="auto"/>
              <w:right w:val="single" w:sz="4" w:space="0" w:color="auto"/>
            </w:tcBorders>
            <w:shd w:val="clear" w:color="auto" w:fill="E7E6E6"/>
            <w:noWrap/>
            <w:vAlign w:val="center"/>
            <w:hideMark/>
          </w:tcPr>
          <w:p w14:paraId="4511AD9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85" w:type="dxa"/>
            <w:tcBorders>
              <w:top w:val="nil"/>
              <w:left w:val="nil"/>
              <w:bottom w:val="single" w:sz="4" w:space="0" w:color="auto"/>
              <w:right w:val="single" w:sz="4" w:space="0" w:color="auto"/>
            </w:tcBorders>
            <w:shd w:val="clear" w:color="auto" w:fill="E7E6E6"/>
            <w:noWrap/>
            <w:vAlign w:val="center"/>
            <w:hideMark/>
          </w:tcPr>
          <w:p w14:paraId="523E384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76" w:type="dxa"/>
            <w:tcBorders>
              <w:top w:val="nil"/>
              <w:left w:val="nil"/>
              <w:bottom w:val="single" w:sz="4" w:space="0" w:color="auto"/>
              <w:right w:val="nil"/>
            </w:tcBorders>
            <w:shd w:val="clear" w:color="auto" w:fill="E7E6E6"/>
            <w:noWrap/>
            <w:vAlign w:val="center"/>
            <w:hideMark/>
          </w:tcPr>
          <w:p w14:paraId="3802BAC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350.004,00 </w:t>
            </w:r>
          </w:p>
        </w:tc>
        <w:tc>
          <w:tcPr>
            <w:tcW w:w="851" w:type="dxa"/>
            <w:tcBorders>
              <w:top w:val="nil"/>
              <w:left w:val="single" w:sz="4" w:space="0" w:color="auto"/>
              <w:bottom w:val="single" w:sz="4" w:space="0" w:color="auto"/>
              <w:right w:val="single" w:sz="4" w:space="0" w:color="auto"/>
            </w:tcBorders>
            <w:vAlign w:val="center"/>
            <w:hideMark/>
          </w:tcPr>
          <w:p w14:paraId="5BC3AE0B"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7CF8C8B7" w14:textId="77777777" w:rsidR="00F0133E" w:rsidRDefault="00F0133E">
            <w:pPr>
              <w:rPr>
                <w:rFonts w:asciiTheme="minorHAnsi" w:hAnsiTheme="minorHAnsi" w:cstheme="minorHAnsi"/>
                <w:i/>
                <w:iCs/>
                <w:color w:val="000000"/>
                <w:sz w:val="18"/>
                <w:szCs w:val="18"/>
                <w:lang w:eastAsia="en-US"/>
              </w:rPr>
            </w:pPr>
          </w:p>
        </w:tc>
      </w:tr>
      <w:tr w:rsidR="00F0133E" w14:paraId="124BDBB4"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79548C7E"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B9EABB2"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512D911F"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5C253AB6"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1B4A39E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5B9BD5"/>
            <w:noWrap/>
            <w:vAlign w:val="center"/>
            <w:hideMark/>
          </w:tcPr>
          <w:p w14:paraId="099C07F9"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Outcome 3</w:t>
            </w:r>
          </w:p>
        </w:tc>
        <w:tc>
          <w:tcPr>
            <w:tcW w:w="1281" w:type="dxa"/>
            <w:tcBorders>
              <w:top w:val="nil"/>
              <w:left w:val="nil"/>
              <w:bottom w:val="single" w:sz="4" w:space="0" w:color="auto"/>
              <w:right w:val="single" w:sz="4" w:space="0" w:color="auto"/>
            </w:tcBorders>
            <w:shd w:val="clear" w:color="auto" w:fill="5B9BD5"/>
            <w:noWrap/>
            <w:vAlign w:val="center"/>
            <w:hideMark/>
          </w:tcPr>
          <w:p w14:paraId="41EA7FA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76" w:type="dxa"/>
            <w:tcBorders>
              <w:top w:val="nil"/>
              <w:left w:val="nil"/>
              <w:bottom w:val="single" w:sz="4" w:space="0" w:color="auto"/>
              <w:right w:val="single" w:sz="4" w:space="0" w:color="auto"/>
            </w:tcBorders>
            <w:shd w:val="clear" w:color="auto" w:fill="5B9BD5"/>
            <w:noWrap/>
            <w:vAlign w:val="center"/>
            <w:hideMark/>
          </w:tcPr>
          <w:p w14:paraId="5C2FD2E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76" w:type="dxa"/>
            <w:tcBorders>
              <w:top w:val="nil"/>
              <w:left w:val="nil"/>
              <w:bottom w:val="single" w:sz="4" w:space="0" w:color="auto"/>
              <w:right w:val="single" w:sz="4" w:space="0" w:color="auto"/>
            </w:tcBorders>
            <w:shd w:val="clear" w:color="auto" w:fill="5B9BD5"/>
            <w:noWrap/>
            <w:vAlign w:val="center"/>
            <w:hideMark/>
          </w:tcPr>
          <w:p w14:paraId="31B9D7D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85" w:type="dxa"/>
            <w:tcBorders>
              <w:top w:val="nil"/>
              <w:left w:val="nil"/>
              <w:bottom w:val="single" w:sz="4" w:space="0" w:color="auto"/>
              <w:right w:val="single" w:sz="4" w:space="0" w:color="auto"/>
            </w:tcBorders>
            <w:shd w:val="clear" w:color="auto" w:fill="5B9BD5"/>
            <w:noWrap/>
            <w:vAlign w:val="center"/>
            <w:hideMark/>
          </w:tcPr>
          <w:p w14:paraId="4199D4E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87.501,00 </w:t>
            </w:r>
          </w:p>
        </w:tc>
        <w:tc>
          <w:tcPr>
            <w:tcW w:w="1276" w:type="dxa"/>
            <w:tcBorders>
              <w:top w:val="nil"/>
              <w:left w:val="nil"/>
              <w:bottom w:val="single" w:sz="4" w:space="0" w:color="auto"/>
              <w:right w:val="nil"/>
            </w:tcBorders>
            <w:shd w:val="clear" w:color="auto" w:fill="5B9BD5"/>
            <w:noWrap/>
            <w:vAlign w:val="center"/>
            <w:hideMark/>
          </w:tcPr>
          <w:p w14:paraId="4589898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350.004,00 </w:t>
            </w:r>
          </w:p>
        </w:tc>
        <w:tc>
          <w:tcPr>
            <w:tcW w:w="851" w:type="dxa"/>
            <w:tcBorders>
              <w:top w:val="nil"/>
              <w:left w:val="single" w:sz="4" w:space="0" w:color="auto"/>
              <w:bottom w:val="single" w:sz="4" w:space="0" w:color="auto"/>
              <w:right w:val="single" w:sz="4" w:space="0" w:color="auto"/>
            </w:tcBorders>
            <w:vAlign w:val="center"/>
            <w:hideMark/>
          </w:tcPr>
          <w:p w14:paraId="486E7B5A"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517F0E13" w14:textId="77777777" w:rsidR="00F0133E" w:rsidRDefault="00F0133E">
            <w:pPr>
              <w:rPr>
                <w:rFonts w:asciiTheme="minorHAnsi" w:hAnsiTheme="minorHAnsi" w:cstheme="minorHAnsi"/>
                <w:i/>
                <w:iCs/>
                <w:color w:val="000000"/>
                <w:sz w:val="18"/>
                <w:szCs w:val="18"/>
                <w:lang w:eastAsia="en-US"/>
              </w:rPr>
            </w:pPr>
          </w:p>
        </w:tc>
      </w:tr>
      <w:tr w:rsidR="00F0133E" w14:paraId="2DA38CBD" w14:textId="77777777" w:rsidTr="00F0133E">
        <w:trPr>
          <w:trHeight w:val="300"/>
        </w:trPr>
        <w:tc>
          <w:tcPr>
            <w:tcW w:w="1804" w:type="dxa"/>
            <w:vMerge w:val="restart"/>
            <w:tcBorders>
              <w:top w:val="nil"/>
              <w:left w:val="single" w:sz="4" w:space="0" w:color="auto"/>
              <w:bottom w:val="single" w:sz="4" w:space="0" w:color="000000"/>
              <w:right w:val="single" w:sz="4" w:space="0" w:color="auto"/>
            </w:tcBorders>
            <w:vAlign w:val="center"/>
            <w:hideMark/>
          </w:tcPr>
          <w:p w14:paraId="033831FB"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COMPONENT 4: </w:t>
            </w:r>
            <w:r>
              <w:rPr>
                <w:rFonts w:asciiTheme="minorHAnsi" w:hAnsiTheme="minorHAnsi" w:cstheme="minorHAnsi"/>
                <w:b/>
                <w:bCs/>
                <w:color w:val="000000"/>
                <w:sz w:val="18"/>
                <w:szCs w:val="18"/>
                <w:lang w:eastAsia="en-US"/>
              </w:rPr>
              <w:br/>
            </w:r>
            <w:r>
              <w:rPr>
                <w:rFonts w:asciiTheme="minorHAnsi" w:hAnsiTheme="minorHAnsi" w:cstheme="minorHAnsi"/>
                <w:color w:val="000000"/>
                <w:sz w:val="18"/>
                <w:szCs w:val="18"/>
                <w:lang w:eastAsia="en-US"/>
              </w:rPr>
              <w:t>Deliver Support to Surface Freshwater, Groundwater and Large Marine Ecosystem Subsets in Support of Portfolio Strategic Priorities</w:t>
            </w:r>
          </w:p>
        </w:tc>
        <w:tc>
          <w:tcPr>
            <w:tcW w:w="1264" w:type="dxa"/>
            <w:vMerge w:val="restart"/>
            <w:tcBorders>
              <w:top w:val="nil"/>
              <w:left w:val="single" w:sz="4" w:space="0" w:color="auto"/>
              <w:bottom w:val="single" w:sz="4" w:space="0" w:color="000000"/>
              <w:right w:val="single" w:sz="4" w:space="0" w:color="auto"/>
            </w:tcBorders>
            <w:vAlign w:val="center"/>
            <w:hideMark/>
          </w:tcPr>
          <w:p w14:paraId="1DE21665"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UNESCO-IOC</w:t>
            </w:r>
          </w:p>
        </w:tc>
        <w:tc>
          <w:tcPr>
            <w:tcW w:w="777" w:type="dxa"/>
            <w:vMerge w:val="restart"/>
            <w:tcBorders>
              <w:top w:val="nil"/>
              <w:left w:val="single" w:sz="4" w:space="0" w:color="auto"/>
              <w:bottom w:val="single" w:sz="4" w:space="0" w:color="000000"/>
              <w:right w:val="single" w:sz="4" w:space="0" w:color="auto"/>
            </w:tcBorders>
            <w:vAlign w:val="center"/>
            <w:hideMark/>
          </w:tcPr>
          <w:p w14:paraId="0581DA9E"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000000"/>
              <w:right w:val="single" w:sz="4" w:space="0" w:color="auto"/>
            </w:tcBorders>
            <w:vAlign w:val="center"/>
            <w:hideMark/>
          </w:tcPr>
          <w:p w14:paraId="61AC932C"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3496EC8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vAlign w:val="center"/>
            <w:hideMark/>
          </w:tcPr>
          <w:p w14:paraId="1CFCE650"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2D1C5AC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141.402,00 </w:t>
            </w:r>
          </w:p>
        </w:tc>
        <w:tc>
          <w:tcPr>
            <w:tcW w:w="1276" w:type="dxa"/>
            <w:tcBorders>
              <w:top w:val="nil"/>
              <w:left w:val="nil"/>
              <w:bottom w:val="single" w:sz="4" w:space="0" w:color="auto"/>
              <w:right w:val="single" w:sz="4" w:space="0" w:color="auto"/>
            </w:tcBorders>
            <w:noWrap/>
            <w:vAlign w:val="center"/>
            <w:hideMark/>
          </w:tcPr>
          <w:p w14:paraId="33D3B50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141.402,00 </w:t>
            </w:r>
          </w:p>
        </w:tc>
        <w:tc>
          <w:tcPr>
            <w:tcW w:w="1276" w:type="dxa"/>
            <w:tcBorders>
              <w:top w:val="nil"/>
              <w:left w:val="nil"/>
              <w:bottom w:val="single" w:sz="4" w:space="0" w:color="auto"/>
              <w:right w:val="single" w:sz="4" w:space="0" w:color="auto"/>
            </w:tcBorders>
            <w:noWrap/>
            <w:vAlign w:val="center"/>
            <w:hideMark/>
          </w:tcPr>
          <w:p w14:paraId="5BD57A0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141.402,00 </w:t>
            </w:r>
          </w:p>
        </w:tc>
        <w:tc>
          <w:tcPr>
            <w:tcW w:w="1285" w:type="dxa"/>
            <w:tcBorders>
              <w:top w:val="nil"/>
              <w:left w:val="nil"/>
              <w:bottom w:val="single" w:sz="4" w:space="0" w:color="auto"/>
              <w:right w:val="single" w:sz="4" w:space="0" w:color="auto"/>
            </w:tcBorders>
            <w:noWrap/>
            <w:vAlign w:val="center"/>
            <w:hideMark/>
          </w:tcPr>
          <w:p w14:paraId="27B660B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141.402,00 </w:t>
            </w:r>
          </w:p>
        </w:tc>
        <w:tc>
          <w:tcPr>
            <w:tcW w:w="1276" w:type="dxa"/>
            <w:tcBorders>
              <w:top w:val="nil"/>
              <w:left w:val="nil"/>
              <w:bottom w:val="single" w:sz="4" w:space="0" w:color="auto"/>
              <w:right w:val="nil"/>
            </w:tcBorders>
            <w:noWrap/>
            <w:vAlign w:val="center"/>
            <w:hideMark/>
          </w:tcPr>
          <w:p w14:paraId="1AAA0D7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565.608,00 </w:t>
            </w:r>
          </w:p>
        </w:tc>
        <w:tc>
          <w:tcPr>
            <w:tcW w:w="851" w:type="dxa"/>
            <w:tcBorders>
              <w:top w:val="nil"/>
              <w:left w:val="single" w:sz="4" w:space="0" w:color="auto"/>
              <w:bottom w:val="single" w:sz="4" w:space="0" w:color="auto"/>
              <w:right w:val="single" w:sz="4" w:space="0" w:color="auto"/>
            </w:tcBorders>
            <w:vAlign w:val="center"/>
            <w:hideMark/>
          </w:tcPr>
          <w:p w14:paraId="08D3BA7F"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16</w:t>
            </w:r>
          </w:p>
        </w:tc>
        <w:tc>
          <w:tcPr>
            <w:tcW w:w="236" w:type="dxa"/>
            <w:vAlign w:val="center"/>
            <w:hideMark/>
          </w:tcPr>
          <w:p w14:paraId="3DA63DF4" w14:textId="77777777" w:rsidR="00F0133E" w:rsidRDefault="00F0133E">
            <w:pPr>
              <w:rPr>
                <w:rFonts w:asciiTheme="minorHAnsi" w:hAnsiTheme="minorHAnsi" w:cstheme="minorHAnsi"/>
                <w:i/>
                <w:iCs/>
                <w:color w:val="000000"/>
                <w:sz w:val="18"/>
                <w:szCs w:val="18"/>
                <w:lang w:eastAsia="en-US"/>
              </w:rPr>
            </w:pPr>
          </w:p>
        </w:tc>
      </w:tr>
      <w:tr w:rsidR="00F0133E" w14:paraId="54CF43E7" w14:textId="77777777" w:rsidTr="00F0133E">
        <w:trPr>
          <w:trHeight w:val="320"/>
        </w:trPr>
        <w:tc>
          <w:tcPr>
            <w:tcW w:w="1804" w:type="dxa"/>
            <w:vMerge/>
            <w:tcBorders>
              <w:top w:val="nil"/>
              <w:left w:val="single" w:sz="4" w:space="0" w:color="auto"/>
              <w:bottom w:val="single" w:sz="4" w:space="0" w:color="000000"/>
              <w:right w:val="single" w:sz="4" w:space="0" w:color="auto"/>
            </w:tcBorders>
            <w:vAlign w:val="center"/>
            <w:hideMark/>
          </w:tcPr>
          <w:p w14:paraId="765AF2FE"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1A28ED4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2F2402D4"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138D5BC8"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3106B63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72100</w:t>
            </w:r>
          </w:p>
        </w:tc>
        <w:tc>
          <w:tcPr>
            <w:tcW w:w="1846" w:type="dxa"/>
            <w:tcBorders>
              <w:top w:val="nil"/>
              <w:left w:val="nil"/>
              <w:bottom w:val="single" w:sz="4" w:space="0" w:color="auto"/>
              <w:right w:val="single" w:sz="4" w:space="0" w:color="auto"/>
            </w:tcBorders>
            <w:vAlign w:val="center"/>
            <w:hideMark/>
          </w:tcPr>
          <w:p w14:paraId="6988218F"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Contractual Services-Companies</w:t>
            </w:r>
          </w:p>
        </w:tc>
        <w:tc>
          <w:tcPr>
            <w:tcW w:w="1281" w:type="dxa"/>
            <w:tcBorders>
              <w:top w:val="nil"/>
              <w:left w:val="nil"/>
              <w:bottom w:val="single" w:sz="4" w:space="0" w:color="auto"/>
              <w:right w:val="single" w:sz="4" w:space="0" w:color="auto"/>
            </w:tcBorders>
            <w:noWrap/>
            <w:vAlign w:val="center"/>
            <w:hideMark/>
          </w:tcPr>
          <w:p w14:paraId="267C47C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79.125,00 </w:t>
            </w:r>
          </w:p>
        </w:tc>
        <w:tc>
          <w:tcPr>
            <w:tcW w:w="1276" w:type="dxa"/>
            <w:tcBorders>
              <w:top w:val="nil"/>
              <w:left w:val="nil"/>
              <w:bottom w:val="single" w:sz="4" w:space="0" w:color="auto"/>
              <w:right w:val="single" w:sz="4" w:space="0" w:color="auto"/>
            </w:tcBorders>
            <w:noWrap/>
            <w:vAlign w:val="center"/>
            <w:hideMark/>
          </w:tcPr>
          <w:p w14:paraId="08DAC5E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79.125,00 </w:t>
            </w:r>
          </w:p>
        </w:tc>
        <w:tc>
          <w:tcPr>
            <w:tcW w:w="1276" w:type="dxa"/>
            <w:tcBorders>
              <w:top w:val="nil"/>
              <w:left w:val="nil"/>
              <w:bottom w:val="single" w:sz="4" w:space="0" w:color="auto"/>
              <w:right w:val="single" w:sz="4" w:space="0" w:color="auto"/>
            </w:tcBorders>
            <w:noWrap/>
            <w:vAlign w:val="center"/>
            <w:hideMark/>
          </w:tcPr>
          <w:p w14:paraId="4BE63D1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79.125,00 </w:t>
            </w:r>
          </w:p>
        </w:tc>
        <w:tc>
          <w:tcPr>
            <w:tcW w:w="1285" w:type="dxa"/>
            <w:tcBorders>
              <w:top w:val="nil"/>
              <w:left w:val="nil"/>
              <w:bottom w:val="single" w:sz="4" w:space="0" w:color="auto"/>
              <w:right w:val="single" w:sz="4" w:space="0" w:color="auto"/>
            </w:tcBorders>
            <w:noWrap/>
            <w:vAlign w:val="center"/>
            <w:hideMark/>
          </w:tcPr>
          <w:p w14:paraId="5AC2EBA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79.125,00 </w:t>
            </w:r>
          </w:p>
        </w:tc>
        <w:tc>
          <w:tcPr>
            <w:tcW w:w="1276" w:type="dxa"/>
            <w:tcBorders>
              <w:top w:val="nil"/>
              <w:left w:val="nil"/>
              <w:bottom w:val="single" w:sz="4" w:space="0" w:color="auto"/>
              <w:right w:val="nil"/>
            </w:tcBorders>
            <w:noWrap/>
            <w:vAlign w:val="center"/>
            <w:hideMark/>
          </w:tcPr>
          <w:p w14:paraId="02D7646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316.500,00 </w:t>
            </w:r>
          </w:p>
        </w:tc>
        <w:tc>
          <w:tcPr>
            <w:tcW w:w="851" w:type="dxa"/>
            <w:tcBorders>
              <w:top w:val="nil"/>
              <w:left w:val="single" w:sz="4" w:space="0" w:color="auto"/>
              <w:bottom w:val="single" w:sz="4" w:space="0" w:color="auto"/>
              <w:right w:val="single" w:sz="4" w:space="0" w:color="auto"/>
            </w:tcBorders>
            <w:vAlign w:val="center"/>
            <w:hideMark/>
          </w:tcPr>
          <w:p w14:paraId="1C327046"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17</w:t>
            </w:r>
          </w:p>
        </w:tc>
        <w:tc>
          <w:tcPr>
            <w:tcW w:w="236" w:type="dxa"/>
            <w:vAlign w:val="center"/>
            <w:hideMark/>
          </w:tcPr>
          <w:p w14:paraId="5609E627" w14:textId="77777777" w:rsidR="00F0133E" w:rsidRDefault="00F0133E">
            <w:pPr>
              <w:rPr>
                <w:rFonts w:asciiTheme="minorHAnsi" w:hAnsiTheme="minorHAnsi" w:cstheme="minorHAnsi"/>
                <w:i/>
                <w:iCs/>
                <w:color w:val="000000"/>
                <w:sz w:val="18"/>
                <w:szCs w:val="18"/>
                <w:lang w:eastAsia="en-US"/>
              </w:rPr>
            </w:pPr>
          </w:p>
        </w:tc>
      </w:tr>
      <w:tr w:rsidR="00F0133E" w14:paraId="67847ED8"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2E6CD7AD"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209ACAC3"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6D61562E"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4A341D85"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C5D461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vAlign w:val="center"/>
            <w:hideMark/>
          </w:tcPr>
          <w:p w14:paraId="3155D058"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4426957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1740B36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282E25B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85" w:type="dxa"/>
            <w:tcBorders>
              <w:top w:val="nil"/>
              <w:left w:val="nil"/>
              <w:bottom w:val="single" w:sz="4" w:space="0" w:color="auto"/>
              <w:right w:val="single" w:sz="4" w:space="0" w:color="auto"/>
            </w:tcBorders>
            <w:noWrap/>
            <w:vAlign w:val="center"/>
            <w:hideMark/>
          </w:tcPr>
          <w:p w14:paraId="0D6AC8E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nil"/>
            </w:tcBorders>
            <w:noWrap/>
            <w:vAlign w:val="center"/>
            <w:hideMark/>
          </w:tcPr>
          <w:p w14:paraId="54A95E4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vAlign w:val="center"/>
            <w:hideMark/>
          </w:tcPr>
          <w:p w14:paraId="00933512"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18</w:t>
            </w:r>
          </w:p>
        </w:tc>
        <w:tc>
          <w:tcPr>
            <w:tcW w:w="236" w:type="dxa"/>
            <w:vAlign w:val="center"/>
            <w:hideMark/>
          </w:tcPr>
          <w:p w14:paraId="2A67B481" w14:textId="77777777" w:rsidR="00F0133E" w:rsidRDefault="00F0133E">
            <w:pPr>
              <w:rPr>
                <w:rFonts w:asciiTheme="minorHAnsi" w:hAnsiTheme="minorHAnsi" w:cstheme="minorHAnsi"/>
                <w:i/>
                <w:iCs/>
                <w:color w:val="000000"/>
                <w:sz w:val="18"/>
                <w:szCs w:val="18"/>
                <w:lang w:eastAsia="en-US"/>
              </w:rPr>
            </w:pPr>
          </w:p>
        </w:tc>
      </w:tr>
      <w:tr w:rsidR="00F0133E" w14:paraId="00CD13D8"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610322D5"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505C3F5D"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7DF7A18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1FFCDAF0"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267FED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74500</w:t>
            </w:r>
          </w:p>
        </w:tc>
        <w:tc>
          <w:tcPr>
            <w:tcW w:w="1846" w:type="dxa"/>
            <w:tcBorders>
              <w:top w:val="nil"/>
              <w:left w:val="nil"/>
              <w:bottom w:val="single" w:sz="4" w:space="0" w:color="auto"/>
              <w:right w:val="single" w:sz="4" w:space="0" w:color="auto"/>
            </w:tcBorders>
            <w:vAlign w:val="center"/>
            <w:hideMark/>
          </w:tcPr>
          <w:p w14:paraId="2AA7FC75"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Miscellaneous</w:t>
            </w:r>
          </w:p>
        </w:tc>
        <w:tc>
          <w:tcPr>
            <w:tcW w:w="1281" w:type="dxa"/>
            <w:tcBorders>
              <w:top w:val="nil"/>
              <w:left w:val="nil"/>
              <w:bottom w:val="single" w:sz="4" w:space="0" w:color="auto"/>
              <w:right w:val="single" w:sz="4" w:space="0" w:color="auto"/>
            </w:tcBorders>
            <w:noWrap/>
            <w:vAlign w:val="center"/>
            <w:hideMark/>
          </w:tcPr>
          <w:p w14:paraId="098CEE7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7EA6376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49A77BC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85" w:type="dxa"/>
            <w:tcBorders>
              <w:top w:val="nil"/>
              <w:left w:val="nil"/>
              <w:bottom w:val="single" w:sz="4" w:space="0" w:color="auto"/>
              <w:right w:val="single" w:sz="4" w:space="0" w:color="auto"/>
            </w:tcBorders>
            <w:noWrap/>
            <w:vAlign w:val="center"/>
            <w:hideMark/>
          </w:tcPr>
          <w:p w14:paraId="394343C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nil"/>
            </w:tcBorders>
            <w:noWrap/>
            <w:vAlign w:val="center"/>
            <w:hideMark/>
          </w:tcPr>
          <w:p w14:paraId="648CDB2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vAlign w:val="center"/>
            <w:hideMark/>
          </w:tcPr>
          <w:p w14:paraId="0AC02C2E"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19</w:t>
            </w:r>
          </w:p>
        </w:tc>
        <w:tc>
          <w:tcPr>
            <w:tcW w:w="236" w:type="dxa"/>
            <w:vAlign w:val="center"/>
            <w:hideMark/>
          </w:tcPr>
          <w:p w14:paraId="096B9F5B" w14:textId="77777777" w:rsidR="00F0133E" w:rsidRDefault="00F0133E">
            <w:pPr>
              <w:rPr>
                <w:rFonts w:asciiTheme="minorHAnsi" w:hAnsiTheme="minorHAnsi" w:cstheme="minorHAnsi"/>
                <w:i/>
                <w:iCs/>
                <w:color w:val="000000"/>
                <w:sz w:val="18"/>
                <w:szCs w:val="18"/>
                <w:lang w:eastAsia="en-US"/>
              </w:rPr>
            </w:pPr>
          </w:p>
        </w:tc>
      </w:tr>
      <w:tr w:rsidR="00F0133E" w14:paraId="1815B9CB"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567EF845"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60074EC0"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1364FF55"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24A422B8"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7D4A13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75700</w:t>
            </w:r>
          </w:p>
        </w:tc>
        <w:tc>
          <w:tcPr>
            <w:tcW w:w="1846" w:type="dxa"/>
            <w:tcBorders>
              <w:top w:val="nil"/>
              <w:left w:val="nil"/>
              <w:bottom w:val="single" w:sz="4" w:space="0" w:color="auto"/>
              <w:right w:val="single" w:sz="4" w:space="0" w:color="auto"/>
            </w:tcBorders>
            <w:vAlign w:val="center"/>
            <w:hideMark/>
          </w:tcPr>
          <w:p w14:paraId="4339B9E9"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Training, Workshops and Confer</w:t>
            </w:r>
          </w:p>
        </w:tc>
        <w:tc>
          <w:tcPr>
            <w:tcW w:w="1281" w:type="dxa"/>
            <w:tcBorders>
              <w:top w:val="nil"/>
              <w:left w:val="nil"/>
              <w:bottom w:val="single" w:sz="4" w:space="0" w:color="auto"/>
              <w:right w:val="single" w:sz="4" w:space="0" w:color="auto"/>
            </w:tcBorders>
            <w:noWrap/>
            <w:vAlign w:val="center"/>
            <w:hideMark/>
          </w:tcPr>
          <w:p w14:paraId="189DEDF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89.222,00 </w:t>
            </w:r>
          </w:p>
        </w:tc>
        <w:tc>
          <w:tcPr>
            <w:tcW w:w="1276" w:type="dxa"/>
            <w:tcBorders>
              <w:top w:val="nil"/>
              <w:left w:val="nil"/>
              <w:bottom w:val="single" w:sz="4" w:space="0" w:color="auto"/>
              <w:right w:val="single" w:sz="4" w:space="0" w:color="auto"/>
            </w:tcBorders>
            <w:noWrap/>
            <w:vAlign w:val="center"/>
            <w:hideMark/>
          </w:tcPr>
          <w:p w14:paraId="7DBE2FA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89.222,00 </w:t>
            </w:r>
          </w:p>
        </w:tc>
        <w:tc>
          <w:tcPr>
            <w:tcW w:w="1276" w:type="dxa"/>
            <w:tcBorders>
              <w:top w:val="nil"/>
              <w:left w:val="nil"/>
              <w:bottom w:val="single" w:sz="4" w:space="0" w:color="auto"/>
              <w:right w:val="single" w:sz="4" w:space="0" w:color="auto"/>
            </w:tcBorders>
            <w:noWrap/>
            <w:vAlign w:val="center"/>
            <w:hideMark/>
          </w:tcPr>
          <w:p w14:paraId="0436481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89.222,00 </w:t>
            </w:r>
          </w:p>
        </w:tc>
        <w:tc>
          <w:tcPr>
            <w:tcW w:w="1285" w:type="dxa"/>
            <w:tcBorders>
              <w:top w:val="nil"/>
              <w:left w:val="nil"/>
              <w:bottom w:val="single" w:sz="4" w:space="0" w:color="auto"/>
              <w:right w:val="single" w:sz="4" w:space="0" w:color="auto"/>
            </w:tcBorders>
            <w:noWrap/>
            <w:vAlign w:val="center"/>
            <w:hideMark/>
          </w:tcPr>
          <w:p w14:paraId="3177BBD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89.222,00 </w:t>
            </w:r>
          </w:p>
        </w:tc>
        <w:tc>
          <w:tcPr>
            <w:tcW w:w="1276" w:type="dxa"/>
            <w:tcBorders>
              <w:top w:val="nil"/>
              <w:left w:val="nil"/>
              <w:bottom w:val="single" w:sz="4" w:space="0" w:color="auto"/>
              <w:right w:val="nil"/>
            </w:tcBorders>
            <w:noWrap/>
            <w:vAlign w:val="center"/>
            <w:hideMark/>
          </w:tcPr>
          <w:p w14:paraId="596F31F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356.888,00 </w:t>
            </w:r>
          </w:p>
        </w:tc>
        <w:tc>
          <w:tcPr>
            <w:tcW w:w="851" w:type="dxa"/>
            <w:tcBorders>
              <w:top w:val="nil"/>
              <w:left w:val="single" w:sz="4" w:space="0" w:color="auto"/>
              <w:bottom w:val="single" w:sz="4" w:space="0" w:color="auto"/>
              <w:right w:val="single" w:sz="4" w:space="0" w:color="auto"/>
            </w:tcBorders>
            <w:vAlign w:val="center"/>
            <w:hideMark/>
          </w:tcPr>
          <w:p w14:paraId="19DD271A"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20</w:t>
            </w:r>
          </w:p>
        </w:tc>
        <w:tc>
          <w:tcPr>
            <w:tcW w:w="236" w:type="dxa"/>
            <w:vAlign w:val="center"/>
            <w:hideMark/>
          </w:tcPr>
          <w:p w14:paraId="5431DDC5" w14:textId="77777777" w:rsidR="00F0133E" w:rsidRDefault="00F0133E">
            <w:pPr>
              <w:rPr>
                <w:rFonts w:asciiTheme="minorHAnsi" w:hAnsiTheme="minorHAnsi" w:cstheme="minorHAnsi"/>
                <w:i/>
                <w:iCs/>
                <w:color w:val="000000"/>
                <w:sz w:val="18"/>
                <w:szCs w:val="18"/>
                <w:lang w:eastAsia="en-US"/>
              </w:rPr>
            </w:pPr>
          </w:p>
        </w:tc>
      </w:tr>
      <w:tr w:rsidR="00F0133E" w14:paraId="6EC1B723"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14855174"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5992852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650B74AC"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0387D137"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0C71DF9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E7E6E6"/>
            <w:noWrap/>
            <w:vAlign w:val="center"/>
            <w:hideMark/>
          </w:tcPr>
          <w:p w14:paraId="079B1E3D"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E7E6E6"/>
            <w:noWrap/>
            <w:vAlign w:val="center"/>
            <w:hideMark/>
          </w:tcPr>
          <w:p w14:paraId="64E3CC1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76" w:type="dxa"/>
            <w:tcBorders>
              <w:top w:val="nil"/>
              <w:left w:val="nil"/>
              <w:bottom w:val="single" w:sz="4" w:space="0" w:color="auto"/>
              <w:right w:val="single" w:sz="4" w:space="0" w:color="auto"/>
            </w:tcBorders>
            <w:shd w:val="clear" w:color="auto" w:fill="E7E6E6"/>
            <w:noWrap/>
            <w:vAlign w:val="center"/>
            <w:hideMark/>
          </w:tcPr>
          <w:p w14:paraId="1219AEE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76" w:type="dxa"/>
            <w:tcBorders>
              <w:top w:val="nil"/>
              <w:left w:val="nil"/>
              <w:bottom w:val="single" w:sz="4" w:space="0" w:color="auto"/>
              <w:right w:val="single" w:sz="4" w:space="0" w:color="auto"/>
            </w:tcBorders>
            <w:shd w:val="clear" w:color="auto" w:fill="E7E6E6"/>
            <w:noWrap/>
            <w:vAlign w:val="center"/>
            <w:hideMark/>
          </w:tcPr>
          <w:p w14:paraId="7E589DC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85" w:type="dxa"/>
            <w:tcBorders>
              <w:top w:val="nil"/>
              <w:left w:val="nil"/>
              <w:bottom w:val="single" w:sz="4" w:space="0" w:color="auto"/>
              <w:right w:val="single" w:sz="4" w:space="0" w:color="auto"/>
            </w:tcBorders>
            <w:shd w:val="clear" w:color="auto" w:fill="E7E6E6"/>
            <w:noWrap/>
            <w:vAlign w:val="center"/>
            <w:hideMark/>
          </w:tcPr>
          <w:p w14:paraId="28A8BEE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76" w:type="dxa"/>
            <w:tcBorders>
              <w:top w:val="nil"/>
              <w:left w:val="nil"/>
              <w:bottom w:val="single" w:sz="4" w:space="0" w:color="auto"/>
              <w:right w:val="nil"/>
            </w:tcBorders>
            <w:shd w:val="clear" w:color="auto" w:fill="E7E6E6"/>
            <w:noWrap/>
            <w:vAlign w:val="center"/>
            <w:hideMark/>
          </w:tcPr>
          <w:p w14:paraId="6CB1141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1.278.996,00 </w:t>
            </w:r>
          </w:p>
        </w:tc>
        <w:tc>
          <w:tcPr>
            <w:tcW w:w="851" w:type="dxa"/>
            <w:tcBorders>
              <w:top w:val="nil"/>
              <w:left w:val="single" w:sz="4" w:space="0" w:color="auto"/>
              <w:bottom w:val="single" w:sz="4" w:space="0" w:color="auto"/>
              <w:right w:val="single" w:sz="4" w:space="0" w:color="auto"/>
            </w:tcBorders>
            <w:vAlign w:val="center"/>
            <w:hideMark/>
          </w:tcPr>
          <w:p w14:paraId="605B89B8"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32BF44DE" w14:textId="77777777" w:rsidR="00F0133E" w:rsidRDefault="00F0133E">
            <w:pPr>
              <w:rPr>
                <w:rFonts w:asciiTheme="minorHAnsi" w:hAnsiTheme="minorHAnsi" w:cstheme="minorHAnsi"/>
                <w:i/>
                <w:iCs/>
                <w:color w:val="000000"/>
                <w:sz w:val="18"/>
                <w:szCs w:val="18"/>
                <w:lang w:eastAsia="en-US"/>
              </w:rPr>
            </w:pPr>
          </w:p>
        </w:tc>
      </w:tr>
      <w:tr w:rsidR="00F0133E" w14:paraId="3F5F5881"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189BA64A"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26472001"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11A385E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4954C9F5"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54D48A1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5B9BD5"/>
            <w:noWrap/>
            <w:vAlign w:val="center"/>
            <w:hideMark/>
          </w:tcPr>
          <w:p w14:paraId="78C20571"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Outcome 4</w:t>
            </w:r>
          </w:p>
        </w:tc>
        <w:tc>
          <w:tcPr>
            <w:tcW w:w="1281" w:type="dxa"/>
            <w:tcBorders>
              <w:top w:val="nil"/>
              <w:left w:val="nil"/>
              <w:bottom w:val="single" w:sz="4" w:space="0" w:color="auto"/>
              <w:right w:val="single" w:sz="4" w:space="0" w:color="auto"/>
            </w:tcBorders>
            <w:shd w:val="clear" w:color="auto" w:fill="5B9BD5"/>
            <w:noWrap/>
            <w:vAlign w:val="center"/>
            <w:hideMark/>
          </w:tcPr>
          <w:p w14:paraId="4657BAA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76" w:type="dxa"/>
            <w:tcBorders>
              <w:top w:val="nil"/>
              <w:left w:val="nil"/>
              <w:bottom w:val="single" w:sz="4" w:space="0" w:color="auto"/>
              <w:right w:val="single" w:sz="4" w:space="0" w:color="auto"/>
            </w:tcBorders>
            <w:shd w:val="clear" w:color="auto" w:fill="5B9BD5"/>
            <w:noWrap/>
            <w:vAlign w:val="center"/>
            <w:hideMark/>
          </w:tcPr>
          <w:p w14:paraId="2E9FB8F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76" w:type="dxa"/>
            <w:tcBorders>
              <w:top w:val="nil"/>
              <w:left w:val="nil"/>
              <w:bottom w:val="single" w:sz="4" w:space="0" w:color="auto"/>
              <w:right w:val="single" w:sz="4" w:space="0" w:color="auto"/>
            </w:tcBorders>
            <w:shd w:val="clear" w:color="auto" w:fill="5B9BD5"/>
            <w:noWrap/>
            <w:vAlign w:val="center"/>
            <w:hideMark/>
          </w:tcPr>
          <w:p w14:paraId="4088771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85" w:type="dxa"/>
            <w:tcBorders>
              <w:top w:val="nil"/>
              <w:left w:val="nil"/>
              <w:bottom w:val="single" w:sz="4" w:space="0" w:color="auto"/>
              <w:right w:val="single" w:sz="4" w:space="0" w:color="auto"/>
            </w:tcBorders>
            <w:shd w:val="clear" w:color="auto" w:fill="5B9BD5"/>
            <w:noWrap/>
            <w:vAlign w:val="center"/>
            <w:hideMark/>
          </w:tcPr>
          <w:p w14:paraId="4E4E45A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319.749,00 </w:t>
            </w:r>
          </w:p>
        </w:tc>
        <w:tc>
          <w:tcPr>
            <w:tcW w:w="1276" w:type="dxa"/>
            <w:tcBorders>
              <w:top w:val="nil"/>
              <w:left w:val="nil"/>
              <w:bottom w:val="single" w:sz="4" w:space="0" w:color="auto"/>
              <w:right w:val="nil"/>
            </w:tcBorders>
            <w:shd w:val="clear" w:color="auto" w:fill="5B9BD5"/>
            <w:noWrap/>
            <w:vAlign w:val="center"/>
            <w:hideMark/>
          </w:tcPr>
          <w:p w14:paraId="2BD3521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1.278.996,00 </w:t>
            </w:r>
          </w:p>
        </w:tc>
        <w:tc>
          <w:tcPr>
            <w:tcW w:w="851" w:type="dxa"/>
            <w:tcBorders>
              <w:top w:val="nil"/>
              <w:left w:val="single" w:sz="4" w:space="0" w:color="auto"/>
              <w:bottom w:val="single" w:sz="4" w:space="0" w:color="auto"/>
              <w:right w:val="single" w:sz="4" w:space="0" w:color="auto"/>
            </w:tcBorders>
            <w:vAlign w:val="center"/>
            <w:hideMark/>
          </w:tcPr>
          <w:p w14:paraId="65011332"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754A5302" w14:textId="77777777" w:rsidR="00F0133E" w:rsidRDefault="00F0133E">
            <w:pPr>
              <w:rPr>
                <w:rFonts w:asciiTheme="minorHAnsi" w:hAnsiTheme="minorHAnsi" w:cstheme="minorHAnsi"/>
                <w:i/>
                <w:iCs/>
                <w:color w:val="000000"/>
                <w:sz w:val="18"/>
                <w:szCs w:val="18"/>
                <w:lang w:eastAsia="en-US"/>
              </w:rPr>
            </w:pPr>
          </w:p>
        </w:tc>
      </w:tr>
      <w:tr w:rsidR="00F0133E" w14:paraId="035B0C09" w14:textId="77777777" w:rsidTr="00F0133E">
        <w:trPr>
          <w:trHeight w:val="300"/>
        </w:trPr>
        <w:tc>
          <w:tcPr>
            <w:tcW w:w="1804" w:type="dxa"/>
            <w:vMerge w:val="restart"/>
            <w:tcBorders>
              <w:top w:val="nil"/>
              <w:left w:val="single" w:sz="4" w:space="0" w:color="auto"/>
              <w:bottom w:val="single" w:sz="4" w:space="0" w:color="000000"/>
              <w:right w:val="single" w:sz="4" w:space="0" w:color="auto"/>
            </w:tcBorders>
            <w:vAlign w:val="center"/>
            <w:hideMark/>
          </w:tcPr>
          <w:p w14:paraId="47D3328A"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b/>
                <w:bCs/>
                <w:color w:val="000000"/>
                <w:sz w:val="18"/>
                <w:szCs w:val="18"/>
                <w:lang w:eastAsia="en-US"/>
              </w:rPr>
              <w:t xml:space="preserve">COMPONENT 5: </w:t>
            </w:r>
            <w:r>
              <w:rPr>
                <w:rFonts w:asciiTheme="minorHAnsi" w:hAnsiTheme="minorHAnsi" w:cstheme="minorHAnsi"/>
                <w:color w:val="000000"/>
                <w:sz w:val="18"/>
                <w:szCs w:val="18"/>
                <w:lang w:eastAsia="en-US"/>
              </w:rPr>
              <w:br/>
              <w:t>Mobilize Public and Private Partnership to Enhance Long-term Sustainability of Project Interventions</w:t>
            </w:r>
          </w:p>
        </w:tc>
        <w:tc>
          <w:tcPr>
            <w:tcW w:w="1264" w:type="dxa"/>
            <w:vMerge w:val="restart"/>
            <w:tcBorders>
              <w:top w:val="nil"/>
              <w:left w:val="single" w:sz="4" w:space="0" w:color="auto"/>
              <w:bottom w:val="single" w:sz="4" w:space="0" w:color="000000"/>
              <w:right w:val="single" w:sz="4" w:space="0" w:color="auto"/>
            </w:tcBorders>
            <w:vAlign w:val="center"/>
            <w:hideMark/>
          </w:tcPr>
          <w:p w14:paraId="0C46C4A2"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UNESCO-IOC</w:t>
            </w:r>
          </w:p>
        </w:tc>
        <w:tc>
          <w:tcPr>
            <w:tcW w:w="777" w:type="dxa"/>
            <w:vMerge w:val="restart"/>
            <w:tcBorders>
              <w:top w:val="nil"/>
              <w:left w:val="single" w:sz="4" w:space="0" w:color="auto"/>
              <w:bottom w:val="single" w:sz="4" w:space="0" w:color="000000"/>
              <w:right w:val="single" w:sz="4" w:space="0" w:color="auto"/>
            </w:tcBorders>
            <w:vAlign w:val="center"/>
            <w:hideMark/>
          </w:tcPr>
          <w:p w14:paraId="11F22EEE"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000000"/>
              <w:right w:val="single" w:sz="4" w:space="0" w:color="auto"/>
            </w:tcBorders>
            <w:vAlign w:val="center"/>
            <w:hideMark/>
          </w:tcPr>
          <w:p w14:paraId="12FF1D28"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600E3FF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vAlign w:val="center"/>
            <w:hideMark/>
          </w:tcPr>
          <w:p w14:paraId="1DB844DE"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4136A83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72.666,00 </w:t>
            </w:r>
          </w:p>
        </w:tc>
        <w:tc>
          <w:tcPr>
            <w:tcW w:w="1276" w:type="dxa"/>
            <w:tcBorders>
              <w:top w:val="nil"/>
              <w:left w:val="nil"/>
              <w:bottom w:val="single" w:sz="4" w:space="0" w:color="auto"/>
              <w:right w:val="single" w:sz="4" w:space="0" w:color="auto"/>
            </w:tcBorders>
            <w:noWrap/>
            <w:vAlign w:val="center"/>
            <w:hideMark/>
          </w:tcPr>
          <w:p w14:paraId="68E0A00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72.666,00 </w:t>
            </w:r>
          </w:p>
        </w:tc>
        <w:tc>
          <w:tcPr>
            <w:tcW w:w="1276" w:type="dxa"/>
            <w:tcBorders>
              <w:top w:val="nil"/>
              <w:left w:val="nil"/>
              <w:bottom w:val="single" w:sz="4" w:space="0" w:color="auto"/>
              <w:right w:val="single" w:sz="4" w:space="0" w:color="auto"/>
            </w:tcBorders>
            <w:noWrap/>
            <w:vAlign w:val="center"/>
            <w:hideMark/>
          </w:tcPr>
          <w:p w14:paraId="0C67CFB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72.666,00 </w:t>
            </w:r>
          </w:p>
        </w:tc>
        <w:tc>
          <w:tcPr>
            <w:tcW w:w="1285" w:type="dxa"/>
            <w:tcBorders>
              <w:top w:val="nil"/>
              <w:left w:val="nil"/>
              <w:bottom w:val="single" w:sz="4" w:space="0" w:color="auto"/>
              <w:right w:val="single" w:sz="4" w:space="0" w:color="auto"/>
            </w:tcBorders>
            <w:noWrap/>
            <w:vAlign w:val="center"/>
            <w:hideMark/>
          </w:tcPr>
          <w:p w14:paraId="05974DA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72.666,00 </w:t>
            </w:r>
          </w:p>
        </w:tc>
        <w:tc>
          <w:tcPr>
            <w:tcW w:w="1276" w:type="dxa"/>
            <w:tcBorders>
              <w:top w:val="nil"/>
              <w:left w:val="nil"/>
              <w:bottom w:val="single" w:sz="4" w:space="0" w:color="auto"/>
              <w:right w:val="nil"/>
            </w:tcBorders>
            <w:noWrap/>
            <w:vAlign w:val="center"/>
            <w:hideMark/>
          </w:tcPr>
          <w:p w14:paraId="188BF5A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290.664,00 </w:t>
            </w:r>
          </w:p>
        </w:tc>
        <w:tc>
          <w:tcPr>
            <w:tcW w:w="851" w:type="dxa"/>
            <w:tcBorders>
              <w:top w:val="nil"/>
              <w:left w:val="single" w:sz="4" w:space="0" w:color="auto"/>
              <w:bottom w:val="single" w:sz="4" w:space="0" w:color="auto"/>
              <w:right w:val="single" w:sz="4" w:space="0" w:color="auto"/>
            </w:tcBorders>
            <w:vAlign w:val="center"/>
            <w:hideMark/>
          </w:tcPr>
          <w:p w14:paraId="4C5B377F"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21</w:t>
            </w:r>
          </w:p>
        </w:tc>
        <w:tc>
          <w:tcPr>
            <w:tcW w:w="236" w:type="dxa"/>
            <w:vAlign w:val="center"/>
            <w:hideMark/>
          </w:tcPr>
          <w:p w14:paraId="626CCF56" w14:textId="77777777" w:rsidR="00F0133E" w:rsidRDefault="00F0133E">
            <w:pPr>
              <w:rPr>
                <w:rFonts w:asciiTheme="minorHAnsi" w:hAnsiTheme="minorHAnsi" w:cstheme="minorHAnsi"/>
                <w:i/>
                <w:iCs/>
                <w:color w:val="000000"/>
                <w:sz w:val="18"/>
                <w:szCs w:val="18"/>
                <w:lang w:eastAsia="en-US"/>
              </w:rPr>
            </w:pPr>
          </w:p>
        </w:tc>
      </w:tr>
      <w:tr w:rsidR="00F0133E" w14:paraId="52DA69F5" w14:textId="77777777" w:rsidTr="00F0133E">
        <w:trPr>
          <w:trHeight w:val="320"/>
        </w:trPr>
        <w:tc>
          <w:tcPr>
            <w:tcW w:w="1804" w:type="dxa"/>
            <w:vMerge/>
            <w:tcBorders>
              <w:top w:val="nil"/>
              <w:left w:val="single" w:sz="4" w:space="0" w:color="auto"/>
              <w:bottom w:val="single" w:sz="4" w:space="0" w:color="000000"/>
              <w:right w:val="single" w:sz="4" w:space="0" w:color="auto"/>
            </w:tcBorders>
            <w:vAlign w:val="center"/>
            <w:hideMark/>
          </w:tcPr>
          <w:p w14:paraId="56E95710"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50BDD794"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1E042FA5"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21A48F7B"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4121208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72100</w:t>
            </w:r>
          </w:p>
        </w:tc>
        <w:tc>
          <w:tcPr>
            <w:tcW w:w="1846" w:type="dxa"/>
            <w:tcBorders>
              <w:top w:val="nil"/>
              <w:left w:val="nil"/>
              <w:bottom w:val="single" w:sz="4" w:space="0" w:color="auto"/>
              <w:right w:val="single" w:sz="4" w:space="0" w:color="auto"/>
            </w:tcBorders>
            <w:vAlign w:val="center"/>
            <w:hideMark/>
          </w:tcPr>
          <w:p w14:paraId="2EEA83E9"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Contractual Services-Companies</w:t>
            </w:r>
          </w:p>
        </w:tc>
        <w:tc>
          <w:tcPr>
            <w:tcW w:w="1281" w:type="dxa"/>
            <w:tcBorders>
              <w:top w:val="nil"/>
              <w:left w:val="nil"/>
              <w:bottom w:val="single" w:sz="4" w:space="0" w:color="auto"/>
              <w:right w:val="single" w:sz="4" w:space="0" w:color="auto"/>
            </w:tcBorders>
            <w:noWrap/>
            <w:vAlign w:val="center"/>
            <w:hideMark/>
          </w:tcPr>
          <w:p w14:paraId="75D34E7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40.000,00 </w:t>
            </w:r>
          </w:p>
        </w:tc>
        <w:tc>
          <w:tcPr>
            <w:tcW w:w="1276" w:type="dxa"/>
            <w:tcBorders>
              <w:top w:val="nil"/>
              <w:left w:val="nil"/>
              <w:bottom w:val="single" w:sz="4" w:space="0" w:color="auto"/>
              <w:right w:val="single" w:sz="4" w:space="0" w:color="auto"/>
            </w:tcBorders>
            <w:noWrap/>
            <w:vAlign w:val="center"/>
            <w:hideMark/>
          </w:tcPr>
          <w:p w14:paraId="46754C3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40.000,00 </w:t>
            </w:r>
          </w:p>
        </w:tc>
        <w:tc>
          <w:tcPr>
            <w:tcW w:w="1276" w:type="dxa"/>
            <w:tcBorders>
              <w:top w:val="nil"/>
              <w:left w:val="nil"/>
              <w:bottom w:val="single" w:sz="4" w:space="0" w:color="auto"/>
              <w:right w:val="single" w:sz="4" w:space="0" w:color="auto"/>
            </w:tcBorders>
            <w:noWrap/>
            <w:vAlign w:val="center"/>
            <w:hideMark/>
          </w:tcPr>
          <w:p w14:paraId="1CF9F44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40.000,00 </w:t>
            </w:r>
          </w:p>
        </w:tc>
        <w:tc>
          <w:tcPr>
            <w:tcW w:w="1285" w:type="dxa"/>
            <w:tcBorders>
              <w:top w:val="nil"/>
              <w:left w:val="nil"/>
              <w:bottom w:val="single" w:sz="4" w:space="0" w:color="auto"/>
              <w:right w:val="single" w:sz="4" w:space="0" w:color="auto"/>
            </w:tcBorders>
            <w:noWrap/>
            <w:vAlign w:val="center"/>
            <w:hideMark/>
          </w:tcPr>
          <w:p w14:paraId="3C1C61B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40.000,00 </w:t>
            </w:r>
          </w:p>
        </w:tc>
        <w:tc>
          <w:tcPr>
            <w:tcW w:w="1276" w:type="dxa"/>
            <w:tcBorders>
              <w:top w:val="nil"/>
              <w:left w:val="nil"/>
              <w:bottom w:val="single" w:sz="4" w:space="0" w:color="auto"/>
              <w:right w:val="nil"/>
            </w:tcBorders>
            <w:noWrap/>
            <w:vAlign w:val="center"/>
            <w:hideMark/>
          </w:tcPr>
          <w:p w14:paraId="27DE80B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160.000,00 </w:t>
            </w:r>
          </w:p>
        </w:tc>
        <w:tc>
          <w:tcPr>
            <w:tcW w:w="851" w:type="dxa"/>
            <w:tcBorders>
              <w:top w:val="nil"/>
              <w:left w:val="single" w:sz="4" w:space="0" w:color="auto"/>
              <w:bottom w:val="single" w:sz="4" w:space="0" w:color="auto"/>
              <w:right w:val="single" w:sz="4" w:space="0" w:color="auto"/>
            </w:tcBorders>
            <w:vAlign w:val="center"/>
            <w:hideMark/>
          </w:tcPr>
          <w:p w14:paraId="1DFD3D15"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22</w:t>
            </w:r>
          </w:p>
        </w:tc>
        <w:tc>
          <w:tcPr>
            <w:tcW w:w="236" w:type="dxa"/>
            <w:vAlign w:val="center"/>
            <w:hideMark/>
          </w:tcPr>
          <w:p w14:paraId="171D1C7B" w14:textId="77777777" w:rsidR="00F0133E" w:rsidRDefault="00F0133E">
            <w:pPr>
              <w:rPr>
                <w:rFonts w:asciiTheme="minorHAnsi" w:hAnsiTheme="minorHAnsi" w:cstheme="minorHAnsi"/>
                <w:i/>
                <w:iCs/>
                <w:color w:val="000000"/>
                <w:sz w:val="18"/>
                <w:szCs w:val="18"/>
                <w:lang w:eastAsia="en-US"/>
              </w:rPr>
            </w:pPr>
          </w:p>
        </w:tc>
      </w:tr>
      <w:tr w:rsidR="00F0133E" w14:paraId="626295DE"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201FBC97"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7C92A57F"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20E405A1"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66B8BB24"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57F0431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vAlign w:val="center"/>
            <w:hideMark/>
          </w:tcPr>
          <w:p w14:paraId="374BDD72"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747B287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33CB629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1C916E0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85" w:type="dxa"/>
            <w:tcBorders>
              <w:top w:val="nil"/>
              <w:left w:val="nil"/>
              <w:bottom w:val="single" w:sz="4" w:space="0" w:color="auto"/>
              <w:right w:val="single" w:sz="4" w:space="0" w:color="auto"/>
            </w:tcBorders>
            <w:noWrap/>
            <w:vAlign w:val="center"/>
            <w:hideMark/>
          </w:tcPr>
          <w:p w14:paraId="1237E1F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nil"/>
            </w:tcBorders>
            <w:noWrap/>
            <w:vAlign w:val="center"/>
            <w:hideMark/>
          </w:tcPr>
          <w:p w14:paraId="04E449C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vAlign w:val="center"/>
            <w:hideMark/>
          </w:tcPr>
          <w:p w14:paraId="44EFF020"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23</w:t>
            </w:r>
          </w:p>
        </w:tc>
        <w:tc>
          <w:tcPr>
            <w:tcW w:w="236" w:type="dxa"/>
            <w:vAlign w:val="center"/>
            <w:hideMark/>
          </w:tcPr>
          <w:p w14:paraId="43DBCD5F" w14:textId="77777777" w:rsidR="00F0133E" w:rsidRDefault="00F0133E">
            <w:pPr>
              <w:rPr>
                <w:rFonts w:asciiTheme="minorHAnsi" w:hAnsiTheme="minorHAnsi" w:cstheme="minorHAnsi"/>
                <w:i/>
                <w:iCs/>
                <w:color w:val="000000"/>
                <w:sz w:val="18"/>
                <w:szCs w:val="18"/>
                <w:lang w:eastAsia="en-US"/>
              </w:rPr>
            </w:pPr>
          </w:p>
        </w:tc>
      </w:tr>
      <w:tr w:rsidR="00F0133E" w14:paraId="0D046A18"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7B1C561D"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09208907"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40359A00"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6361BE46"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37CD803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75700</w:t>
            </w:r>
          </w:p>
        </w:tc>
        <w:tc>
          <w:tcPr>
            <w:tcW w:w="1846" w:type="dxa"/>
            <w:tcBorders>
              <w:top w:val="nil"/>
              <w:left w:val="nil"/>
              <w:bottom w:val="single" w:sz="4" w:space="0" w:color="auto"/>
              <w:right w:val="single" w:sz="4" w:space="0" w:color="auto"/>
            </w:tcBorders>
            <w:vAlign w:val="center"/>
            <w:hideMark/>
          </w:tcPr>
          <w:p w14:paraId="61BB7578"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Training, Workshops and Confer</w:t>
            </w:r>
          </w:p>
        </w:tc>
        <w:tc>
          <w:tcPr>
            <w:tcW w:w="1281" w:type="dxa"/>
            <w:tcBorders>
              <w:top w:val="nil"/>
              <w:left w:val="nil"/>
              <w:bottom w:val="single" w:sz="4" w:space="0" w:color="auto"/>
              <w:right w:val="single" w:sz="4" w:space="0" w:color="auto"/>
            </w:tcBorders>
            <w:noWrap/>
            <w:vAlign w:val="center"/>
            <w:hideMark/>
          </w:tcPr>
          <w:p w14:paraId="6F967A1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25.084,00 </w:t>
            </w:r>
          </w:p>
        </w:tc>
        <w:tc>
          <w:tcPr>
            <w:tcW w:w="1276" w:type="dxa"/>
            <w:tcBorders>
              <w:top w:val="nil"/>
              <w:left w:val="nil"/>
              <w:bottom w:val="single" w:sz="4" w:space="0" w:color="auto"/>
              <w:right w:val="single" w:sz="4" w:space="0" w:color="auto"/>
            </w:tcBorders>
            <w:noWrap/>
            <w:vAlign w:val="center"/>
            <w:hideMark/>
          </w:tcPr>
          <w:p w14:paraId="7AD6F46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25.084,00 </w:t>
            </w:r>
          </w:p>
        </w:tc>
        <w:tc>
          <w:tcPr>
            <w:tcW w:w="1276" w:type="dxa"/>
            <w:tcBorders>
              <w:top w:val="nil"/>
              <w:left w:val="nil"/>
              <w:bottom w:val="single" w:sz="4" w:space="0" w:color="auto"/>
              <w:right w:val="single" w:sz="4" w:space="0" w:color="auto"/>
            </w:tcBorders>
            <w:noWrap/>
            <w:vAlign w:val="center"/>
            <w:hideMark/>
          </w:tcPr>
          <w:p w14:paraId="236C412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25.084,00 </w:t>
            </w:r>
          </w:p>
        </w:tc>
        <w:tc>
          <w:tcPr>
            <w:tcW w:w="1285" w:type="dxa"/>
            <w:tcBorders>
              <w:top w:val="nil"/>
              <w:left w:val="nil"/>
              <w:bottom w:val="single" w:sz="4" w:space="0" w:color="auto"/>
              <w:right w:val="single" w:sz="4" w:space="0" w:color="auto"/>
            </w:tcBorders>
            <w:noWrap/>
            <w:vAlign w:val="center"/>
            <w:hideMark/>
          </w:tcPr>
          <w:p w14:paraId="0B0B841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25.084,00 </w:t>
            </w:r>
          </w:p>
        </w:tc>
        <w:tc>
          <w:tcPr>
            <w:tcW w:w="1276" w:type="dxa"/>
            <w:tcBorders>
              <w:top w:val="nil"/>
              <w:left w:val="nil"/>
              <w:bottom w:val="single" w:sz="4" w:space="0" w:color="auto"/>
              <w:right w:val="nil"/>
            </w:tcBorders>
            <w:noWrap/>
            <w:vAlign w:val="center"/>
            <w:hideMark/>
          </w:tcPr>
          <w:p w14:paraId="53D7AF9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100.336,00 </w:t>
            </w:r>
          </w:p>
        </w:tc>
        <w:tc>
          <w:tcPr>
            <w:tcW w:w="851" w:type="dxa"/>
            <w:tcBorders>
              <w:top w:val="nil"/>
              <w:left w:val="single" w:sz="4" w:space="0" w:color="auto"/>
              <w:bottom w:val="single" w:sz="4" w:space="0" w:color="auto"/>
              <w:right w:val="single" w:sz="4" w:space="0" w:color="auto"/>
            </w:tcBorders>
            <w:vAlign w:val="center"/>
            <w:hideMark/>
          </w:tcPr>
          <w:p w14:paraId="1478EF88"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24</w:t>
            </w:r>
          </w:p>
        </w:tc>
        <w:tc>
          <w:tcPr>
            <w:tcW w:w="236" w:type="dxa"/>
            <w:vAlign w:val="center"/>
            <w:hideMark/>
          </w:tcPr>
          <w:p w14:paraId="7E89F18B" w14:textId="77777777" w:rsidR="00F0133E" w:rsidRDefault="00F0133E">
            <w:pPr>
              <w:rPr>
                <w:rFonts w:asciiTheme="minorHAnsi" w:hAnsiTheme="minorHAnsi" w:cstheme="minorHAnsi"/>
                <w:i/>
                <w:iCs/>
                <w:color w:val="000000"/>
                <w:sz w:val="18"/>
                <w:szCs w:val="18"/>
                <w:lang w:eastAsia="en-US"/>
              </w:rPr>
            </w:pPr>
          </w:p>
        </w:tc>
      </w:tr>
      <w:tr w:rsidR="00F0133E" w14:paraId="304E6135"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7D66D349"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6CC49D0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4DC97CD9"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45C7602E"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0CC1AC4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E7E6E6"/>
            <w:noWrap/>
            <w:vAlign w:val="center"/>
            <w:hideMark/>
          </w:tcPr>
          <w:p w14:paraId="7CFA6139"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E7E6E6"/>
            <w:noWrap/>
            <w:vAlign w:val="center"/>
            <w:hideMark/>
          </w:tcPr>
          <w:p w14:paraId="2C70D49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76" w:type="dxa"/>
            <w:tcBorders>
              <w:top w:val="nil"/>
              <w:left w:val="nil"/>
              <w:bottom w:val="single" w:sz="4" w:space="0" w:color="auto"/>
              <w:right w:val="single" w:sz="4" w:space="0" w:color="auto"/>
            </w:tcBorders>
            <w:shd w:val="clear" w:color="auto" w:fill="E7E6E6"/>
            <w:noWrap/>
            <w:vAlign w:val="center"/>
            <w:hideMark/>
          </w:tcPr>
          <w:p w14:paraId="7F97D17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76" w:type="dxa"/>
            <w:tcBorders>
              <w:top w:val="nil"/>
              <w:left w:val="nil"/>
              <w:bottom w:val="single" w:sz="4" w:space="0" w:color="auto"/>
              <w:right w:val="single" w:sz="4" w:space="0" w:color="auto"/>
            </w:tcBorders>
            <w:shd w:val="clear" w:color="auto" w:fill="E7E6E6"/>
            <w:noWrap/>
            <w:vAlign w:val="center"/>
            <w:hideMark/>
          </w:tcPr>
          <w:p w14:paraId="7E4B6F5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85" w:type="dxa"/>
            <w:tcBorders>
              <w:top w:val="nil"/>
              <w:left w:val="nil"/>
              <w:bottom w:val="single" w:sz="4" w:space="0" w:color="auto"/>
              <w:right w:val="single" w:sz="4" w:space="0" w:color="auto"/>
            </w:tcBorders>
            <w:shd w:val="clear" w:color="auto" w:fill="E7E6E6"/>
            <w:noWrap/>
            <w:vAlign w:val="center"/>
            <w:hideMark/>
          </w:tcPr>
          <w:p w14:paraId="2EFB1D9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76" w:type="dxa"/>
            <w:tcBorders>
              <w:top w:val="nil"/>
              <w:left w:val="nil"/>
              <w:bottom w:val="single" w:sz="4" w:space="0" w:color="auto"/>
              <w:right w:val="nil"/>
            </w:tcBorders>
            <w:shd w:val="clear" w:color="auto" w:fill="E7E6E6"/>
            <w:noWrap/>
            <w:vAlign w:val="center"/>
            <w:hideMark/>
          </w:tcPr>
          <w:p w14:paraId="72AA301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571.000,00 </w:t>
            </w:r>
          </w:p>
        </w:tc>
        <w:tc>
          <w:tcPr>
            <w:tcW w:w="851" w:type="dxa"/>
            <w:tcBorders>
              <w:top w:val="nil"/>
              <w:left w:val="single" w:sz="4" w:space="0" w:color="auto"/>
              <w:bottom w:val="single" w:sz="4" w:space="0" w:color="auto"/>
              <w:right w:val="single" w:sz="4" w:space="0" w:color="auto"/>
            </w:tcBorders>
            <w:vAlign w:val="center"/>
            <w:hideMark/>
          </w:tcPr>
          <w:p w14:paraId="0604028E"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62E2C28C" w14:textId="77777777" w:rsidR="00F0133E" w:rsidRDefault="00F0133E">
            <w:pPr>
              <w:rPr>
                <w:rFonts w:asciiTheme="minorHAnsi" w:hAnsiTheme="minorHAnsi" w:cstheme="minorHAnsi"/>
                <w:i/>
                <w:iCs/>
                <w:color w:val="000000"/>
                <w:sz w:val="18"/>
                <w:szCs w:val="18"/>
                <w:lang w:eastAsia="en-US"/>
              </w:rPr>
            </w:pPr>
          </w:p>
        </w:tc>
      </w:tr>
      <w:tr w:rsidR="00F0133E" w14:paraId="5305003E" w14:textId="77777777" w:rsidTr="00F0133E">
        <w:trPr>
          <w:trHeight w:val="300"/>
        </w:trPr>
        <w:tc>
          <w:tcPr>
            <w:tcW w:w="1804" w:type="dxa"/>
            <w:vMerge/>
            <w:tcBorders>
              <w:top w:val="nil"/>
              <w:left w:val="single" w:sz="4" w:space="0" w:color="auto"/>
              <w:bottom w:val="single" w:sz="4" w:space="0" w:color="000000"/>
              <w:right w:val="single" w:sz="4" w:space="0" w:color="auto"/>
            </w:tcBorders>
            <w:vAlign w:val="center"/>
            <w:hideMark/>
          </w:tcPr>
          <w:p w14:paraId="49F3FAC1" w14:textId="77777777" w:rsidR="00F0133E" w:rsidRDefault="00F0133E">
            <w:pPr>
              <w:rPr>
                <w:rFonts w:asciiTheme="minorHAnsi" w:hAnsiTheme="minorHAnsi" w:cstheme="minorHAnsi"/>
                <w:color w:val="000000"/>
                <w:sz w:val="18"/>
                <w:szCs w:val="18"/>
                <w:lang w:eastAsia="en-US"/>
              </w:rPr>
            </w:pPr>
          </w:p>
        </w:tc>
        <w:tc>
          <w:tcPr>
            <w:tcW w:w="1264" w:type="dxa"/>
            <w:vMerge/>
            <w:tcBorders>
              <w:top w:val="nil"/>
              <w:left w:val="single" w:sz="4" w:space="0" w:color="auto"/>
              <w:bottom w:val="single" w:sz="4" w:space="0" w:color="000000"/>
              <w:right w:val="single" w:sz="4" w:space="0" w:color="auto"/>
            </w:tcBorders>
            <w:vAlign w:val="center"/>
            <w:hideMark/>
          </w:tcPr>
          <w:p w14:paraId="2FE7A969"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000000"/>
              <w:right w:val="single" w:sz="4" w:space="0" w:color="auto"/>
            </w:tcBorders>
            <w:vAlign w:val="center"/>
            <w:hideMark/>
          </w:tcPr>
          <w:p w14:paraId="655AFF2D"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000000"/>
              <w:right w:val="single" w:sz="4" w:space="0" w:color="auto"/>
            </w:tcBorders>
            <w:vAlign w:val="center"/>
            <w:hideMark/>
          </w:tcPr>
          <w:p w14:paraId="6EFC5FF9"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62FAD29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5B9BD5"/>
            <w:noWrap/>
            <w:vAlign w:val="center"/>
            <w:hideMark/>
          </w:tcPr>
          <w:p w14:paraId="4B6E8DF4"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Outcome 5</w:t>
            </w:r>
          </w:p>
        </w:tc>
        <w:tc>
          <w:tcPr>
            <w:tcW w:w="1281" w:type="dxa"/>
            <w:tcBorders>
              <w:top w:val="nil"/>
              <w:left w:val="nil"/>
              <w:bottom w:val="single" w:sz="4" w:space="0" w:color="auto"/>
              <w:right w:val="single" w:sz="4" w:space="0" w:color="auto"/>
            </w:tcBorders>
            <w:shd w:val="clear" w:color="auto" w:fill="5B9BD5"/>
            <w:noWrap/>
            <w:vAlign w:val="center"/>
            <w:hideMark/>
          </w:tcPr>
          <w:p w14:paraId="6B4896F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76" w:type="dxa"/>
            <w:tcBorders>
              <w:top w:val="nil"/>
              <w:left w:val="nil"/>
              <w:bottom w:val="single" w:sz="4" w:space="0" w:color="auto"/>
              <w:right w:val="single" w:sz="4" w:space="0" w:color="auto"/>
            </w:tcBorders>
            <w:shd w:val="clear" w:color="auto" w:fill="5B9BD5"/>
            <w:noWrap/>
            <w:vAlign w:val="center"/>
            <w:hideMark/>
          </w:tcPr>
          <w:p w14:paraId="5AD46CF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76" w:type="dxa"/>
            <w:tcBorders>
              <w:top w:val="nil"/>
              <w:left w:val="nil"/>
              <w:bottom w:val="single" w:sz="4" w:space="0" w:color="auto"/>
              <w:right w:val="single" w:sz="4" w:space="0" w:color="auto"/>
            </w:tcBorders>
            <w:shd w:val="clear" w:color="auto" w:fill="5B9BD5"/>
            <w:noWrap/>
            <w:vAlign w:val="center"/>
            <w:hideMark/>
          </w:tcPr>
          <w:p w14:paraId="2264A3C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85" w:type="dxa"/>
            <w:tcBorders>
              <w:top w:val="nil"/>
              <w:left w:val="nil"/>
              <w:bottom w:val="single" w:sz="4" w:space="0" w:color="auto"/>
              <w:right w:val="single" w:sz="4" w:space="0" w:color="auto"/>
            </w:tcBorders>
            <w:shd w:val="clear" w:color="auto" w:fill="5B9BD5"/>
            <w:noWrap/>
            <w:vAlign w:val="center"/>
            <w:hideMark/>
          </w:tcPr>
          <w:p w14:paraId="09EC130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142.750,00 </w:t>
            </w:r>
          </w:p>
        </w:tc>
        <w:tc>
          <w:tcPr>
            <w:tcW w:w="1276" w:type="dxa"/>
            <w:tcBorders>
              <w:top w:val="nil"/>
              <w:left w:val="nil"/>
              <w:bottom w:val="single" w:sz="4" w:space="0" w:color="auto"/>
              <w:right w:val="nil"/>
            </w:tcBorders>
            <w:shd w:val="clear" w:color="auto" w:fill="5B9BD5"/>
            <w:noWrap/>
            <w:vAlign w:val="center"/>
            <w:hideMark/>
          </w:tcPr>
          <w:p w14:paraId="40A22E6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571.000,00 </w:t>
            </w:r>
          </w:p>
        </w:tc>
        <w:tc>
          <w:tcPr>
            <w:tcW w:w="851" w:type="dxa"/>
            <w:tcBorders>
              <w:top w:val="nil"/>
              <w:left w:val="single" w:sz="4" w:space="0" w:color="auto"/>
              <w:bottom w:val="single" w:sz="4" w:space="0" w:color="auto"/>
              <w:right w:val="single" w:sz="4" w:space="0" w:color="auto"/>
            </w:tcBorders>
            <w:vAlign w:val="center"/>
            <w:hideMark/>
          </w:tcPr>
          <w:p w14:paraId="28DA4CB4"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59BD6CD5" w14:textId="77777777" w:rsidR="00F0133E" w:rsidRDefault="00F0133E">
            <w:pPr>
              <w:rPr>
                <w:rFonts w:asciiTheme="minorHAnsi" w:hAnsiTheme="minorHAnsi" w:cstheme="minorHAnsi"/>
                <w:i/>
                <w:iCs/>
                <w:color w:val="000000"/>
                <w:sz w:val="18"/>
                <w:szCs w:val="18"/>
                <w:lang w:eastAsia="en-US"/>
              </w:rPr>
            </w:pPr>
          </w:p>
        </w:tc>
      </w:tr>
      <w:tr w:rsidR="00F0133E" w14:paraId="4980412D" w14:textId="77777777" w:rsidTr="00F0133E">
        <w:trPr>
          <w:trHeight w:val="300"/>
        </w:trPr>
        <w:tc>
          <w:tcPr>
            <w:tcW w:w="1804" w:type="dxa"/>
            <w:vMerge w:val="restart"/>
            <w:tcBorders>
              <w:top w:val="nil"/>
              <w:left w:val="single" w:sz="4" w:space="0" w:color="auto"/>
              <w:bottom w:val="single" w:sz="4" w:space="0" w:color="auto"/>
              <w:right w:val="single" w:sz="4" w:space="0" w:color="auto"/>
            </w:tcBorders>
            <w:vAlign w:val="center"/>
            <w:hideMark/>
          </w:tcPr>
          <w:p w14:paraId="01E734B3"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COMPONENT 6: </w:t>
            </w:r>
            <w:r>
              <w:rPr>
                <w:rFonts w:asciiTheme="minorHAnsi" w:hAnsiTheme="minorHAnsi" w:cstheme="minorHAnsi"/>
                <w:b/>
                <w:bCs/>
                <w:color w:val="000000"/>
                <w:sz w:val="18"/>
                <w:szCs w:val="18"/>
                <w:lang w:eastAsia="en-US"/>
              </w:rPr>
              <w:br/>
            </w:r>
            <w:r>
              <w:rPr>
                <w:rFonts w:asciiTheme="minorHAnsi" w:hAnsiTheme="minorHAnsi" w:cstheme="minorHAnsi"/>
                <w:color w:val="000000"/>
                <w:sz w:val="18"/>
                <w:szCs w:val="18"/>
                <w:lang w:eastAsia="en-US"/>
              </w:rPr>
              <w:t>Monitoring and Evaluation</w:t>
            </w:r>
          </w:p>
        </w:tc>
        <w:tc>
          <w:tcPr>
            <w:tcW w:w="1264" w:type="dxa"/>
            <w:vMerge w:val="restart"/>
            <w:tcBorders>
              <w:top w:val="nil"/>
              <w:left w:val="single" w:sz="4" w:space="0" w:color="auto"/>
              <w:bottom w:val="single" w:sz="4" w:space="0" w:color="auto"/>
              <w:right w:val="single" w:sz="4" w:space="0" w:color="auto"/>
            </w:tcBorders>
            <w:vAlign w:val="center"/>
            <w:hideMark/>
          </w:tcPr>
          <w:p w14:paraId="1DDD7944"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UNESCO-IOC</w:t>
            </w:r>
          </w:p>
        </w:tc>
        <w:tc>
          <w:tcPr>
            <w:tcW w:w="777" w:type="dxa"/>
            <w:vMerge w:val="restart"/>
            <w:tcBorders>
              <w:top w:val="nil"/>
              <w:left w:val="single" w:sz="4" w:space="0" w:color="auto"/>
              <w:bottom w:val="single" w:sz="4" w:space="0" w:color="auto"/>
              <w:right w:val="single" w:sz="4" w:space="0" w:color="auto"/>
            </w:tcBorders>
            <w:vAlign w:val="center"/>
            <w:hideMark/>
          </w:tcPr>
          <w:p w14:paraId="5481EF0F"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auto"/>
              <w:right w:val="single" w:sz="4" w:space="0" w:color="auto"/>
            </w:tcBorders>
            <w:vAlign w:val="center"/>
            <w:hideMark/>
          </w:tcPr>
          <w:p w14:paraId="17BCFCA0"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4834485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noWrap/>
            <w:vAlign w:val="center"/>
            <w:hideMark/>
          </w:tcPr>
          <w:p w14:paraId="18C8E125"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6D71F53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76" w:type="dxa"/>
            <w:tcBorders>
              <w:top w:val="nil"/>
              <w:left w:val="nil"/>
              <w:bottom w:val="single" w:sz="4" w:space="0" w:color="auto"/>
              <w:right w:val="single" w:sz="4" w:space="0" w:color="auto"/>
            </w:tcBorders>
            <w:noWrap/>
            <w:vAlign w:val="center"/>
            <w:hideMark/>
          </w:tcPr>
          <w:p w14:paraId="47DA638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1276" w:type="dxa"/>
            <w:tcBorders>
              <w:top w:val="nil"/>
              <w:left w:val="nil"/>
              <w:bottom w:val="single" w:sz="4" w:space="0" w:color="auto"/>
              <w:right w:val="single" w:sz="4" w:space="0" w:color="auto"/>
            </w:tcBorders>
            <w:noWrap/>
            <w:vAlign w:val="center"/>
            <w:hideMark/>
          </w:tcPr>
          <w:p w14:paraId="202A073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85" w:type="dxa"/>
            <w:tcBorders>
              <w:top w:val="nil"/>
              <w:left w:val="nil"/>
              <w:bottom w:val="single" w:sz="4" w:space="0" w:color="auto"/>
              <w:right w:val="single" w:sz="4" w:space="0" w:color="auto"/>
            </w:tcBorders>
            <w:noWrap/>
            <w:vAlign w:val="center"/>
            <w:hideMark/>
          </w:tcPr>
          <w:p w14:paraId="0762BD0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1276" w:type="dxa"/>
            <w:tcBorders>
              <w:top w:val="nil"/>
              <w:left w:val="nil"/>
              <w:bottom w:val="single" w:sz="4" w:space="0" w:color="auto"/>
              <w:right w:val="nil"/>
            </w:tcBorders>
            <w:noWrap/>
            <w:vAlign w:val="center"/>
            <w:hideMark/>
          </w:tcPr>
          <w:p w14:paraId="71FA109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60.000,00 </w:t>
            </w:r>
          </w:p>
        </w:tc>
        <w:tc>
          <w:tcPr>
            <w:tcW w:w="851" w:type="dxa"/>
            <w:tcBorders>
              <w:top w:val="nil"/>
              <w:left w:val="single" w:sz="4" w:space="0" w:color="auto"/>
              <w:bottom w:val="single" w:sz="4" w:space="0" w:color="auto"/>
              <w:right w:val="single" w:sz="4" w:space="0" w:color="auto"/>
            </w:tcBorders>
            <w:vAlign w:val="center"/>
            <w:hideMark/>
          </w:tcPr>
          <w:p w14:paraId="215BCF18"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25</w:t>
            </w:r>
          </w:p>
        </w:tc>
        <w:tc>
          <w:tcPr>
            <w:tcW w:w="236" w:type="dxa"/>
            <w:vAlign w:val="center"/>
            <w:hideMark/>
          </w:tcPr>
          <w:p w14:paraId="5A249BF7" w14:textId="77777777" w:rsidR="00F0133E" w:rsidRDefault="00F0133E">
            <w:pPr>
              <w:rPr>
                <w:rFonts w:asciiTheme="minorHAnsi" w:hAnsiTheme="minorHAnsi" w:cstheme="minorHAnsi"/>
                <w:i/>
                <w:iCs/>
                <w:color w:val="000000"/>
                <w:sz w:val="18"/>
                <w:szCs w:val="18"/>
                <w:lang w:eastAsia="en-US"/>
              </w:rPr>
            </w:pPr>
          </w:p>
        </w:tc>
      </w:tr>
      <w:tr w:rsidR="00F0133E" w14:paraId="68E06D0B"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58512B25"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CF11571"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07D05237"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5DEECA5E"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2CD64F7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noWrap/>
            <w:vAlign w:val="center"/>
            <w:hideMark/>
          </w:tcPr>
          <w:p w14:paraId="34B26CFB"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3C0BA53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1276" w:type="dxa"/>
            <w:tcBorders>
              <w:top w:val="nil"/>
              <w:left w:val="nil"/>
              <w:bottom w:val="single" w:sz="4" w:space="0" w:color="auto"/>
              <w:right w:val="single" w:sz="4" w:space="0" w:color="auto"/>
            </w:tcBorders>
            <w:noWrap/>
            <w:vAlign w:val="center"/>
            <w:hideMark/>
          </w:tcPr>
          <w:p w14:paraId="25CED6A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76" w:type="dxa"/>
            <w:tcBorders>
              <w:top w:val="nil"/>
              <w:left w:val="nil"/>
              <w:bottom w:val="single" w:sz="4" w:space="0" w:color="auto"/>
              <w:right w:val="single" w:sz="4" w:space="0" w:color="auto"/>
            </w:tcBorders>
            <w:noWrap/>
            <w:vAlign w:val="center"/>
            <w:hideMark/>
          </w:tcPr>
          <w:p w14:paraId="0B0D6EB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85" w:type="dxa"/>
            <w:tcBorders>
              <w:top w:val="nil"/>
              <w:left w:val="nil"/>
              <w:bottom w:val="single" w:sz="4" w:space="0" w:color="auto"/>
              <w:right w:val="single" w:sz="4" w:space="0" w:color="auto"/>
            </w:tcBorders>
            <w:noWrap/>
            <w:vAlign w:val="center"/>
            <w:hideMark/>
          </w:tcPr>
          <w:p w14:paraId="1D5CC56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76" w:type="dxa"/>
            <w:tcBorders>
              <w:top w:val="nil"/>
              <w:left w:val="nil"/>
              <w:bottom w:val="single" w:sz="4" w:space="0" w:color="auto"/>
              <w:right w:val="nil"/>
            </w:tcBorders>
            <w:noWrap/>
            <w:vAlign w:val="center"/>
            <w:hideMark/>
          </w:tcPr>
          <w:p w14:paraId="0B0E14B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vAlign w:val="center"/>
            <w:hideMark/>
          </w:tcPr>
          <w:p w14:paraId="363D02C6"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26</w:t>
            </w:r>
          </w:p>
        </w:tc>
        <w:tc>
          <w:tcPr>
            <w:tcW w:w="236" w:type="dxa"/>
            <w:vAlign w:val="center"/>
            <w:hideMark/>
          </w:tcPr>
          <w:p w14:paraId="5DA04769" w14:textId="77777777" w:rsidR="00F0133E" w:rsidRDefault="00F0133E">
            <w:pPr>
              <w:rPr>
                <w:rFonts w:asciiTheme="minorHAnsi" w:hAnsiTheme="minorHAnsi" w:cstheme="minorHAnsi"/>
                <w:i/>
                <w:iCs/>
                <w:color w:val="000000"/>
                <w:sz w:val="18"/>
                <w:szCs w:val="18"/>
                <w:lang w:eastAsia="en-US"/>
              </w:rPr>
            </w:pPr>
          </w:p>
        </w:tc>
      </w:tr>
      <w:tr w:rsidR="00F0133E" w14:paraId="11D667DA"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04C44067"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77E75720"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0106712C"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F3052EA"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2BE9C21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D9D9D9"/>
            <w:noWrap/>
            <w:vAlign w:val="center"/>
            <w:hideMark/>
          </w:tcPr>
          <w:p w14:paraId="41C88F27"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D9D9D9"/>
            <w:noWrap/>
            <w:vAlign w:val="center"/>
            <w:hideMark/>
          </w:tcPr>
          <w:p w14:paraId="4628A2F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1276" w:type="dxa"/>
            <w:tcBorders>
              <w:top w:val="nil"/>
              <w:left w:val="nil"/>
              <w:bottom w:val="single" w:sz="4" w:space="0" w:color="auto"/>
              <w:right w:val="single" w:sz="4" w:space="0" w:color="auto"/>
            </w:tcBorders>
            <w:shd w:val="clear" w:color="auto" w:fill="D9D9D9"/>
            <w:noWrap/>
            <w:vAlign w:val="center"/>
            <w:hideMark/>
          </w:tcPr>
          <w:p w14:paraId="200172E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1276" w:type="dxa"/>
            <w:tcBorders>
              <w:top w:val="nil"/>
              <w:left w:val="nil"/>
              <w:bottom w:val="single" w:sz="4" w:space="0" w:color="auto"/>
              <w:right w:val="single" w:sz="4" w:space="0" w:color="auto"/>
            </w:tcBorders>
            <w:shd w:val="clear" w:color="auto" w:fill="D9D9D9"/>
            <w:noWrap/>
            <w:vAlign w:val="center"/>
            <w:hideMark/>
          </w:tcPr>
          <w:p w14:paraId="72A16A6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85" w:type="dxa"/>
            <w:tcBorders>
              <w:top w:val="nil"/>
              <w:left w:val="nil"/>
              <w:bottom w:val="single" w:sz="4" w:space="0" w:color="auto"/>
              <w:right w:val="single" w:sz="4" w:space="0" w:color="auto"/>
            </w:tcBorders>
            <w:shd w:val="clear" w:color="auto" w:fill="D9D9D9"/>
            <w:noWrap/>
            <w:vAlign w:val="center"/>
            <w:hideMark/>
          </w:tcPr>
          <w:p w14:paraId="357B8F2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1276" w:type="dxa"/>
            <w:tcBorders>
              <w:top w:val="nil"/>
              <w:left w:val="nil"/>
              <w:bottom w:val="single" w:sz="4" w:space="0" w:color="auto"/>
              <w:right w:val="single" w:sz="4" w:space="0" w:color="auto"/>
            </w:tcBorders>
            <w:shd w:val="clear" w:color="auto" w:fill="D9D9D9"/>
            <w:noWrap/>
            <w:vAlign w:val="center"/>
            <w:hideMark/>
          </w:tcPr>
          <w:p w14:paraId="60301C7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80.000,00 </w:t>
            </w:r>
          </w:p>
        </w:tc>
        <w:tc>
          <w:tcPr>
            <w:tcW w:w="851" w:type="dxa"/>
            <w:tcBorders>
              <w:top w:val="nil"/>
              <w:left w:val="nil"/>
              <w:bottom w:val="single" w:sz="4" w:space="0" w:color="auto"/>
              <w:right w:val="single" w:sz="4" w:space="0" w:color="auto"/>
            </w:tcBorders>
            <w:vAlign w:val="center"/>
            <w:hideMark/>
          </w:tcPr>
          <w:p w14:paraId="30C00141"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50FCEB29" w14:textId="77777777" w:rsidR="00F0133E" w:rsidRDefault="00F0133E">
            <w:pPr>
              <w:rPr>
                <w:rFonts w:asciiTheme="minorHAnsi" w:hAnsiTheme="minorHAnsi" w:cstheme="minorHAnsi"/>
                <w:i/>
                <w:iCs/>
                <w:color w:val="000000"/>
                <w:sz w:val="18"/>
                <w:szCs w:val="18"/>
                <w:lang w:eastAsia="en-US"/>
              </w:rPr>
            </w:pPr>
          </w:p>
        </w:tc>
      </w:tr>
      <w:tr w:rsidR="00F0133E" w14:paraId="0E9FFA42" w14:textId="77777777" w:rsidTr="00F0133E">
        <w:trPr>
          <w:trHeight w:val="300"/>
        </w:trPr>
        <w:tc>
          <w:tcPr>
            <w:tcW w:w="1804" w:type="dxa"/>
            <w:vMerge/>
            <w:tcBorders>
              <w:top w:val="nil"/>
              <w:left w:val="single" w:sz="4" w:space="0" w:color="auto"/>
              <w:bottom w:val="single" w:sz="4" w:space="0" w:color="auto"/>
              <w:right w:val="single" w:sz="4" w:space="0" w:color="auto"/>
            </w:tcBorders>
            <w:vAlign w:val="center"/>
            <w:hideMark/>
          </w:tcPr>
          <w:p w14:paraId="695AD582"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5CBDC8B9"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77CA3BA4"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245F0C00"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6D5C149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5B9BD5"/>
            <w:noWrap/>
            <w:vAlign w:val="center"/>
            <w:hideMark/>
          </w:tcPr>
          <w:p w14:paraId="008E0434"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Outcome 6</w:t>
            </w:r>
          </w:p>
        </w:tc>
        <w:tc>
          <w:tcPr>
            <w:tcW w:w="1281" w:type="dxa"/>
            <w:tcBorders>
              <w:top w:val="nil"/>
              <w:left w:val="nil"/>
              <w:bottom w:val="single" w:sz="4" w:space="0" w:color="auto"/>
              <w:right w:val="single" w:sz="4" w:space="0" w:color="auto"/>
            </w:tcBorders>
            <w:shd w:val="clear" w:color="auto" w:fill="5B9BD5"/>
            <w:noWrap/>
            <w:vAlign w:val="center"/>
            <w:hideMark/>
          </w:tcPr>
          <w:p w14:paraId="6343E66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1276" w:type="dxa"/>
            <w:tcBorders>
              <w:top w:val="nil"/>
              <w:left w:val="nil"/>
              <w:bottom w:val="single" w:sz="4" w:space="0" w:color="auto"/>
              <w:right w:val="single" w:sz="4" w:space="0" w:color="auto"/>
            </w:tcBorders>
            <w:shd w:val="clear" w:color="auto" w:fill="5B9BD5"/>
            <w:noWrap/>
            <w:vAlign w:val="center"/>
            <w:hideMark/>
          </w:tcPr>
          <w:p w14:paraId="3EE9E68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1276" w:type="dxa"/>
            <w:tcBorders>
              <w:top w:val="nil"/>
              <w:left w:val="nil"/>
              <w:bottom w:val="single" w:sz="4" w:space="0" w:color="auto"/>
              <w:right w:val="single" w:sz="4" w:space="0" w:color="auto"/>
            </w:tcBorders>
            <w:shd w:val="clear" w:color="auto" w:fill="5B9BD5"/>
            <w:noWrap/>
            <w:vAlign w:val="center"/>
            <w:hideMark/>
          </w:tcPr>
          <w:p w14:paraId="2E3D1BA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   </w:t>
            </w:r>
          </w:p>
        </w:tc>
        <w:tc>
          <w:tcPr>
            <w:tcW w:w="1285" w:type="dxa"/>
            <w:tcBorders>
              <w:top w:val="nil"/>
              <w:left w:val="nil"/>
              <w:bottom w:val="single" w:sz="4" w:space="0" w:color="auto"/>
              <w:right w:val="single" w:sz="4" w:space="0" w:color="auto"/>
            </w:tcBorders>
            <w:shd w:val="clear" w:color="auto" w:fill="5B9BD5"/>
            <w:noWrap/>
            <w:vAlign w:val="center"/>
            <w:hideMark/>
          </w:tcPr>
          <w:p w14:paraId="795A133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1276" w:type="dxa"/>
            <w:tcBorders>
              <w:top w:val="nil"/>
              <w:left w:val="nil"/>
              <w:bottom w:val="single" w:sz="4" w:space="0" w:color="auto"/>
              <w:right w:val="single" w:sz="4" w:space="0" w:color="auto"/>
            </w:tcBorders>
            <w:shd w:val="clear" w:color="auto" w:fill="5B9BD5"/>
            <w:noWrap/>
            <w:vAlign w:val="center"/>
            <w:hideMark/>
          </w:tcPr>
          <w:p w14:paraId="0F9FADA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80.000,00 </w:t>
            </w:r>
          </w:p>
        </w:tc>
        <w:tc>
          <w:tcPr>
            <w:tcW w:w="851" w:type="dxa"/>
            <w:tcBorders>
              <w:top w:val="nil"/>
              <w:left w:val="nil"/>
              <w:bottom w:val="single" w:sz="4" w:space="0" w:color="auto"/>
              <w:right w:val="single" w:sz="4" w:space="0" w:color="auto"/>
            </w:tcBorders>
            <w:vAlign w:val="center"/>
            <w:hideMark/>
          </w:tcPr>
          <w:p w14:paraId="7BD67C04"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6E60B22A" w14:textId="77777777" w:rsidR="00F0133E" w:rsidRDefault="00F0133E">
            <w:pPr>
              <w:rPr>
                <w:rFonts w:asciiTheme="minorHAnsi" w:hAnsiTheme="minorHAnsi" w:cstheme="minorHAnsi"/>
                <w:i/>
                <w:iCs/>
                <w:color w:val="000000"/>
                <w:sz w:val="18"/>
                <w:szCs w:val="18"/>
                <w:lang w:eastAsia="en-US"/>
              </w:rPr>
            </w:pPr>
          </w:p>
        </w:tc>
      </w:tr>
      <w:tr w:rsidR="00F0133E" w14:paraId="687C21E9" w14:textId="77777777" w:rsidTr="00F0133E">
        <w:trPr>
          <w:trHeight w:val="300"/>
        </w:trPr>
        <w:tc>
          <w:tcPr>
            <w:tcW w:w="1804" w:type="dxa"/>
            <w:vMerge w:val="restart"/>
            <w:tcBorders>
              <w:top w:val="nil"/>
              <w:left w:val="single" w:sz="8" w:space="0" w:color="auto"/>
              <w:bottom w:val="nil"/>
              <w:right w:val="single" w:sz="4" w:space="0" w:color="auto"/>
            </w:tcBorders>
            <w:vAlign w:val="center"/>
            <w:hideMark/>
          </w:tcPr>
          <w:p w14:paraId="2A507957"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PROJECT MANAGEMENT COST</w:t>
            </w:r>
          </w:p>
        </w:tc>
        <w:tc>
          <w:tcPr>
            <w:tcW w:w="1264" w:type="dxa"/>
            <w:vMerge w:val="restart"/>
            <w:tcBorders>
              <w:top w:val="nil"/>
              <w:left w:val="single" w:sz="4" w:space="0" w:color="auto"/>
              <w:bottom w:val="single" w:sz="4" w:space="0" w:color="auto"/>
              <w:right w:val="single" w:sz="4" w:space="0" w:color="auto"/>
            </w:tcBorders>
            <w:vAlign w:val="center"/>
            <w:hideMark/>
          </w:tcPr>
          <w:p w14:paraId="6C4BBD65"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UNESCO-IOC</w:t>
            </w:r>
          </w:p>
        </w:tc>
        <w:tc>
          <w:tcPr>
            <w:tcW w:w="777" w:type="dxa"/>
            <w:vMerge w:val="restart"/>
            <w:tcBorders>
              <w:top w:val="nil"/>
              <w:left w:val="single" w:sz="4" w:space="0" w:color="auto"/>
              <w:bottom w:val="single" w:sz="4" w:space="0" w:color="auto"/>
              <w:right w:val="single" w:sz="4" w:space="0" w:color="auto"/>
            </w:tcBorders>
            <w:vAlign w:val="center"/>
            <w:hideMark/>
          </w:tcPr>
          <w:p w14:paraId="30ADADC6"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62000</w:t>
            </w:r>
          </w:p>
        </w:tc>
        <w:tc>
          <w:tcPr>
            <w:tcW w:w="683" w:type="dxa"/>
            <w:vMerge w:val="restart"/>
            <w:tcBorders>
              <w:top w:val="nil"/>
              <w:left w:val="single" w:sz="4" w:space="0" w:color="auto"/>
              <w:bottom w:val="single" w:sz="4" w:space="0" w:color="auto"/>
              <w:right w:val="single" w:sz="4" w:space="0" w:color="auto"/>
            </w:tcBorders>
            <w:vAlign w:val="center"/>
            <w:hideMark/>
          </w:tcPr>
          <w:p w14:paraId="11F055EE"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GEF</w:t>
            </w:r>
          </w:p>
        </w:tc>
        <w:tc>
          <w:tcPr>
            <w:tcW w:w="992" w:type="dxa"/>
            <w:tcBorders>
              <w:top w:val="nil"/>
              <w:left w:val="nil"/>
              <w:bottom w:val="single" w:sz="4" w:space="0" w:color="auto"/>
              <w:right w:val="single" w:sz="4" w:space="0" w:color="auto"/>
            </w:tcBorders>
            <w:noWrap/>
            <w:vAlign w:val="center"/>
            <w:hideMark/>
          </w:tcPr>
          <w:p w14:paraId="4C1D4C8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71200</w:t>
            </w:r>
          </w:p>
        </w:tc>
        <w:tc>
          <w:tcPr>
            <w:tcW w:w="1846" w:type="dxa"/>
            <w:tcBorders>
              <w:top w:val="nil"/>
              <w:left w:val="nil"/>
              <w:bottom w:val="single" w:sz="4" w:space="0" w:color="auto"/>
              <w:right w:val="single" w:sz="4" w:space="0" w:color="auto"/>
            </w:tcBorders>
            <w:vAlign w:val="center"/>
            <w:hideMark/>
          </w:tcPr>
          <w:p w14:paraId="1B0C9774"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International Consultants</w:t>
            </w:r>
          </w:p>
        </w:tc>
        <w:tc>
          <w:tcPr>
            <w:tcW w:w="1281" w:type="dxa"/>
            <w:tcBorders>
              <w:top w:val="nil"/>
              <w:left w:val="nil"/>
              <w:bottom w:val="single" w:sz="4" w:space="0" w:color="auto"/>
              <w:right w:val="single" w:sz="4" w:space="0" w:color="auto"/>
            </w:tcBorders>
            <w:noWrap/>
            <w:vAlign w:val="center"/>
            <w:hideMark/>
          </w:tcPr>
          <w:p w14:paraId="4D1B0585"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14.718,00 </w:t>
            </w:r>
          </w:p>
        </w:tc>
        <w:tc>
          <w:tcPr>
            <w:tcW w:w="1276" w:type="dxa"/>
            <w:tcBorders>
              <w:top w:val="nil"/>
              <w:left w:val="nil"/>
              <w:bottom w:val="single" w:sz="4" w:space="0" w:color="auto"/>
              <w:right w:val="single" w:sz="4" w:space="0" w:color="auto"/>
            </w:tcBorders>
            <w:noWrap/>
            <w:vAlign w:val="center"/>
            <w:hideMark/>
          </w:tcPr>
          <w:p w14:paraId="20AFAAF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14.718,00 </w:t>
            </w:r>
          </w:p>
        </w:tc>
        <w:tc>
          <w:tcPr>
            <w:tcW w:w="1276" w:type="dxa"/>
            <w:tcBorders>
              <w:top w:val="nil"/>
              <w:left w:val="nil"/>
              <w:bottom w:val="single" w:sz="4" w:space="0" w:color="auto"/>
              <w:right w:val="single" w:sz="4" w:space="0" w:color="auto"/>
            </w:tcBorders>
            <w:noWrap/>
            <w:vAlign w:val="center"/>
            <w:hideMark/>
          </w:tcPr>
          <w:p w14:paraId="0E3F866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14.718,00 </w:t>
            </w:r>
          </w:p>
        </w:tc>
        <w:tc>
          <w:tcPr>
            <w:tcW w:w="1285" w:type="dxa"/>
            <w:tcBorders>
              <w:top w:val="nil"/>
              <w:left w:val="nil"/>
              <w:bottom w:val="single" w:sz="4" w:space="0" w:color="auto"/>
              <w:right w:val="single" w:sz="4" w:space="0" w:color="auto"/>
            </w:tcBorders>
            <w:noWrap/>
            <w:vAlign w:val="center"/>
            <w:hideMark/>
          </w:tcPr>
          <w:p w14:paraId="3614C742"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14.718,00 </w:t>
            </w:r>
          </w:p>
        </w:tc>
        <w:tc>
          <w:tcPr>
            <w:tcW w:w="1276" w:type="dxa"/>
            <w:tcBorders>
              <w:top w:val="nil"/>
              <w:left w:val="nil"/>
              <w:bottom w:val="single" w:sz="4" w:space="0" w:color="auto"/>
              <w:right w:val="nil"/>
            </w:tcBorders>
            <w:noWrap/>
            <w:vAlign w:val="center"/>
            <w:hideMark/>
          </w:tcPr>
          <w:p w14:paraId="562D09A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58.872,00 </w:t>
            </w:r>
          </w:p>
        </w:tc>
        <w:tc>
          <w:tcPr>
            <w:tcW w:w="851" w:type="dxa"/>
            <w:tcBorders>
              <w:top w:val="nil"/>
              <w:left w:val="single" w:sz="4" w:space="0" w:color="auto"/>
              <w:bottom w:val="single" w:sz="4" w:space="0" w:color="auto"/>
              <w:right w:val="single" w:sz="4" w:space="0" w:color="auto"/>
            </w:tcBorders>
            <w:vAlign w:val="center"/>
            <w:hideMark/>
          </w:tcPr>
          <w:p w14:paraId="18D7AA2E"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27</w:t>
            </w:r>
          </w:p>
        </w:tc>
        <w:tc>
          <w:tcPr>
            <w:tcW w:w="236" w:type="dxa"/>
            <w:vAlign w:val="center"/>
            <w:hideMark/>
          </w:tcPr>
          <w:p w14:paraId="24A852C5" w14:textId="77777777" w:rsidR="00F0133E" w:rsidRDefault="00F0133E">
            <w:pPr>
              <w:rPr>
                <w:rFonts w:asciiTheme="minorHAnsi" w:hAnsiTheme="minorHAnsi" w:cstheme="minorHAnsi"/>
                <w:i/>
                <w:iCs/>
                <w:color w:val="000000"/>
                <w:sz w:val="18"/>
                <w:szCs w:val="18"/>
                <w:lang w:eastAsia="en-US"/>
              </w:rPr>
            </w:pPr>
          </w:p>
        </w:tc>
      </w:tr>
      <w:tr w:rsidR="00F0133E" w14:paraId="5154289F"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7D2DD962"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62F97A76"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17DBF66F"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C89B393"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79BAF187"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74100</w:t>
            </w:r>
          </w:p>
        </w:tc>
        <w:tc>
          <w:tcPr>
            <w:tcW w:w="1846" w:type="dxa"/>
            <w:tcBorders>
              <w:top w:val="nil"/>
              <w:left w:val="nil"/>
              <w:bottom w:val="single" w:sz="4" w:space="0" w:color="auto"/>
              <w:right w:val="single" w:sz="4" w:space="0" w:color="auto"/>
            </w:tcBorders>
            <w:vAlign w:val="center"/>
            <w:hideMark/>
          </w:tcPr>
          <w:p w14:paraId="13D0D43D" w14:textId="77777777" w:rsidR="00F0133E" w:rsidRDefault="00F0133E">
            <w:pP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Professional Services</w:t>
            </w:r>
          </w:p>
        </w:tc>
        <w:tc>
          <w:tcPr>
            <w:tcW w:w="1281" w:type="dxa"/>
            <w:tcBorders>
              <w:top w:val="nil"/>
              <w:left w:val="nil"/>
              <w:bottom w:val="single" w:sz="4" w:space="0" w:color="auto"/>
              <w:right w:val="single" w:sz="4" w:space="0" w:color="auto"/>
            </w:tcBorders>
            <w:noWrap/>
            <w:vAlign w:val="center"/>
            <w:hideMark/>
          </w:tcPr>
          <w:p w14:paraId="4D6AD5F1"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3.000,00 </w:t>
            </w:r>
          </w:p>
        </w:tc>
        <w:tc>
          <w:tcPr>
            <w:tcW w:w="1276" w:type="dxa"/>
            <w:tcBorders>
              <w:top w:val="nil"/>
              <w:left w:val="nil"/>
              <w:bottom w:val="single" w:sz="4" w:space="0" w:color="auto"/>
              <w:right w:val="single" w:sz="4" w:space="0" w:color="auto"/>
            </w:tcBorders>
            <w:noWrap/>
            <w:vAlign w:val="center"/>
            <w:hideMark/>
          </w:tcPr>
          <w:p w14:paraId="169E57B8"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3.000,00 </w:t>
            </w:r>
          </w:p>
        </w:tc>
        <w:tc>
          <w:tcPr>
            <w:tcW w:w="1276" w:type="dxa"/>
            <w:tcBorders>
              <w:top w:val="nil"/>
              <w:left w:val="nil"/>
              <w:bottom w:val="single" w:sz="4" w:space="0" w:color="auto"/>
              <w:right w:val="single" w:sz="4" w:space="0" w:color="auto"/>
            </w:tcBorders>
            <w:noWrap/>
            <w:vAlign w:val="center"/>
            <w:hideMark/>
          </w:tcPr>
          <w:p w14:paraId="5397E72A"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3.000,00 </w:t>
            </w:r>
          </w:p>
        </w:tc>
        <w:tc>
          <w:tcPr>
            <w:tcW w:w="1285" w:type="dxa"/>
            <w:tcBorders>
              <w:top w:val="nil"/>
              <w:left w:val="nil"/>
              <w:bottom w:val="single" w:sz="4" w:space="0" w:color="auto"/>
              <w:right w:val="single" w:sz="4" w:space="0" w:color="auto"/>
            </w:tcBorders>
            <w:noWrap/>
            <w:vAlign w:val="center"/>
            <w:hideMark/>
          </w:tcPr>
          <w:p w14:paraId="058C0E61"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3.000,00 </w:t>
            </w:r>
          </w:p>
        </w:tc>
        <w:tc>
          <w:tcPr>
            <w:tcW w:w="1276" w:type="dxa"/>
            <w:tcBorders>
              <w:top w:val="nil"/>
              <w:left w:val="nil"/>
              <w:bottom w:val="single" w:sz="4" w:space="0" w:color="auto"/>
              <w:right w:val="nil"/>
            </w:tcBorders>
            <w:noWrap/>
            <w:vAlign w:val="center"/>
            <w:hideMark/>
          </w:tcPr>
          <w:p w14:paraId="691043BA"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12.000,00 </w:t>
            </w:r>
          </w:p>
        </w:tc>
        <w:tc>
          <w:tcPr>
            <w:tcW w:w="851" w:type="dxa"/>
            <w:tcBorders>
              <w:top w:val="nil"/>
              <w:left w:val="single" w:sz="4" w:space="0" w:color="auto"/>
              <w:bottom w:val="single" w:sz="4" w:space="0" w:color="auto"/>
              <w:right w:val="single" w:sz="4" w:space="0" w:color="auto"/>
            </w:tcBorders>
            <w:vAlign w:val="center"/>
            <w:hideMark/>
          </w:tcPr>
          <w:p w14:paraId="30032205" w14:textId="77777777" w:rsidR="00F0133E" w:rsidRDefault="00F0133E">
            <w:pPr>
              <w:jc w:val="center"/>
              <w:rPr>
                <w:rFonts w:asciiTheme="minorHAnsi" w:hAnsiTheme="minorHAnsi" w:cstheme="minorHAnsi"/>
                <w:i/>
                <w:iCs/>
                <w:color w:val="000000" w:themeColor="text1"/>
                <w:sz w:val="18"/>
                <w:szCs w:val="18"/>
                <w:lang w:eastAsia="en-US"/>
              </w:rPr>
            </w:pPr>
            <w:r>
              <w:rPr>
                <w:rFonts w:asciiTheme="minorHAnsi" w:hAnsiTheme="minorHAnsi" w:cstheme="minorHAnsi"/>
                <w:i/>
                <w:iCs/>
                <w:color w:val="000000" w:themeColor="text1"/>
                <w:sz w:val="18"/>
                <w:szCs w:val="18"/>
                <w:lang w:eastAsia="en-US"/>
              </w:rPr>
              <w:t>28</w:t>
            </w:r>
          </w:p>
        </w:tc>
        <w:tc>
          <w:tcPr>
            <w:tcW w:w="236" w:type="dxa"/>
            <w:vAlign w:val="center"/>
            <w:hideMark/>
          </w:tcPr>
          <w:p w14:paraId="033CDF6E" w14:textId="77777777" w:rsidR="00F0133E" w:rsidRDefault="00F0133E">
            <w:pPr>
              <w:rPr>
                <w:rFonts w:asciiTheme="minorHAnsi" w:hAnsiTheme="minorHAnsi" w:cstheme="minorHAnsi"/>
                <w:i/>
                <w:iCs/>
                <w:color w:val="000000" w:themeColor="text1"/>
                <w:sz w:val="18"/>
                <w:szCs w:val="18"/>
                <w:lang w:eastAsia="en-US"/>
              </w:rPr>
            </w:pPr>
          </w:p>
        </w:tc>
      </w:tr>
      <w:tr w:rsidR="00F0133E" w14:paraId="5EEC02A8"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24A7354E"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DB4BE23"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59EF2585"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467F533B"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1DA8D833"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71300</w:t>
            </w:r>
          </w:p>
        </w:tc>
        <w:tc>
          <w:tcPr>
            <w:tcW w:w="1846" w:type="dxa"/>
            <w:tcBorders>
              <w:top w:val="nil"/>
              <w:left w:val="nil"/>
              <w:bottom w:val="single" w:sz="4" w:space="0" w:color="auto"/>
              <w:right w:val="single" w:sz="4" w:space="0" w:color="auto"/>
            </w:tcBorders>
            <w:vAlign w:val="center"/>
            <w:hideMark/>
          </w:tcPr>
          <w:p w14:paraId="717AE73A" w14:textId="77777777" w:rsidR="00F0133E" w:rsidRDefault="00F0133E">
            <w:pP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Local Consultants</w:t>
            </w:r>
          </w:p>
        </w:tc>
        <w:tc>
          <w:tcPr>
            <w:tcW w:w="1281" w:type="dxa"/>
            <w:tcBorders>
              <w:top w:val="nil"/>
              <w:left w:val="nil"/>
              <w:bottom w:val="single" w:sz="4" w:space="0" w:color="auto"/>
              <w:right w:val="single" w:sz="4" w:space="0" w:color="auto"/>
            </w:tcBorders>
            <w:noWrap/>
            <w:vAlign w:val="center"/>
            <w:hideMark/>
          </w:tcPr>
          <w:p w14:paraId="13059FF2"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25.157,00 </w:t>
            </w:r>
          </w:p>
        </w:tc>
        <w:tc>
          <w:tcPr>
            <w:tcW w:w="1276" w:type="dxa"/>
            <w:tcBorders>
              <w:top w:val="nil"/>
              <w:left w:val="nil"/>
              <w:bottom w:val="single" w:sz="4" w:space="0" w:color="auto"/>
              <w:right w:val="single" w:sz="4" w:space="0" w:color="auto"/>
            </w:tcBorders>
            <w:noWrap/>
            <w:vAlign w:val="center"/>
            <w:hideMark/>
          </w:tcPr>
          <w:p w14:paraId="59D5D4C3"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25.157,00 </w:t>
            </w:r>
          </w:p>
        </w:tc>
        <w:tc>
          <w:tcPr>
            <w:tcW w:w="1276" w:type="dxa"/>
            <w:tcBorders>
              <w:top w:val="nil"/>
              <w:left w:val="nil"/>
              <w:bottom w:val="single" w:sz="4" w:space="0" w:color="auto"/>
              <w:right w:val="single" w:sz="4" w:space="0" w:color="auto"/>
            </w:tcBorders>
            <w:noWrap/>
            <w:vAlign w:val="center"/>
            <w:hideMark/>
          </w:tcPr>
          <w:p w14:paraId="7B503279"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25.157,00 </w:t>
            </w:r>
          </w:p>
        </w:tc>
        <w:tc>
          <w:tcPr>
            <w:tcW w:w="1285" w:type="dxa"/>
            <w:tcBorders>
              <w:top w:val="nil"/>
              <w:left w:val="nil"/>
              <w:bottom w:val="single" w:sz="4" w:space="0" w:color="auto"/>
              <w:right w:val="single" w:sz="4" w:space="0" w:color="auto"/>
            </w:tcBorders>
            <w:noWrap/>
            <w:vAlign w:val="center"/>
            <w:hideMark/>
          </w:tcPr>
          <w:p w14:paraId="4EAD52E7"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25.157,00 </w:t>
            </w:r>
          </w:p>
        </w:tc>
        <w:tc>
          <w:tcPr>
            <w:tcW w:w="1276" w:type="dxa"/>
            <w:tcBorders>
              <w:top w:val="nil"/>
              <w:left w:val="nil"/>
              <w:bottom w:val="single" w:sz="4" w:space="0" w:color="auto"/>
              <w:right w:val="nil"/>
            </w:tcBorders>
            <w:noWrap/>
            <w:vAlign w:val="center"/>
            <w:hideMark/>
          </w:tcPr>
          <w:p w14:paraId="6A524700" w14:textId="77777777" w:rsidR="00F0133E" w:rsidRDefault="00F0133E">
            <w:pPr>
              <w:jc w:val="center"/>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            100.628,00 </w:t>
            </w:r>
          </w:p>
        </w:tc>
        <w:tc>
          <w:tcPr>
            <w:tcW w:w="851" w:type="dxa"/>
            <w:tcBorders>
              <w:top w:val="nil"/>
              <w:left w:val="single" w:sz="4" w:space="0" w:color="auto"/>
              <w:bottom w:val="single" w:sz="4" w:space="0" w:color="auto"/>
              <w:right w:val="single" w:sz="4" w:space="0" w:color="auto"/>
            </w:tcBorders>
            <w:vAlign w:val="center"/>
            <w:hideMark/>
          </w:tcPr>
          <w:p w14:paraId="717AB818" w14:textId="77777777" w:rsidR="00F0133E" w:rsidRDefault="00F0133E">
            <w:pPr>
              <w:jc w:val="center"/>
              <w:rPr>
                <w:rFonts w:asciiTheme="minorHAnsi" w:hAnsiTheme="minorHAnsi" w:cstheme="minorHAnsi"/>
                <w:i/>
                <w:iCs/>
                <w:color w:val="000000" w:themeColor="text1"/>
                <w:sz w:val="18"/>
                <w:szCs w:val="18"/>
                <w:lang w:eastAsia="en-US"/>
              </w:rPr>
            </w:pPr>
            <w:r>
              <w:rPr>
                <w:rFonts w:asciiTheme="minorHAnsi" w:hAnsiTheme="minorHAnsi" w:cstheme="minorHAnsi"/>
                <w:i/>
                <w:iCs/>
                <w:color w:val="000000" w:themeColor="text1"/>
                <w:sz w:val="18"/>
                <w:szCs w:val="18"/>
                <w:lang w:eastAsia="en-US"/>
              </w:rPr>
              <w:t>29</w:t>
            </w:r>
          </w:p>
        </w:tc>
        <w:tc>
          <w:tcPr>
            <w:tcW w:w="236" w:type="dxa"/>
            <w:vAlign w:val="center"/>
            <w:hideMark/>
          </w:tcPr>
          <w:p w14:paraId="0BF55C8B" w14:textId="77777777" w:rsidR="00F0133E" w:rsidRDefault="00F0133E">
            <w:pPr>
              <w:rPr>
                <w:rFonts w:asciiTheme="minorHAnsi" w:hAnsiTheme="minorHAnsi" w:cstheme="minorHAnsi"/>
                <w:i/>
                <w:iCs/>
                <w:color w:val="000000" w:themeColor="text1"/>
                <w:sz w:val="18"/>
                <w:szCs w:val="18"/>
                <w:lang w:eastAsia="en-US"/>
              </w:rPr>
            </w:pPr>
          </w:p>
        </w:tc>
      </w:tr>
      <w:tr w:rsidR="00F0133E" w14:paraId="259A6A25"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1F2ECFC9"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61E602F2"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500BEF34"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74E4904E"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7F80E82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71600</w:t>
            </w:r>
          </w:p>
        </w:tc>
        <w:tc>
          <w:tcPr>
            <w:tcW w:w="1846" w:type="dxa"/>
            <w:tcBorders>
              <w:top w:val="nil"/>
              <w:left w:val="nil"/>
              <w:bottom w:val="single" w:sz="4" w:space="0" w:color="auto"/>
              <w:right w:val="single" w:sz="4" w:space="0" w:color="auto"/>
            </w:tcBorders>
            <w:vAlign w:val="center"/>
            <w:hideMark/>
          </w:tcPr>
          <w:p w14:paraId="0F5849FD"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Travel</w:t>
            </w:r>
          </w:p>
        </w:tc>
        <w:tc>
          <w:tcPr>
            <w:tcW w:w="1281" w:type="dxa"/>
            <w:tcBorders>
              <w:top w:val="nil"/>
              <w:left w:val="nil"/>
              <w:bottom w:val="single" w:sz="4" w:space="0" w:color="auto"/>
              <w:right w:val="single" w:sz="4" w:space="0" w:color="auto"/>
            </w:tcBorders>
            <w:noWrap/>
            <w:vAlign w:val="center"/>
            <w:hideMark/>
          </w:tcPr>
          <w:p w14:paraId="491B2C9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76" w:type="dxa"/>
            <w:tcBorders>
              <w:top w:val="nil"/>
              <w:left w:val="nil"/>
              <w:bottom w:val="single" w:sz="4" w:space="0" w:color="auto"/>
              <w:right w:val="single" w:sz="4" w:space="0" w:color="auto"/>
            </w:tcBorders>
            <w:noWrap/>
            <w:vAlign w:val="center"/>
            <w:hideMark/>
          </w:tcPr>
          <w:p w14:paraId="3289F00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76" w:type="dxa"/>
            <w:tcBorders>
              <w:top w:val="nil"/>
              <w:left w:val="nil"/>
              <w:bottom w:val="single" w:sz="4" w:space="0" w:color="auto"/>
              <w:right w:val="single" w:sz="4" w:space="0" w:color="auto"/>
            </w:tcBorders>
            <w:noWrap/>
            <w:vAlign w:val="center"/>
            <w:hideMark/>
          </w:tcPr>
          <w:p w14:paraId="70CAE4B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85" w:type="dxa"/>
            <w:tcBorders>
              <w:top w:val="nil"/>
              <w:left w:val="nil"/>
              <w:bottom w:val="single" w:sz="4" w:space="0" w:color="auto"/>
              <w:right w:val="single" w:sz="4" w:space="0" w:color="auto"/>
            </w:tcBorders>
            <w:noWrap/>
            <w:vAlign w:val="center"/>
            <w:hideMark/>
          </w:tcPr>
          <w:p w14:paraId="32B5DB1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76" w:type="dxa"/>
            <w:tcBorders>
              <w:top w:val="nil"/>
              <w:left w:val="nil"/>
              <w:bottom w:val="single" w:sz="4" w:space="0" w:color="auto"/>
              <w:right w:val="nil"/>
            </w:tcBorders>
            <w:noWrap/>
            <w:vAlign w:val="center"/>
            <w:hideMark/>
          </w:tcPr>
          <w:p w14:paraId="05A3A0B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10.000,00 </w:t>
            </w:r>
          </w:p>
        </w:tc>
        <w:tc>
          <w:tcPr>
            <w:tcW w:w="851" w:type="dxa"/>
            <w:tcBorders>
              <w:top w:val="nil"/>
              <w:left w:val="single" w:sz="4" w:space="0" w:color="auto"/>
              <w:bottom w:val="single" w:sz="4" w:space="0" w:color="auto"/>
              <w:right w:val="single" w:sz="4" w:space="0" w:color="auto"/>
            </w:tcBorders>
            <w:vAlign w:val="center"/>
            <w:hideMark/>
          </w:tcPr>
          <w:p w14:paraId="715909EE"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30</w:t>
            </w:r>
          </w:p>
        </w:tc>
        <w:tc>
          <w:tcPr>
            <w:tcW w:w="236" w:type="dxa"/>
            <w:vAlign w:val="center"/>
            <w:hideMark/>
          </w:tcPr>
          <w:p w14:paraId="7FDEE8EB" w14:textId="77777777" w:rsidR="00F0133E" w:rsidRDefault="00F0133E">
            <w:pPr>
              <w:rPr>
                <w:rFonts w:asciiTheme="minorHAnsi" w:hAnsiTheme="minorHAnsi" w:cstheme="minorHAnsi"/>
                <w:i/>
                <w:iCs/>
                <w:color w:val="000000"/>
                <w:sz w:val="18"/>
                <w:szCs w:val="18"/>
                <w:lang w:eastAsia="en-US"/>
              </w:rPr>
            </w:pPr>
          </w:p>
        </w:tc>
      </w:tr>
      <w:tr w:rsidR="00F0133E" w14:paraId="6C6E3B2A"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2FE6E123"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4757D16F"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0F0A6160"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1C464F62"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50601C3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72400</w:t>
            </w:r>
          </w:p>
        </w:tc>
        <w:tc>
          <w:tcPr>
            <w:tcW w:w="1846" w:type="dxa"/>
            <w:tcBorders>
              <w:top w:val="nil"/>
              <w:left w:val="nil"/>
              <w:bottom w:val="single" w:sz="4" w:space="0" w:color="auto"/>
              <w:right w:val="single" w:sz="4" w:space="0" w:color="auto"/>
            </w:tcBorders>
            <w:vAlign w:val="center"/>
            <w:hideMark/>
          </w:tcPr>
          <w:p w14:paraId="12278456"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Communications &amp; Audio-Visual Equipment</w:t>
            </w:r>
          </w:p>
        </w:tc>
        <w:tc>
          <w:tcPr>
            <w:tcW w:w="1281" w:type="dxa"/>
            <w:tcBorders>
              <w:top w:val="nil"/>
              <w:left w:val="nil"/>
              <w:bottom w:val="single" w:sz="4" w:space="0" w:color="auto"/>
              <w:right w:val="single" w:sz="4" w:space="0" w:color="auto"/>
            </w:tcBorders>
            <w:noWrap/>
            <w:vAlign w:val="center"/>
            <w:hideMark/>
          </w:tcPr>
          <w:p w14:paraId="110C919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76" w:type="dxa"/>
            <w:tcBorders>
              <w:top w:val="nil"/>
              <w:left w:val="nil"/>
              <w:bottom w:val="single" w:sz="4" w:space="0" w:color="auto"/>
              <w:right w:val="single" w:sz="4" w:space="0" w:color="auto"/>
            </w:tcBorders>
            <w:noWrap/>
            <w:vAlign w:val="center"/>
            <w:hideMark/>
          </w:tcPr>
          <w:p w14:paraId="2A3AFA9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76" w:type="dxa"/>
            <w:tcBorders>
              <w:top w:val="nil"/>
              <w:left w:val="nil"/>
              <w:bottom w:val="single" w:sz="4" w:space="0" w:color="auto"/>
              <w:right w:val="single" w:sz="4" w:space="0" w:color="auto"/>
            </w:tcBorders>
            <w:noWrap/>
            <w:vAlign w:val="center"/>
            <w:hideMark/>
          </w:tcPr>
          <w:p w14:paraId="33AD5D4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85" w:type="dxa"/>
            <w:tcBorders>
              <w:top w:val="nil"/>
              <w:left w:val="nil"/>
              <w:bottom w:val="single" w:sz="4" w:space="0" w:color="auto"/>
              <w:right w:val="single" w:sz="4" w:space="0" w:color="auto"/>
            </w:tcBorders>
            <w:noWrap/>
            <w:vAlign w:val="center"/>
            <w:hideMark/>
          </w:tcPr>
          <w:p w14:paraId="1CE083DA"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2.500,00 </w:t>
            </w:r>
          </w:p>
        </w:tc>
        <w:tc>
          <w:tcPr>
            <w:tcW w:w="1276" w:type="dxa"/>
            <w:tcBorders>
              <w:top w:val="nil"/>
              <w:left w:val="nil"/>
              <w:bottom w:val="single" w:sz="4" w:space="0" w:color="auto"/>
              <w:right w:val="nil"/>
            </w:tcBorders>
            <w:noWrap/>
            <w:vAlign w:val="center"/>
            <w:hideMark/>
          </w:tcPr>
          <w:p w14:paraId="6C2EFCD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10.000,00 </w:t>
            </w:r>
          </w:p>
        </w:tc>
        <w:tc>
          <w:tcPr>
            <w:tcW w:w="851" w:type="dxa"/>
            <w:tcBorders>
              <w:top w:val="nil"/>
              <w:left w:val="single" w:sz="4" w:space="0" w:color="auto"/>
              <w:bottom w:val="single" w:sz="4" w:space="0" w:color="auto"/>
              <w:right w:val="single" w:sz="4" w:space="0" w:color="auto"/>
            </w:tcBorders>
            <w:vAlign w:val="center"/>
            <w:hideMark/>
          </w:tcPr>
          <w:p w14:paraId="61A78CBD"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31</w:t>
            </w:r>
          </w:p>
        </w:tc>
        <w:tc>
          <w:tcPr>
            <w:tcW w:w="236" w:type="dxa"/>
            <w:vAlign w:val="center"/>
            <w:hideMark/>
          </w:tcPr>
          <w:p w14:paraId="73CF2292" w14:textId="77777777" w:rsidR="00F0133E" w:rsidRDefault="00F0133E">
            <w:pPr>
              <w:rPr>
                <w:rFonts w:asciiTheme="minorHAnsi" w:hAnsiTheme="minorHAnsi" w:cstheme="minorHAnsi"/>
                <w:i/>
                <w:iCs/>
                <w:color w:val="000000"/>
                <w:sz w:val="18"/>
                <w:szCs w:val="18"/>
                <w:lang w:eastAsia="en-US"/>
              </w:rPr>
            </w:pPr>
          </w:p>
        </w:tc>
      </w:tr>
      <w:tr w:rsidR="00F0133E" w14:paraId="5484404D"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5BE0AB79"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551F2C7A"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27FA3743"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4526D13E"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7D36116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72500</w:t>
            </w:r>
          </w:p>
        </w:tc>
        <w:tc>
          <w:tcPr>
            <w:tcW w:w="1846" w:type="dxa"/>
            <w:tcBorders>
              <w:top w:val="nil"/>
              <w:left w:val="nil"/>
              <w:bottom w:val="single" w:sz="4" w:space="0" w:color="auto"/>
              <w:right w:val="single" w:sz="4" w:space="0" w:color="auto"/>
            </w:tcBorders>
            <w:vAlign w:val="center"/>
            <w:hideMark/>
          </w:tcPr>
          <w:p w14:paraId="1E47CE54"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Supplies</w:t>
            </w:r>
          </w:p>
        </w:tc>
        <w:tc>
          <w:tcPr>
            <w:tcW w:w="1281" w:type="dxa"/>
            <w:tcBorders>
              <w:top w:val="nil"/>
              <w:left w:val="nil"/>
              <w:bottom w:val="single" w:sz="4" w:space="0" w:color="auto"/>
              <w:right w:val="single" w:sz="4" w:space="0" w:color="auto"/>
            </w:tcBorders>
            <w:noWrap/>
            <w:vAlign w:val="center"/>
            <w:hideMark/>
          </w:tcPr>
          <w:p w14:paraId="43C341DC"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7.500,00 </w:t>
            </w:r>
          </w:p>
        </w:tc>
        <w:tc>
          <w:tcPr>
            <w:tcW w:w="1276" w:type="dxa"/>
            <w:tcBorders>
              <w:top w:val="nil"/>
              <w:left w:val="nil"/>
              <w:bottom w:val="single" w:sz="4" w:space="0" w:color="auto"/>
              <w:right w:val="single" w:sz="4" w:space="0" w:color="auto"/>
            </w:tcBorders>
            <w:noWrap/>
            <w:vAlign w:val="center"/>
            <w:hideMark/>
          </w:tcPr>
          <w:p w14:paraId="34C26A7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7.500,00 </w:t>
            </w:r>
          </w:p>
        </w:tc>
        <w:tc>
          <w:tcPr>
            <w:tcW w:w="1276" w:type="dxa"/>
            <w:tcBorders>
              <w:top w:val="nil"/>
              <w:left w:val="nil"/>
              <w:bottom w:val="single" w:sz="4" w:space="0" w:color="auto"/>
              <w:right w:val="single" w:sz="4" w:space="0" w:color="auto"/>
            </w:tcBorders>
            <w:noWrap/>
            <w:vAlign w:val="center"/>
            <w:hideMark/>
          </w:tcPr>
          <w:p w14:paraId="217C27E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7.500,00 </w:t>
            </w:r>
          </w:p>
        </w:tc>
        <w:tc>
          <w:tcPr>
            <w:tcW w:w="1285" w:type="dxa"/>
            <w:tcBorders>
              <w:top w:val="nil"/>
              <w:left w:val="nil"/>
              <w:bottom w:val="single" w:sz="4" w:space="0" w:color="auto"/>
              <w:right w:val="single" w:sz="4" w:space="0" w:color="auto"/>
            </w:tcBorders>
            <w:noWrap/>
            <w:vAlign w:val="center"/>
            <w:hideMark/>
          </w:tcPr>
          <w:p w14:paraId="3312E73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7.500,00 </w:t>
            </w:r>
          </w:p>
        </w:tc>
        <w:tc>
          <w:tcPr>
            <w:tcW w:w="1276" w:type="dxa"/>
            <w:tcBorders>
              <w:top w:val="nil"/>
              <w:left w:val="nil"/>
              <w:bottom w:val="single" w:sz="4" w:space="0" w:color="auto"/>
              <w:right w:val="nil"/>
            </w:tcBorders>
            <w:noWrap/>
            <w:vAlign w:val="center"/>
            <w:hideMark/>
          </w:tcPr>
          <w:p w14:paraId="773CE1D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30.000,00 </w:t>
            </w:r>
          </w:p>
        </w:tc>
        <w:tc>
          <w:tcPr>
            <w:tcW w:w="851" w:type="dxa"/>
            <w:tcBorders>
              <w:top w:val="nil"/>
              <w:left w:val="single" w:sz="4" w:space="0" w:color="auto"/>
              <w:bottom w:val="single" w:sz="4" w:space="0" w:color="auto"/>
              <w:right w:val="single" w:sz="4" w:space="0" w:color="auto"/>
            </w:tcBorders>
            <w:vAlign w:val="center"/>
            <w:hideMark/>
          </w:tcPr>
          <w:p w14:paraId="75B13CDD"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32</w:t>
            </w:r>
          </w:p>
        </w:tc>
        <w:tc>
          <w:tcPr>
            <w:tcW w:w="236" w:type="dxa"/>
            <w:vAlign w:val="center"/>
            <w:hideMark/>
          </w:tcPr>
          <w:p w14:paraId="2B78CE04" w14:textId="77777777" w:rsidR="00F0133E" w:rsidRDefault="00F0133E">
            <w:pPr>
              <w:rPr>
                <w:rFonts w:asciiTheme="minorHAnsi" w:hAnsiTheme="minorHAnsi" w:cstheme="minorHAnsi"/>
                <w:i/>
                <w:iCs/>
                <w:color w:val="000000"/>
                <w:sz w:val="18"/>
                <w:szCs w:val="18"/>
                <w:lang w:eastAsia="en-US"/>
              </w:rPr>
            </w:pPr>
          </w:p>
        </w:tc>
      </w:tr>
      <w:tr w:rsidR="00F0133E" w14:paraId="17D111D0"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70A3A36F"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50C1D4E1"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3710A9CF"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154F3D86"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1BF7F08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74500</w:t>
            </w:r>
          </w:p>
        </w:tc>
        <w:tc>
          <w:tcPr>
            <w:tcW w:w="1846" w:type="dxa"/>
            <w:tcBorders>
              <w:top w:val="nil"/>
              <w:left w:val="nil"/>
              <w:bottom w:val="single" w:sz="4" w:space="0" w:color="auto"/>
              <w:right w:val="single" w:sz="4" w:space="0" w:color="auto"/>
            </w:tcBorders>
            <w:vAlign w:val="center"/>
            <w:hideMark/>
          </w:tcPr>
          <w:p w14:paraId="11D45E3E" w14:textId="77777777" w:rsidR="00F0133E" w:rsidRDefault="00F0133E">
            <w:pP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Miscellaneous Expenses</w:t>
            </w:r>
          </w:p>
        </w:tc>
        <w:tc>
          <w:tcPr>
            <w:tcW w:w="1281" w:type="dxa"/>
            <w:tcBorders>
              <w:top w:val="nil"/>
              <w:left w:val="nil"/>
              <w:bottom w:val="single" w:sz="4" w:space="0" w:color="auto"/>
              <w:right w:val="single" w:sz="4" w:space="0" w:color="auto"/>
            </w:tcBorders>
            <w:noWrap/>
            <w:vAlign w:val="center"/>
            <w:hideMark/>
          </w:tcPr>
          <w:p w14:paraId="1B301E2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2001AFC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single" w:sz="4" w:space="0" w:color="auto"/>
            </w:tcBorders>
            <w:noWrap/>
            <w:vAlign w:val="center"/>
            <w:hideMark/>
          </w:tcPr>
          <w:p w14:paraId="7BC08D66"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85" w:type="dxa"/>
            <w:tcBorders>
              <w:top w:val="nil"/>
              <w:left w:val="nil"/>
              <w:bottom w:val="single" w:sz="4" w:space="0" w:color="auto"/>
              <w:right w:val="single" w:sz="4" w:space="0" w:color="auto"/>
            </w:tcBorders>
            <w:noWrap/>
            <w:vAlign w:val="center"/>
            <w:hideMark/>
          </w:tcPr>
          <w:p w14:paraId="24FD7FC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5.000,00 </w:t>
            </w:r>
          </w:p>
        </w:tc>
        <w:tc>
          <w:tcPr>
            <w:tcW w:w="1276" w:type="dxa"/>
            <w:tcBorders>
              <w:top w:val="nil"/>
              <w:left w:val="nil"/>
              <w:bottom w:val="single" w:sz="4" w:space="0" w:color="auto"/>
              <w:right w:val="nil"/>
            </w:tcBorders>
            <w:noWrap/>
            <w:vAlign w:val="center"/>
            <w:hideMark/>
          </w:tcPr>
          <w:p w14:paraId="2C1C141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20.000,00 </w:t>
            </w:r>
          </w:p>
        </w:tc>
        <w:tc>
          <w:tcPr>
            <w:tcW w:w="851" w:type="dxa"/>
            <w:tcBorders>
              <w:top w:val="nil"/>
              <w:left w:val="single" w:sz="4" w:space="0" w:color="auto"/>
              <w:bottom w:val="single" w:sz="4" w:space="0" w:color="auto"/>
              <w:right w:val="single" w:sz="4" w:space="0" w:color="auto"/>
            </w:tcBorders>
            <w:vAlign w:val="center"/>
            <w:hideMark/>
          </w:tcPr>
          <w:p w14:paraId="4C3AA60B"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33</w:t>
            </w:r>
          </w:p>
        </w:tc>
        <w:tc>
          <w:tcPr>
            <w:tcW w:w="236" w:type="dxa"/>
            <w:vAlign w:val="center"/>
            <w:hideMark/>
          </w:tcPr>
          <w:p w14:paraId="0100D3FC" w14:textId="77777777" w:rsidR="00F0133E" w:rsidRDefault="00F0133E">
            <w:pPr>
              <w:rPr>
                <w:rFonts w:asciiTheme="minorHAnsi" w:hAnsiTheme="minorHAnsi" w:cstheme="minorHAnsi"/>
                <w:i/>
                <w:iCs/>
                <w:color w:val="000000"/>
                <w:sz w:val="18"/>
                <w:szCs w:val="18"/>
                <w:lang w:eastAsia="en-US"/>
              </w:rPr>
            </w:pPr>
          </w:p>
        </w:tc>
      </w:tr>
      <w:tr w:rsidR="00F0133E" w14:paraId="6E809A6D"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4AA512EF"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39D42CE9"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1BCBACC8"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6FB028BB"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single" w:sz="4" w:space="0" w:color="auto"/>
              <w:right w:val="single" w:sz="4" w:space="0" w:color="auto"/>
            </w:tcBorders>
            <w:noWrap/>
            <w:vAlign w:val="center"/>
            <w:hideMark/>
          </w:tcPr>
          <w:p w14:paraId="541770F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single" w:sz="4" w:space="0" w:color="auto"/>
              <w:right w:val="single" w:sz="4" w:space="0" w:color="auto"/>
            </w:tcBorders>
            <w:shd w:val="clear" w:color="auto" w:fill="E7E6E6"/>
            <w:noWrap/>
            <w:vAlign w:val="center"/>
            <w:hideMark/>
          </w:tcPr>
          <w:p w14:paraId="225678D9"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sub-total GEF</w:t>
            </w:r>
          </w:p>
        </w:tc>
        <w:tc>
          <w:tcPr>
            <w:tcW w:w="1281" w:type="dxa"/>
            <w:tcBorders>
              <w:top w:val="nil"/>
              <w:left w:val="nil"/>
              <w:bottom w:val="single" w:sz="4" w:space="0" w:color="auto"/>
              <w:right w:val="single" w:sz="4" w:space="0" w:color="auto"/>
            </w:tcBorders>
            <w:shd w:val="clear" w:color="auto" w:fill="E7E6E6"/>
            <w:noWrap/>
            <w:vAlign w:val="center"/>
            <w:hideMark/>
          </w:tcPr>
          <w:p w14:paraId="6A66D5A0"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76" w:type="dxa"/>
            <w:tcBorders>
              <w:top w:val="nil"/>
              <w:left w:val="nil"/>
              <w:bottom w:val="single" w:sz="4" w:space="0" w:color="auto"/>
              <w:right w:val="single" w:sz="4" w:space="0" w:color="auto"/>
            </w:tcBorders>
            <w:shd w:val="clear" w:color="auto" w:fill="E7E6E6"/>
            <w:noWrap/>
            <w:vAlign w:val="center"/>
            <w:hideMark/>
          </w:tcPr>
          <w:p w14:paraId="061E4F31"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76" w:type="dxa"/>
            <w:tcBorders>
              <w:top w:val="nil"/>
              <w:left w:val="nil"/>
              <w:bottom w:val="single" w:sz="4" w:space="0" w:color="auto"/>
              <w:right w:val="single" w:sz="4" w:space="0" w:color="auto"/>
            </w:tcBorders>
            <w:shd w:val="clear" w:color="auto" w:fill="E7E6E6"/>
            <w:noWrap/>
            <w:vAlign w:val="center"/>
            <w:hideMark/>
          </w:tcPr>
          <w:p w14:paraId="53D0CC23"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85" w:type="dxa"/>
            <w:tcBorders>
              <w:top w:val="nil"/>
              <w:left w:val="nil"/>
              <w:bottom w:val="single" w:sz="4" w:space="0" w:color="auto"/>
              <w:right w:val="single" w:sz="4" w:space="0" w:color="auto"/>
            </w:tcBorders>
            <w:shd w:val="clear" w:color="auto" w:fill="E7E6E6"/>
            <w:noWrap/>
            <w:vAlign w:val="center"/>
            <w:hideMark/>
          </w:tcPr>
          <w:p w14:paraId="0C34438B"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76" w:type="dxa"/>
            <w:tcBorders>
              <w:top w:val="nil"/>
              <w:left w:val="nil"/>
              <w:bottom w:val="single" w:sz="4" w:space="0" w:color="auto"/>
              <w:right w:val="nil"/>
            </w:tcBorders>
            <w:shd w:val="clear" w:color="auto" w:fill="E7E6E6"/>
            <w:noWrap/>
            <w:vAlign w:val="center"/>
            <w:hideMark/>
          </w:tcPr>
          <w:p w14:paraId="4C0FE364"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241.500,00 </w:t>
            </w:r>
          </w:p>
        </w:tc>
        <w:tc>
          <w:tcPr>
            <w:tcW w:w="851" w:type="dxa"/>
            <w:tcBorders>
              <w:top w:val="nil"/>
              <w:left w:val="single" w:sz="4" w:space="0" w:color="auto"/>
              <w:bottom w:val="single" w:sz="4" w:space="0" w:color="auto"/>
              <w:right w:val="single" w:sz="4" w:space="0" w:color="auto"/>
            </w:tcBorders>
            <w:vAlign w:val="center"/>
            <w:hideMark/>
          </w:tcPr>
          <w:p w14:paraId="18936080"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68E9DAED" w14:textId="77777777" w:rsidR="00F0133E" w:rsidRDefault="00F0133E">
            <w:pPr>
              <w:rPr>
                <w:rFonts w:asciiTheme="minorHAnsi" w:hAnsiTheme="minorHAnsi" w:cstheme="minorHAnsi"/>
                <w:i/>
                <w:iCs/>
                <w:color w:val="000000"/>
                <w:sz w:val="18"/>
                <w:szCs w:val="18"/>
                <w:lang w:eastAsia="en-US"/>
              </w:rPr>
            </w:pPr>
          </w:p>
        </w:tc>
      </w:tr>
      <w:tr w:rsidR="00F0133E" w14:paraId="3BEB2A0C" w14:textId="77777777" w:rsidTr="00F0133E">
        <w:trPr>
          <w:trHeight w:val="300"/>
        </w:trPr>
        <w:tc>
          <w:tcPr>
            <w:tcW w:w="1804" w:type="dxa"/>
            <w:vMerge/>
            <w:tcBorders>
              <w:top w:val="nil"/>
              <w:left w:val="single" w:sz="8" w:space="0" w:color="auto"/>
              <w:bottom w:val="nil"/>
              <w:right w:val="single" w:sz="4" w:space="0" w:color="auto"/>
            </w:tcBorders>
            <w:vAlign w:val="center"/>
            <w:hideMark/>
          </w:tcPr>
          <w:p w14:paraId="56B129C1" w14:textId="77777777" w:rsidR="00F0133E" w:rsidRDefault="00F0133E">
            <w:pPr>
              <w:rPr>
                <w:rFonts w:asciiTheme="minorHAnsi" w:hAnsiTheme="minorHAnsi" w:cstheme="minorHAnsi"/>
                <w:b/>
                <w:bCs/>
                <w:color w:val="000000"/>
                <w:sz w:val="18"/>
                <w:szCs w:val="18"/>
                <w:lang w:eastAsia="en-US"/>
              </w:rPr>
            </w:pPr>
          </w:p>
        </w:tc>
        <w:tc>
          <w:tcPr>
            <w:tcW w:w="1264" w:type="dxa"/>
            <w:vMerge/>
            <w:tcBorders>
              <w:top w:val="nil"/>
              <w:left w:val="single" w:sz="4" w:space="0" w:color="auto"/>
              <w:bottom w:val="single" w:sz="4" w:space="0" w:color="auto"/>
              <w:right w:val="single" w:sz="4" w:space="0" w:color="auto"/>
            </w:tcBorders>
            <w:vAlign w:val="center"/>
            <w:hideMark/>
          </w:tcPr>
          <w:p w14:paraId="659BA927" w14:textId="77777777" w:rsidR="00F0133E" w:rsidRDefault="00F0133E">
            <w:pPr>
              <w:rPr>
                <w:rFonts w:asciiTheme="minorHAnsi" w:hAnsiTheme="minorHAnsi" w:cstheme="minorHAnsi"/>
                <w:b/>
                <w:bCs/>
                <w:color w:val="000000"/>
                <w:sz w:val="18"/>
                <w:szCs w:val="18"/>
                <w:lang w:eastAsia="en-US"/>
              </w:rPr>
            </w:pPr>
          </w:p>
        </w:tc>
        <w:tc>
          <w:tcPr>
            <w:tcW w:w="777" w:type="dxa"/>
            <w:vMerge/>
            <w:tcBorders>
              <w:top w:val="nil"/>
              <w:left w:val="single" w:sz="4" w:space="0" w:color="auto"/>
              <w:bottom w:val="single" w:sz="4" w:space="0" w:color="auto"/>
              <w:right w:val="single" w:sz="4" w:space="0" w:color="auto"/>
            </w:tcBorders>
            <w:vAlign w:val="center"/>
            <w:hideMark/>
          </w:tcPr>
          <w:p w14:paraId="1FB5276B" w14:textId="77777777" w:rsidR="00F0133E" w:rsidRDefault="00F0133E">
            <w:pPr>
              <w:rPr>
                <w:rFonts w:asciiTheme="minorHAnsi" w:hAnsiTheme="minorHAnsi" w:cstheme="minorHAnsi"/>
                <w:b/>
                <w:bCs/>
                <w:color w:val="000000"/>
                <w:sz w:val="18"/>
                <w:szCs w:val="18"/>
                <w:lang w:eastAsia="en-US"/>
              </w:rPr>
            </w:pPr>
          </w:p>
        </w:tc>
        <w:tc>
          <w:tcPr>
            <w:tcW w:w="683" w:type="dxa"/>
            <w:vMerge/>
            <w:tcBorders>
              <w:top w:val="nil"/>
              <w:left w:val="single" w:sz="4" w:space="0" w:color="auto"/>
              <w:bottom w:val="single" w:sz="4" w:space="0" w:color="auto"/>
              <w:right w:val="single" w:sz="4" w:space="0" w:color="auto"/>
            </w:tcBorders>
            <w:vAlign w:val="center"/>
            <w:hideMark/>
          </w:tcPr>
          <w:p w14:paraId="03B5FD14" w14:textId="77777777" w:rsidR="00F0133E" w:rsidRDefault="00F0133E">
            <w:pPr>
              <w:rPr>
                <w:rFonts w:asciiTheme="minorHAnsi" w:hAnsiTheme="minorHAnsi" w:cstheme="minorHAnsi"/>
                <w:b/>
                <w:bCs/>
                <w:color w:val="000000"/>
                <w:sz w:val="18"/>
                <w:szCs w:val="18"/>
                <w:lang w:eastAsia="en-US"/>
              </w:rPr>
            </w:pPr>
          </w:p>
        </w:tc>
        <w:tc>
          <w:tcPr>
            <w:tcW w:w="992" w:type="dxa"/>
            <w:tcBorders>
              <w:top w:val="nil"/>
              <w:left w:val="nil"/>
              <w:bottom w:val="nil"/>
              <w:right w:val="single" w:sz="4" w:space="0" w:color="auto"/>
            </w:tcBorders>
            <w:noWrap/>
            <w:vAlign w:val="center"/>
            <w:hideMark/>
          </w:tcPr>
          <w:p w14:paraId="77BAAD7F"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w:t>
            </w:r>
          </w:p>
        </w:tc>
        <w:tc>
          <w:tcPr>
            <w:tcW w:w="1846" w:type="dxa"/>
            <w:tcBorders>
              <w:top w:val="nil"/>
              <w:left w:val="nil"/>
              <w:bottom w:val="nil"/>
              <w:right w:val="single" w:sz="4" w:space="0" w:color="auto"/>
            </w:tcBorders>
            <w:shd w:val="clear" w:color="auto" w:fill="5B9BD5"/>
            <w:vAlign w:val="center"/>
            <w:hideMark/>
          </w:tcPr>
          <w:p w14:paraId="4F9EDB0B" w14:textId="77777777" w:rsidR="00F0133E" w:rsidRDefault="00F0133E">
            <w:pPr>
              <w:jc w:val="both"/>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Total Project Management</w:t>
            </w:r>
          </w:p>
        </w:tc>
        <w:tc>
          <w:tcPr>
            <w:tcW w:w="1281" w:type="dxa"/>
            <w:tcBorders>
              <w:top w:val="nil"/>
              <w:left w:val="nil"/>
              <w:bottom w:val="single" w:sz="4" w:space="0" w:color="auto"/>
              <w:right w:val="single" w:sz="4" w:space="0" w:color="auto"/>
            </w:tcBorders>
            <w:shd w:val="clear" w:color="auto" w:fill="5B9BD5"/>
            <w:noWrap/>
            <w:vAlign w:val="center"/>
            <w:hideMark/>
          </w:tcPr>
          <w:p w14:paraId="1C462338"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76" w:type="dxa"/>
            <w:tcBorders>
              <w:top w:val="nil"/>
              <w:left w:val="nil"/>
              <w:bottom w:val="single" w:sz="4" w:space="0" w:color="auto"/>
              <w:right w:val="single" w:sz="4" w:space="0" w:color="auto"/>
            </w:tcBorders>
            <w:shd w:val="clear" w:color="auto" w:fill="5B9BD5"/>
            <w:noWrap/>
            <w:vAlign w:val="center"/>
            <w:hideMark/>
          </w:tcPr>
          <w:p w14:paraId="49C1D63D"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76" w:type="dxa"/>
            <w:tcBorders>
              <w:top w:val="nil"/>
              <w:left w:val="nil"/>
              <w:bottom w:val="single" w:sz="4" w:space="0" w:color="auto"/>
              <w:right w:val="single" w:sz="4" w:space="0" w:color="auto"/>
            </w:tcBorders>
            <w:shd w:val="clear" w:color="auto" w:fill="5B9BD5"/>
            <w:noWrap/>
            <w:vAlign w:val="center"/>
            <w:hideMark/>
          </w:tcPr>
          <w:p w14:paraId="2C44B329"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85" w:type="dxa"/>
            <w:tcBorders>
              <w:top w:val="nil"/>
              <w:left w:val="nil"/>
              <w:bottom w:val="single" w:sz="4" w:space="0" w:color="auto"/>
              <w:right w:val="single" w:sz="4" w:space="0" w:color="auto"/>
            </w:tcBorders>
            <w:shd w:val="clear" w:color="auto" w:fill="5B9BD5"/>
            <w:noWrap/>
            <w:vAlign w:val="center"/>
            <w:hideMark/>
          </w:tcPr>
          <w:p w14:paraId="6299ECEE"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60.375,00 </w:t>
            </w:r>
          </w:p>
        </w:tc>
        <w:tc>
          <w:tcPr>
            <w:tcW w:w="1276" w:type="dxa"/>
            <w:tcBorders>
              <w:top w:val="nil"/>
              <w:left w:val="nil"/>
              <w:bottom w:val="single" w:sz="4" w:space="0" w:color="auto"/>
              <w:right w:val="nil"/>
            </w:tcBorders>
            <w:shd w:val="clear" w:color="auto" w:fill="5B9BD5"/>
            <w:noWrap/>
            <w:vAlign w:val="center"/>
            <w:hideMark/>
          </w:tcPr>
          <w:p w14:paraId="462359C7" w14:textId="77777777" w:rsidR="00F0133E" w:rsidRDefault="00F0133E">
            <w:pPr>
              <w:jc w:val="center"/>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 xml:space="preserve">            241.500,00 </w:t>
            </w:r>
          </w:p>
        </w:tc>
        <w:tc>
          <w:tcPr>
            <w:tcW w:w="851" w:type="dxa"/>
            <w:tcBorders>
              <w:top w:val="nil"/>
              <w:left w:val="single" w:sz="4" w:space="0" w:color="auto"/>
              <w:bottom w:val="single" w:sz="4" w:space="0" w:color="auto"/>
              <w:right w:val="single" w:sz="4" w:space="0" w:color="auto"/>
            </w:tcBorders>
            <w:vAlign w:val="center"/>
            <w:hideMark/>
          </w:tcPr>
          <w:p w14:paraId="5537EFAC"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5DF28528" w14:textId="77777777" w:rsidR="00F0133E" w:rsidRDefault="00F0133E">
            <w:pPr>
              <w:rPr>
                <w:rFonts w:asciiTheme="minorHAnsi" w:hAnsiTheme="minorHAnsi" w:cstheme="minorHAnsi"/>
                <w:i/>
                <w:iCs/>
                <w:color w:val="000000"/>
                <w:sz w:val="18"/>
                <w:szCs w:val="18"/>
                <w:lang w:eastAsia="en-US"/>
              </w:rPr>
            </w:pPr>
          </w:p>
        </w:tc>
      </w:tr>
      <w:tr w:rsidR="00F0133E" w14:paraId="29FD8C44" w14:textId="77777777" w:rsidTr="00F0133E">
        <w:trPr>
          <w:trHeight w:val="300"/>
        </w:trPr>
        <w:tc>
          <w:tcPr>
            <w:tcW w:w="1804" w:type="dxa"/>
            <w:tcBorders>
              <w:top w:val="single" w:sz="4" w:space="0" w:color="auto"/>
              <w:left w:val="single" w:sz="4" w:space="0" w:color="auto"/>
              <w:bottom w:val="single" w:sz="4" w:space="0" w:color="auto"/>
              <w:right w:val="nil"/>
            </w:tcBorders>
            <w:vAlign w:val="center"/>
            <w:hideMark/>
          </w:tcPr>
          <w:p w14:paraId="47B8D205"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SUB-TOTAL GEF</w:t>
            </w:r>
          </w:p>
        </w:tc>
        <w:tc>
          <w:tcPr>
            <w:tcW w:w="1264" w:type="dxa"/>
            <w:tcBorders>
              <w:top w:val="single" w:sz="4" w:space="0" w:color="auto"/>
              <w:left w:val="nil"/>
              <w:bottom w:val="single" w:sz="4" w:space="0" w:color="auto"/>
              <w:right w:val="nil"/>
            </w:tcBorders>
            <w:vAlign w:val="center"/>
            <w:hideMark/>
          </w:tcPr>
          <w:p w14:paraId="185DE47B"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777" w:type="dxa"/>
            <w:tcBorders>
              <w:top w:val="single" w:sz="4" w:space="0" w:color="auto"/>
              <w:left w:val="nil"/>
              <w:bottom w:val="single" w:sz="4" w:space="0" w:color="auto"/>
              <w:right w:val="nil"/>
            </w:tcBorders>
            <w:vAlign w:val="center"/>
            <w:hideMark/>
          </w:tcPr>
          <w:p w14:paraId="65131447"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683" w:type="dxa"/>
            <w:tcBorders>
              <w:top w:val="single" w:sz="4" w:space="0" w:color="auto"/>
              <w:left w:val="nil"/>
              <w:bottom w:val="single" w:sz="4" w:space="0" w:color="auto"/>
              <w:right w:val="nil"/>
            </w:tcBorders>
            <w:vAlign w:val="center"/>
            <w:hideMark/>
          </w:tcPr>
          <w:p w14:paraId="27FDE094"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992" w:type="dxa"/>
            <w:tcBorders>
              <w:top w:val="single" w:sz="4" w:space="0" w:color="auto"/>
              <w:left w:val="nil"/>
              <w:bottom w:val="single" w:sz="4" w:space="0" w:color="auto"/>
              <w:right w:val="nil"/>
            </w:tcBorders>
            <w:vAlign w:val="center"/>
            <w:hideMark/>
          </w:tcPr>
          <w:p w14:paraId="519D601C"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1846" w:type="dxa"/>
            <w:tcBorders>
              <w:top w:val="single" w:sz="4" w:space="0" w:color="auto"/>
              <w:left w:val="nil"/>
              <w:bottom w:val="single" w:sz="4" w:space="0" w:color="auto"/>
              <w:right w:val="single" w:sz="4" w:space="0" w:color="auto"/>
            </w:tcBorders>
            <w:vAlign w:val="center"/>
            <w:hideMark/>
          </w:tcPr>
          <w:p w14:paraId="1D7D03EA"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1281" w:type="dxa"/>
            <w:tcBorders>
              <w:top w:val="nil"/>
              <w:left w:val="nil"/>
              <w:bottom w:val="single" w:sz="4" w:space="0" w:color="auto"/>
              <w:right w:val="single" w:sz="4" w:space="0" w:color="auto"/>
            </w:tcBorders>
            <w:noWrap/>
            <w:vAlign w:val="center"/>
            <w:hideMark/>
          </w:tcPr>
          <w:p w14:paraId="600BF781"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1.234.675,00 </w:t>
            </w:r>
          </w:p>
        </w:tc>
        <w:tc>
          <w:tcPr>
            <w:tcW w:w="1276" w:type="dxa"/>
            <w:tcBorders>
              <w:top w:val="nil"/>
              <w:left w:val="nil"/>
              <w:bottom w:val="single" w:sz="4" w:space="0" w:color="auto"/>
              <w:right w:val="single" w:sz="4" w:space="0" w:color="auto"/>
            </w:tcBorders>
            <w:noWrap/>
            <w:vAlign w:val="center"/>
            <w:hideMark/>
          </w:tcPr>
          <w:p w14:paraId="4623055A"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1.214.675,00 </w:t>
            </w:r>
          </w:p>
        </w:tc>
        <w:tc>
          <w:tcPr>
            <w:tcW w:w="1276" w:type="dxa"/>
            <w:tcBorders>
              <w:top w:val="nil"/>
              <w:left w:val="nil"/>
              <w:bottom w:val="single" w:sz="4" w:space="0" w:color="auto"/>
              <w:right w:val="single" w:sz="4" w:space="0" w:color="auto"/>
            </w:tcBorders>
            <w:noWrap/>
            <w:vAlign w:val="center"/>
            <w:hideMark/>
          </w:tcPr>
          <w:p w14:paraId="48912057"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1.214.675,00 </w:t>
            </w:r>
          </w:p>
        </w:tc>
        <w:tc>
          <w:tcPr>
            <w:tcW w:w="1285" w:type="dxa"/>
            <w:tcBorders>
              <w:top w:val="nil"/>
              <w:left w:val="nil"/>
              <w:bottom w:val="single" w:sz="4" w:space="0" w:color="auto"/>
              <w:right w:val="single" w:sz="4" w:space="0" w:color="auto"/>
            </w:tcBorders>
            <w:noWrap/>
            <w:vAlign w:val="center"/>
            <w:hideMark/>
          </w:tcPr>
          <w:p w14:paraId="029290DC"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1.214.675,00 </w:t>
            </w:r>
          </w:p>
        </w:tc>
        <w:tc>
          <w:tcPr>
            <w:tcW w:w="1276" w:type="dxa"/>
            <w:tcBorders>
              <w:top w:val="nil"/>
              <w:left w:val="nil"/>
              <w:bottom w:val="single" w:sz="4" w:space="0" w:color="auto"/>
              <w:right w:val="nil"/>
            </w:tcBorders>
            <w:noWrap/>
            <w:vAlign w:val="center"/>
            <w:hideMark/>
          </w:tcPr>
          <w:p w14:paraId="4BCC06F0"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4.878.700,00 </w:t>
            </w:r>
          </w:p>
        </w:tc>
        <w:tc>
          <w:tcPr>
            <w:tcW w:w="851" w:type="dxa"/>
            <w:tcBorders>
              <w:top w:val="nil"/>
              <w:left w:val="single" w:sz="4" w:space="0" w:color="auto"/>
              <w:bottom w:val="single" w:sz="4" w:space="0" w:color="auto"/>
              <w:right w:val="single" w:sz="4" w:space="0" w:color="auto"/>
            </w:tcBorders>
            <w:vAlign w:val="center"/>
            <w:hideMark/>
          </w:tcPr>
          <w:p w14:paraId="6D32F5CF"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570D0820" w14:textId="77777777" w:rsidR="00F0133E" w:rsidRDefault="00F0133E">
            <w:pPr>
              <w:rPr>
                <w:rFonts w:asciiTheme="minorHAnsi" w:hAnsiTheme="minorHAnsi" w:cstheme="minorHAnsi"/>
                <w:i/>
                <w:iCs/>
                <w:color w:val="000000"/>
                <w:sz w:val="18"/>
                <w:szCs w:val="18"/>
                <w:lang w:eastAsia="en-US"/>
              </w:rPr>
            </w:pPr>
          </w:p>
        </w:tc>
      </w:tr>
      <w:tr w:rsidR="00F0133E" w14:paraId="44864A04" w14:textId="77777777" w:rsidTr="00F0133E">
        <w:trPr>
          <w:trHeight w:val="300"/>
        </w:trPr>
        <w:tc>
          <w:tcPr>
            <w:tcW w:w="1804" w:type="dxa"/>
            <w:tcBorders>
              <w:top w:val="nil"/>
              <w:left w:val="single" w:sz="4" w:space="0" w:color="auto"/>
              <w:bottom w:val="single" w:sz="4" w:space="0" w:color="auto"/>
              <w:right w:val="nil"/>
            </w:tcBorders>
            <w:vAlign w:val="center"/>
            <w:hideMark/>
          </w:tcPr>
          <w:p w14:paraId="7EFAE1F8"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PROJECT TOTAL</w:t>
            </w:r>
          </w:p>
        </w:tc>
        <w:tc>
          <w:tcPr>
            <w:tcW w:w="1264" w:type="dxa"/>
            <w:tcBorders>
              <w:top w:val="nil"/>
              <w:left w:val="nil"/>
              <w:bottom w:val="single" w:sz="4" w:space="0" w:color="auto"/>
              <w:right w:val="nil"/>
            </w:tcBorders>
            <w:vAlign w:val="center"/>
            <w:hideMark/>
          </w:tcPr>
          <w:p w14:paraId="79BBDC0E"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777" w:type="dxa"/>
            <w:tcBorders>
              <w:top w:val="nil"/>
              <w:left w:val="nil"/>
              <w:bottom w:val="single" w:sz="4" w:space="0" w:color="auto"/>
              <w:right w:val="nil"/>
            </w:tcBorders>
            <w:vAlign w:val="center"/>
            <w:hideMark/>
          </w:tcPr>
          <w:p w14:paraId="36F5F3C2"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683" w:type="dxa"/>
            <w:tcBorders>
              <w:top w:val="nil"/>
              <w:left w:val="nil"/>
              <w:bottom w:val="single" w:sz="4" w:space="0" w:color="auto"/>
              <w:right w:val="nil"/>
            </w:tcBorders>
            <w:vAlign w:val="center"/>
            <w:hideMark/>
          </w:tcPr>
          <w:p w14:paraId="149517E5"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992" w:type="dxa"/>
            <w:tcBorders>
              <w:top w:val="nil"/>
              <w:left w:val="nil"/>
              <w:bottom w:val="single" w:sz="4" w:space="0" w:color="auto"/>
              <w:right w:val="nil"/>
            </w:tcBorders>
            <w:vAlign w:val="center"/>
            <w:hideMark/>
          </w:tcPr>
          <w:p w14:paraId="36C26B6F"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1846" w:type="dxa"/>
            <w:tcBorders>
              <w:top w:val="nil"/>
              <w:left w:val="nil"/>
              <w:bottom w:val="single" w:sz="4" w:space="0" w:color="auto"/>
              <w:right w:val="single" w:sz="4" w:space="0" w:color="auto"/>
            </w:tcBorders>
            <w:vAlign w:val="center"/>
            <w:hideMark/>
          </w:tcPr>
          <w:p w14:paraId="5BA0407D" w14:textId="77777777" w:rsidR="00F0133E" w:rsidRDefault="00F0133E">
            <w:pP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w:t>
            </w:r>
          </w:p>
        </w:tc>
        <w:tc>
          <w:tcPr>
            <w:tcW w:w="1281" w:type="dxa"/>
            <w:tcBorders>
              <w:top w:val="nil"/>
              <w:left w:val="nil"/>
              <w:bottom w:val="single" w:sz="4" w:space="0" w:color="auto"/>
              <w:right w:val="single" w:sz="4" w:space="0" w:color="auto"/>
            </w:tcBorders>
            <w:noWrap/>
            <w:vAlign w:val="center"/>
            <w:hideMark/>
          </w:tcPr>
          <w:p w14:paraId="2DD6D9F9"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1.234.675,00 </w:t>
            </w:r>
          </w:p>
        </w:tc>
        <w:tc>
          <w:tcPr>
            <w:tcW w:w="1276" w:type="dxa"/>
            <w:tcBorders>
              <w:top w:val="nil"/>
              <w:left w:val="nil"/>
              <w:bottom w:val="single" w:sz="4" w:space="0" w:color="auto"/>
              <w:right w:val="single" w:sz="4" w:space="0" w:color="auto"/>
            </w:tcBorders>
            <w:noWrap/>
            <w:vAlign w:val="center"/>
            <w:hideMark/>
          </w:tcPr>
          <w:p w14:paraId="2674E1C7"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1.214.675,00 </w:t>
            </w:r>
          </w:p>
        </w:tc>
        <w:tc>
          <w:tcPr>
            <w:tcW w:w="1276" w:type="dxa"/>
            <w:tcBorders>
              <w:top w:val="nil"/>
              <w:left w:val="nil"/>
              <w:bottom w:val="single" w:sz="4" w:space="0" w:color="auto"/>
              <w:right w:val="single" w:sz="4" w:space="0" w:color="auto"/>
            </w:tcBorders>
            <w:noWrap/>
            <w:vAlign w:val="center"/>
            <w:hideMark/>
          </w:tcPr>
          <w:p w14:paraId="6D064B3C"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1.214.675,00 </w:t>
            </w:r>
          </w:p>
        </w:tc>
        <w:tc>
          <w:tcPr>
            <w:tcW w:w="1285" w:type="dxa"/>
            <w:tcBorders>
              <w:top w:val="nil"/>
              <w:left w:val="nil"/>
              <w:bottom w:val="single" w:sz="4" w:space="0" w:color="auto"/>
              <w:right w:val="single" w:sz="4" w:space="0" w:color="auto"/>
            </w:tcBorders>
            <w:noWrap/>
            <w:vAlign w:val="center"/>
            <w:hideMark/>
          </w:tcPr>
          <w:p w14:paraId="258122A0"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1.214.675,00 </w:t>
            </w:r>
          </w:p>
        </w:tc>
        <w:tc>
          <w:tcPr>
            <w:tcW w:w="1276" w:type="dxa"/>
            <w:tcBorders>
              <w:top w:val="nil"/>
              <w:left w:val="nil"/>
              <w:bottom w:val="single" w:sz="4" w:space="0" w:color="auto"/>
              <w:right w:val="nil"/>
            </w:tcBorders>
            <w:noWrap/>
            <w:vAlign w:val="center"/>
            <w:hideMark/>
          </w:tcPr>
          <w:p w14:paraId="661A2844" w14:textId="77777777" w:rsidR="00F0133E" w:rsidRDefault="00F0133E">
            <w:pPr>
              <w:jc w:val="center"/>
              <w:rPr>
                <w:rFonts w:asciiTheme="minorHAnsi" w:hAnsiTheme="minorHAnsi" w:cstheme="minorHAnsi"/>
                <w:b/>
                <w:bCs/>
                <w:color w:val="000000"/>
                <w:sz w:val="18"/>
                <w:szCs w:val="18"/>
                <w:lang w:eastAsia="en-US"/>
              </w:rPr>
            </w:pPr>
            <w:r>
              <w:rPr>
                <w:rFonts w:asciiTheme="minorHAnsi" w:hAnsiTheme="minorHAnsi" w:cstheme="minorHAnsi"/>
                <w:b/>
                <w:bCs/>
                <w:color w:val="000000"/>
                <w:sz w:val="18"/>
                <w:szCs w:val="18"/>
                <w:lang w:eastAsia="en-US"/>
              </w:rPr>
              <w:t xml:space="preserve">       4.878.700,00 </w:t>
            </w:r>
          </w:p>
        </w:tc>
        <w:tc>
          <w:tcPr>
            <w:tcW w:w="851" w:type="dxa"/>
            <w:tcBorders>
              <w:top w:val="nil"/>
              <w:left w:val="single" w:sz="4" w:space="0" w:color="auto"/>
              <w:bottom w:val="single" w:sz="4" w:space="0" w:color="auto"/>
              <w:right w:val="single" w:sz="4" w:space="0" w:color="auto"/>
            </w:tcBorders>
            <w:vAlign w:val="center"/>
            <w:hideMark/>
          </w:tcPr>
          <w:p w14:paraId="1487B83C" w14:textId="77777777" w:rsidR="00F0133E" w:rsidRDefault="00F0133E">
            <w:pPr>
              <w:jc w:val="center"/>
              <w:rPr>
                <w:rFonts w:asciiTheme="minorHAnsi" w:hAnsiTheme="minorHAnsi" w:cstheme="minorHAnsi"/>
                <w:i/>
                <w:iCs/>
                <w:color w:val="000000"/>
                <w:sz w:val="18"/>
                <w:szCs w:val="18"/>
                <w:lang w:eastAsia="en-US"/>
              </w:rPr>
            </w:pPr>
            <w:r>
              <w:rPr>
                <w:rFonts w:asciiTheme="minorHAnsi" w:hAnsiTheme="minorHAnsi" w:cstheme="minorHAnsi"/>
                <w:i/>
                <w:iCs/>
                <w:color w:val="000000"/>
                <w:sz w:val="18"/>
                <w:szCs w:val="18"/>
                <w:lang w:eastAsia="en-US"/>
              </w:rPr>
              <w:t> </w:t>
            </w:r>
          </w:p>
        </w:tc>
        <w:tc>
          <w:tcPr>
            <w:tcW w:w="236" w:type="dxa"/>
            <w:vAlign w:val="center"/>
            <w:hideMark/>
          </w:tcPr>
          <w:p w14:paraId="35B38F1E" w14:textId="77777777" w:rsidR="00F0133E" w:rsidRDefault="00F0133E">
            <w:pPr>
              <w:rPr>
                <w:rFonts w:asciiTheme="minorHAnsi" w:hAnsiTheme="minorHAnsi" w:cstheme="minorHAnsi"/>
                <w:i/>
                <w:iCs/>
                <w:color w:val="000000"/>
                <w:sz w:val="18"/>
                <w:szCs w:val="18"/>
                <w:lang w:eastAsia="en-US"/>
              </w:rPr>
            </w:pPr>
          </w:p>
        </w:tc>
      </w:tr>
    </w:tbl>
    <w:p w14:paraId="6ED2464E" w14:textId="77777777" w:rsidR="00F0133E" w:rsidRDefault="00F0133E" w:rsidP="00F0133E">
      <w:pPr>
        <w:rPr>
          <w:rFonts w:asciiTheme="minorHAnsi" w:hAnsiTheme="minorHAnsi" w:cstheme="minorHAnsi"/>
          <w:b/>
          <w:sz w:val="18"/>
          <w:szCs w:val="18"/>
        </w:rPr>
      </w:pPr>
    </w:p>
    <w:p w14:paraId="13E009C9" w14:textId="77777777" w:rsidR="00F0133E" w:rsidRDefault="00F0133E" w:rsidP="00F0133E">
      <w:pPr>
        <w:rPr>
          <w:rFonts w:asciiTheme="minorHAnsi" w:hAnsiTheme="minorHAnsi" w:cstheme="minorHAnsi"/>
          <w:b/>
          <w:sz w:val="18"/>
          <w:szCs w:val="18"/>
        </w:rPr>
      </w:pPr>
      <w:r>
        <w:rPr>
          <w:rFonts w:asciiTheme="minorHAnsi" w:hAnsiTheme="minorHAnsi" w:cstheme="minorHAnsi"/>
          <w:b/>
          <w:sz w:val="18"/>
          <w:szCs w:val="18"/>
        </w:rPr>
        <w:br w:type="page"/>
      </w:r>
    </w:p>
    <w:tbl>
      <w:tblPr>
        <w:tblW w:w="14640" w:type="dxa"/>
        <w:tblLook w:val="04A0" w:firstRow="1" w:lastRow="0" w:firstColumn="1" w:lastColumn="0" w:noHBand="0" w:noVBand="1"/>
      </w:tblPr>
      <w:tblGrid>
        <w:gridCol w:w="3040"/>
        <w:gridCol w:w="11600"/>
      </w:tblGrid>
      <w:tr w:rsidR="00F0133E" w14:paraId="65C31537" w14:textId="77777777" w:rsidTr="00F0133E">
        <w:trPr>
          <w:trHeight w:val="380"/>
        </w:trPr>
        <w:tc>
          <w:tcPr>
            <w:tcW w:w="14640" w:type="dxa"/>
            <w:gridSpan w:val="2"/>
            <w:tcBorders>
              <w:top w:val="single" w:sz="4" w:space="0" w:color="auto"/>
              <w:left w:val="single" w:sz="4" w:space="0" w:color="auto"/>
              <w:bottom w:val="single" w:sz="4" w:space="0" w:color="auto"/>
              <w:right w:val="single" w:sz="4" w:space="0" w:color="auto"/>
            </w:tcBorders>
            <w:vAlign w:val="center"/>
            <w:hideMark/>
          </w:tcPr>
          <w:p w14:paraId="3FDB93D4" w14:textId="77777777" w:rsidR="00F0133E" w:rsidRDefault="00F0133E">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lastRenderedPageBreak/>
              <w:t>Budget notes</w:t>
            </w:r>
          </w:p>
        </w:tc>
      </w:tr>
      <w:tr w:rsidR="00F0133E" w14:paraId="5AF2C892" w14:textId="77777777" w:rsidTr="00F0133E">
        <w:trPr>
          <w:trHeight w:val="1708"/>
        </w:trPr>
        <w:tc>
          <w:tcPr>
            <w:tcW w:w="3040" w:type="dxa"/>
            <w:tcBorders>
              <w:top w:val="nil"/>
              <w:left w:val="single" w:sz="4" w:space="0" w:color="auto"/>
              <w:bottom w:val="single" w:sz="4" w:space="0" w:color="auto"/>
              <w:right w:val="single" w:sz="4" w:space="0" w:color="auto"/>
            </w:tcBorders>
            <w:vAlign w:val="center"/>
            <w:hideMark/>
          </w:tcPr>
          <w:p w14:paraId="0811B9B9"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w:t>
            </w:r>
          </w:p>
        </w:tc>
        <w:tc>
          <w:tcPr>
            <w:tcW w:w="11600" w:type="dxa"/>
            <w:tcBorders>
              <w:top w:val="single" w:sz="4" w:space="0" w:color="auto"/>
              <w:left w:val="nil"/>
              <w:bottom w:val="single" w:sz="4" w:space="0" w:color="auto"/>
              <w:right w:val="single" w:sz="4" w:space="0" w:color="auto"/>
            </w:tcBorders>
            <w:vAlign w:val="center"/>
            <w:hideMark/>
          </w:tcPr>
          <w:p w14:paraId="2B0EA069"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International Consultants (USD 568.696): This includes international consultants working on project activities, including PCU staff.. As described in the TORs, the Project Coordinator/Deputy Project Coordinator will provide strong technical advice and guidance to the implementation of project Component One by providing specific content interventions to IW:LEARN face-to-face events (to supplement partner contributions). Moreover, the PCU will require a consultant to help with strategic issues concerning the IWCs, specifically politically and also in terms of securing sponsorship.</w:t>
            </w:r>
            <w:r>
              <w:rPr>
                <w:rFonts w:asciiTheme="minorHAnsi" w:hAnsiTheme="minorHAnsi" w:cstheme="minorHAnsi"/>
                <w:color w:val="000000"/>
                <w:sz w:val="20"/>
                <w:szCs w:val="20"/>
                <w:lang w:eastAsia="en-US"/>
              </w:rPr>
              <w:br/>
            </w:r>
            <w:r>
              <w:rPr>
                <w:rFonts w:asciiTheme="minorHAnsi" w:hAnsiTheme="minorHAnsi" w:cstheme="minorHAnsi"/>
                <w:color w:val="000000"/>
                <w:sz w:val="20"/>
                <w:szCs w:val="20"/>
                <w:lang w:eastAsia="en-US"/>
              </w:rPr>
              <w:br/>
              <w:t>PCU ($508,000)</w:t>
            </w:r>
          </w:p>
          <w:p w14:paraId="6B2CAA71"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Chief Technical Adviser/Project Manager (CTA/PM) (78 weeks @ USD 4.153,85/week) (Project Appointment P-4)</w:t>
            </w:r>
            <w:r>
              <w:rPr>
                <w:rFonts w:asciiTheme="minorHAnsi" w:hAnsiTheme="minorHAnsi" w:cstheme="minorHAnsi"/>
                <w:color w:val="000000"/>
                <w:sz w:val="20"/>
                <w:szCs w:val="20"/>
                <w:lang w:eastAsia="en-US"/>
              </w:rPr>
              <w:br/>
              <w:t>Deputy Project Coordinator (52 weeks @ USD 3538.46) (Project Appointment P-3)</w:t>
            </w:r>
            <w:r>
              <w:rPr>
                <w:rFonts w:asciiTheme="minorHAnsi" w:hAnsiTheme="minorHAnsi" w:cstheme="minorHAnsi"/>
                <w:color w:val="000000"/>
                <w:sz w:val="20"/>
                <w:szCs w:val="20"/>
                <w:lang w:eastAsia="en-US"/>
              </w:rPr>
              <w:br/>
              <w:t>Consultants ($60,696)</w:t>
            </w:r>
          </w:p>
          <w:p w14:paraId="2B93AA23"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IWC10 Coordinator (121,39 days @USD 500)</w:t>
            </w:r>
          </w:p>
        </w:tc>
      </w:tr>
      <w:tr w:rsidR="00F0133E" w:rsidRPr="00F0133E" w14:paraId="2F6F9B0B" w14:textId="77777777" w:rsidTr="00F0133E">
        <w:trPr>
          <w:trHeight w:val="981"/>
        </w:trPr>
        <w:tc>
          <w:tcPr>
            <w:tcW w:w="3040" w:type="dxa"/>
            <w:tcBorders>
              <w:top w:val="nil"/>
              <w:left w:val="single" w:sz="4" w:space="0" w:color="auto"/>
              <w:bottom w:val="single" w:sz="4" w:space="0" w:color="auto"/>
              <w:right w:val="single" w:sz="4" w:space="0" w:color="auto"/>
            </w:tcBorders>
            <w:vAlign w:val="center"/>
            <w:hideMark/>
          </w:tcPr>
          <w:p w14:paraId="2F056A4C"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w:t>
            </w:r>
          </w:p>
        </w:tc>
        <w:tc>
          <w:tcPr>
            <w:tcW w:w="11600" w:type="dxa"/>
            <w:tcBorders>
              <w:top w:val="single" w:sz="4" w:space="0" w:color="auto"/>
              <w:left w:val="nil"/>
              <w:bottom w:val="single" w:sz="4" w:space="0" w:color="auto"/>
              <w:right w:val="single" w:sz="4" w:space="0" w:color="000000"/>
            </w:tcBorders>
            <w:vAlign w:val="center"/>
            <w:hideMark/>
          </w:tcPr>
          <w:p w14:paraId="7DCBB69A"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Local Consultants (USD 128.684): Including experts working on project activities and PCU staff working on program, finance and event assistance activities. </w:t>
            </w:r>
            <w:r>
              <w:rPr>
                <w:rFonts w:asciiTheme="minorHAnsi" w:hAnsiTheme="minorHAnsi" w:cstheme="minorHAnsi"/>
                <w:color w:val="000000"/>
                <w:sz w:val="20"/>
                <w:szCs w:val="20"/>
                <w:lang w:eastAsia="en-US"/>
              </w:rPr>
              <w:br/>
            </w:r>
          </w:p>
          <w:p w14:paraId="0B293FB7"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PCU ($70,596)</w:t>
            </w:r>
          </w:p>
          <w:p w14:paraId="487DF611"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Project Assistant (52 weeks @ USD 1.357,62) (Project Appointment G-5): – Project assistant will provide technical support to the execution of all face-to-face events (regional dialogues, regional workshops, </w:t>
            </w:r>
            <w:proofErr w:type="spellStart"/>
            <w:r>
              <w:rPr>
                <w:rFonts w:asciiTheme="minorHAnsi" w:hAnsiTheme="minorHAnsi" w:cstheme="minorHAnsi"/>
                <w:color w:val="000000"/>
                <w:sz w:val="20"/>
                <w:szCs w:val="20"/>
                <w:lang w:eastAsia="en-US"/>
              </w:rPr>
              <w:t>twinnings</w:t>
            </w:r>
            <w:proofErr w:type="spellEnd"/>
            <w:r>
              <w:rPr>
                <w:rFonts w:asciiTheme="minorHAnsi" w:hAnsiTheme="minorHAnsi" w:cstheme="minorHAnsi"/>
                <w:color w:val="000000"/>
                <w:sz w:val="20"/>
                <w:szCs w:val="20"/>
                <w:lang w:eastAsia="en-US"/>
              </w:rPr>
              <w:t xml:space="preserve">, GEF International Waters Conference), including </w:t>
            </w:r>
            <w:proofErr w:type="spellStart"/>
            <w:r>
              <w:rPr>
                <w:rFonts w:asciiTheme="minorHAnsi" w:hAnsiTheme="minorHAnsi" w:cstheme="minorHAnsi"/>
                <w:color w:val="000000"/>
                <w:sz w:val="20"/>
                <w:szCs w:val="20"/>
                <w:lang w:eastAsia="en-US"/>
              </w:rPr>
              <w:t>organzing</w:t>
            </w:r>
            <w:proofErr w:type="spellEnd"/>
            <w:r>
              <w:rPr>
                <w:rFonts w:asciiTheme="minorHAnsi" w:hAnsiTheme="minorHAnsi" w:cstheme="minorHAnsi"/>
                <w:color w:val="000000"/>
                <w:sz w:val="20"/>
                <w:szCs w:val="20"/>
                <w:lang w:eastAsia="en-US"/>
              </w:rPr>
              <w:t xml:space="preserve"> participation, facilitating content and contributing to the overall learning agenda</w:t>
            </w:r>
            <w:r>
              <w:rPr>
                <w:rFonts w:asciiTheme="minorHAnsi" w:hAnsiTheme="minorHAnsi" w:cstheme="minorHAnsi"/>
                <w:color w:val="000000"/>
                <w:sz w:val="20"/>
                <w:szCs w:val="20"/>
                <w:lang w:eastAsia="en-US"/>
              </w:rPr>
              <w:br/>
              <w:t>Consultants ($58,088)</w:t>
            </w:r>
          </w:p>
          <w:p w14:paraId="2355D8EC"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Local consultancies for event management support and communications (USD 58.088)</w:t>
            </w:r>
          </w:p>
        </w:tc>
      </w:tr>
      <w:tr w:rsidR="00F0133E" w:rsidRPr="00F0133E" w14:paraId="1701A9EB" w14:textId="77777777" w:rsidTr="00F0133E">
        <w:trPr>
          <w:trHeight w:val="853"/>
        </w:trPr>
        <w:tc>
          <w:tcPr>
            <w:tcW w:w="3040" w:type="dxa"/>
            <w:tcBorders>
              <w:top w:val="nil"/>
              <w:left w:val="single" w:sz="4" w:space="0" w:color="auto"/>
              <w:bottom w:val="single" w:sz="4" w:space="0" w:color="auto"/>
              <w:right w:val="single" w:sz="4" w:space="0" w:color="auto"/>
            </w:tcBorders>
            <w:vAlign w:val="center"/>
            <w:hideMark/>
          </w:tcPr>
          <w:p w14:paraId="679BCF82"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3</w:t>
            </w:r>
          </w:p>
        </w:tc>
        <w:tc>
          <w:tcPr>
            <w:tcW w:w="11600" w:type="dxa"/>
            <w:tcBorders>
              <w:top w:val="single" w:sz="4" w:space="0" w:color="auto"/>
              <w:left w:val="nil"/>
              <w:bottom w:val="single" w:sz="4" w:space="0" w:color="auto"/>
              <w:right w:val="single" w:sz="4" w:space="0" w:color="000000"/>
            </w:tcBorders>
            <w:vAlign w:val="center"/>
            <w:hideMark/>
          </w:tcPr>
          <w:p w14:paraId="5F749840"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Contractual services – organizations (USD 709.820): Contracts for the execution of the International Waters Conferences (1.1), regional workshops (1.2), Implementing Partner Agreements with UNECE, ICPDR, SIWI, GWP for the execution of Regional Workshop (1.2) and Regional/Global Dialogue activities (1.4)</w:t>
            </w:r>
          </w:p>
        </w:tc>
      </w:tr>
      <w:tr w:rsidR="00F0133E" w:rsidRPr="00F0133E" w14:paraId="2B8BF348" w14:textId="77777777" w:rsidTr="00F0133E">
        <w:trPr>
          <w:trHeight w:val="682"/>
        </w:trPr>
        <w:tc>
          <w:tcPr>
            <w:tcW w:w="3040" w:type="dxa"/>
            <w:tcBorders>
              <w:top w:val="nil"/>
              <w:left w:val="single" w:sz="4" w:space="0" w:color="auto"/>
              <w:bottom w:val="single" w:sz="4" w:space="0" w:color="auto"/>
              <w:right w:val="single" w:sz="4" w:space="0" w:color="auto"/>
            </w:tcBorders>
            <w:vAlign w:val="center"/>
            <w:hideMark/>
          </w:tcPr>
          <w:p w14:paraId="35E0479B"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4</w:t>
            </w:r>
          </w:p>
        </w:tc>
        <w:tc>
          <w:tcPr>
            <w:tcW w:w="11600" w:type="dxa"/>
            <w:tcBorders>
              <w:top w:val="single" w:sz="4" w:space="0" w:color="auto"/>
              <w:left w:val="nil"/>
              <w:bottom w:val="single" w:sz="4" w:space="0" w:color="auto"/>
              <w:right w:val="single" w:sz="4" w:space="0" w:color="000000"/>
            </w:tcBorders>
            <w:vAlign w:val="center"/>
            <w:hideMark/>
          </w:tcPr>
          <w:p w14:paraId="7827D7BA"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Travel ($40,000): Travel by consultants, beneficiaries and PCU staff on supporting component related activities (including for Project Steering Committee meeting participation and PCU oversight of component technical activities) is included, except for the travel cost of the Project Coordination Unit when performing project management tasks (Project Steering Committee meetings).</w:t>
            </w:r>
          </w:p>
        </w:tc>
      </w:tr>
      <w:tr w:rsidR="00F0133E" w:rsidRPr="00F0133E" w14:paraId="297CE715" w14:textId="77777777" w:rsidTr="00F0133E">
        <w:trPr>
          <w:trHeight w:val="380"/>
        </w:trPr>
        <w:tc>
          <w:tcPr>
            <w:tcW w:w="3040" w:type="dxa"/>
            <w:tcBorders>
              <w:top w:val="nil"/>
              <w:left w:val="single" w:sz="4" w:space="0" w:color="auto"/>
              <w:bottom w:val="single" w:sz="4" w:space="0" w:color="auto"/>
              <w:right w:val="single" w:sz="4" w:space="0" w:color="auto"/>
            </w:tcBorders>
            <w:vAlign w:val="center"/>
            <w:hideMark/>
          </w:tcPr>
          <w:p w14:paraId="3300DC9C"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5</w:t>
            </w:r>
          </w:p>
        </w:tc>
        <w:tc>
          <w:tcPr>
            <w:tcW w:w="11600" w:type="dxa"/>
            <w:tcBorders>
              <w:top w:val="single" w:sz="4" w:space="0" w:color="auto"/>
              <w:left w:val="nil"/>
              <w:bottom w:val="single" w:sz="4" w:space="0" w:color="auto"/>
              <w:right w:val="single" w:sz="4" w:space="0" w:color="000000"/>
            </w:tcBorders>
            <w:vAlign w:val="center"/>
            <w:hideMark/>
          </w:tcPr>
          <w:p w14:paraId="431C2324"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Trainings/workshops (USD 270.000):  Participation of project beneficiaries in the GEF Biennial International Waters Conference (1.1), Regional Workshops (1.2), Project Twinning (1.3) and Global/Regional Dialogues (1.4)</w:t>
            </w:r>
          </w:p>
        </w:tc>
      </w:tr>
      <w:tr w:rsidR="00F0133E" w:rsidRPr="00F0133E" w14:paraId="5C4C33E7" w14:textId="77777777" w:rsidTr="00F0133E">
        <w:trPr>
          <w:trHeight w:val="1295"/>
        </w:trPr>
        <w:tc>
          <w:tcPr>
            <w:tcW w:w="3040" w:type="dxa"/>
            <w:tcBorders>
              <w:top w:val="nil"/>
              <w:left w:val="single" w:sz="4" w:space="0" w:color="auto"/>
              <w:bottom w:val="single" w:sz="4" w:space="0" w:color="auto"/>
              <w:right w:val="single" w:sz="4" w:space="0" w:color="auto"/>
            </w:tcBorders>
            <w:vAlign w:val="center"/>
            <w:hideMark/>
          </w:tcPr>
          <w:p w14:paraId="37B9E3A6"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6</w:t>
            </w:r>
          </w:p>
        </w:tc>
        <w:tc>
          <w:tcPr>
            <w:tcW w:w="11600" w:type="dxa"/>
            <w:tcBorders>
              <w:top w:val="single" w:sz="4" w:space="0" w:color="auto"/>
              <w:left w:val="nil"/>
              <w:bottom w:val="single" w:sz="4" w:space="0" w:color="auto"/>
              <w:right w:val="single" w:sz="4" w:space="0" w:color="000000"/>
            </w:tcBorders>
            <w:vAlign w:val="center"/>
            <w:hideMark/>
          </w:tcPr>
          <w:p w14:paraId="715F3B08"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International Consultants ($413,224): This includes international consultants working on project activities, including PCU staff. As described in the TORs, the Project Coordinator/Deputy Project Coordinator will provide strong technical advice and guidance to the implementation of project Component Two by providing specific content interventions to IW:LEARN face-to-face events (to supplement partner contributions) as well as website content management. Moreover, the PCU will require consultants to help with the management of website and associated service infrastructure, communications and content and ICT training support.</w:t>
            </w:r>
            <w:r>
              <w:rPr>
                <w:rFonts w:asciiTheme="minorHAnsi" w:hAnsiTheme="minorHAnsi" w:cstheme="minorHAnsi"/>
                <w:color w:val="000000"/>
                <w:sz w:val="20"/>
                <w:szCs w:val="20"/>
                <w:lang w:eastAsia="en-US"/>
              </w:rPr>
              <w:br/>
            </w:r>
            <w:r>
              <w:rPr>
                <w:rFonts w:asciiTheme="minorHAnsi" w:hAnsiTheme="minorHAnsi" w:cstheme="minorHAnsi"/>
                <w:color w:val="000000"/>
                <w:sz w:val="20"/>
                <w:szCs w:val="20"/>
                <w:lang w:eastAsia="en-US"/>
              </w:rPr>
              <w:lastRenderedPageBreak/>
              <w:br/>
              <w:t>PCU ($207,692)</w:t>
            </w:r>
          </w:p>
          <w:p w14:paraId="6D68990A"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Chief Technical Adviser/Project Manager (CTA/PM) (50 weeks @ USD 4153.85/week) (Project Appointment P-4)</w:t>
            </w:r>
            <w:r>
              <w:rPr>
                <w:rFonts w:asciiTheme="minorHAnsi" w:hAnsiTheme="minorHAnsi" w:cstheme="minorHAnsi"/>
                <w:color w:val="000000"/>
                <w:sz w:val="20"/>
                <w:szCs w:val="20"/>
                <w:lang w:eastAsia="en-US"/>
              </w:rPr>
              <w:br/>
              <w:t>Consultants ($205,532)</w:t>
            </w:r>
          </w:p>
          <w:p w14:paraId="60C40DA4" w14:textId="77777777" w:rsidR="00F0133E" w:rsidRDefault="00F0133E">
            <w:pPr>
              <w:rPr>
                <w:rFonts w:asciiTheme="minorHAnsi" w:hAnsiTheme="minorHAnsi" w:cstheme="minorHAnsi"/>
                <w:color w:val="000000"/>
                <w:sz w:val="20"/>
                <w:szCs w:val="20"/>
                <w:lang w:eastAsia="en-US"/>
              </w:rPr>
            </w:pPr>
            <w:r w:rsidRPr="00CD2240">
              <w:rPr>
                <w:rFonts w:asciiTheme="minorHAnsi" w:hAnsiTheme="minorHAnsi" w:cstheme="minorHAnsi"/>
                <w:color w:val="000000"/>
                <w:sz w:val="20"/>
                <w:szCs w:val="20"/>
                <w:highlight w:val="yellow"/>
                <w:lang w:eastAsia="en-US"/>
              </w:rPr>
              <w:t>IT and Knowledge Management Consultants (387 days @ 500 USD)</w:t>
            </w:r>
            <w:r>
              <w:rPr>
                <w:rFonts w:asciiTheme="minorHAnsi" w:hAnsiTheme="minorHAnsi" w:cstheme="minorHAnsi"/>
                <w:color w:val="000000"/>
                <w:sz w:val="20"/>
                <w:szCs w:val="20"/>
                <w:lang w:eastAsia="en-US"/>
              </w:rPr>
              <w:br/>
              <w:t>Communications Consultant (24 days @ USD 500)</w:t>
            </w:r>
          </w:p>
        </w:tc>
      </w:tr>
      <w:tr w:rsidR="00F0133E" w:rsidRPr="00F0133E" w14:paraId="51EF0758" w14:textId="77777777" w:rsidTr="00F0133E">
        <w:trPr>
          <w:trHeight w:val="257"/>
        </w:trPr>
        <w:tc>
          <w:tcPr>
            <w:tcW w:w="3040" w:type="dxa"/>
            <w:tcBorders>
              <w:top w:val="nil"/>
              <w:left w:val="single" w:sz="4" w:space="0" w:color="auto"/>
              <w:bottom w:val="single" w:sz="4" w:space="0" w:color="auto"/>
              <w:right w:val="single" w:sz="4" w:space="0" w:color="auto"/>
            </w:tcBorders>
            <w:vAlign w:val="center"/>
            <w:hideMark/>
          </w:tcPr>
          <w:p w14:paraId="72701143"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lastRenderedPageBreak/>
              <w:t>7</w:t>
            </w:r>
          </w:p>
        </w:tc>
        <w:tc>
          <w:tcPr>
            <w:tcW w:w="11600" w:type="dxa"/>
            <w:tcBorders>
              <w:top w:val="single" w:sz="4" w:space="0" w:color="auto"/>
              <w:left w:val="nil"/>
              <w:bottom w:val="single" w:sz="4" w:space="0" w:color="auto"/>
              <w:right w:val="single" w:sz="4" w:space="0" w:color="000000"/>
            </w:tcBorders>
            <w:vAlign w:val="center"/>
            <w:hideMark/>
          </w:tcPr>
          <w:p w14:paraId="50532A34"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Local Consultants (USD 51.852): Including PCU staff working on program, finance and event assistance activities. </w:t>
            </w:r>
            <w:r>
              <w:rPr>
                <w:rFonts w:asciiTheme="minorHAnsi" w:hAnsiTheme="minorHAnsi" w:cstheme="minorHAnsi"/>
                <w:color w:val="000000"/>
                <w:sz w:val="20"/>
                <w:szCs w:val="20"/>
                <w:lang w:eastAsia="en-US"/>
              </w:rPr>
              <w:br/>
              <w:t>PCU($51,852)</w:t>
            </w:r>
          </w:p>
          <w:p w14:paraId="2186F844"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Project Assistant (38,19 weeks @ USD 1.357,62) (Project Appointment G-5) – Project assistant will provide technical support to the execution of all face-to-face events (trainings on ICT and communications), including </w:t>
            </w:r>
            <w:proofErr w:type="spellStart"/>
            <w:r>
              <w:rPr>
                <w:rFonts w:asciiTheme="minorHAnsi" w:hAnsiTheme="minorHAnsi" w:cstheme="minorHAnsi"/>
                <w:color w:val="000000"/>
                <w:sz w:val="20"/>
                <w:szCs w:val="20"/>
                <w:lang w:eastAsia="en-US"/>
              </w:rPr>
              <w:t>organzing</w:t>
            </w:r>
            <w:proofErr w:type="spellEnd"/>
            <w:r>
              <w:rPr>
                <w:rFonts w:asciiTheme="minorHAnsi" w:hAnsiTheme="minorHAnsi" w:cstheme="minorHAnsi"/>
                <w:color w:val="000000"/>
                <w:sz w:val="20"/>
                <w:szCs w:val="20"/>
                <w:lang w:eastAsia="en-US"/>
              </w:rPr>
              <w:t xml:space="preserve"> participation, facilitating content and contributing to the overall learning agenda</w:t>
            </w:r>
          </w:p>
        </w:tc>
      </w:tr>
      <w:tr w:rsidR="00F0133E" w:rsidRPr="00F0133E" w14:paraId="1230C6B7" w14:textId="77777777" w:rsidTr="00F0133E">
        <w:trPr>
          <w:trHeight w:val="462"/>
        </w:trPr>
        <w:tc>
          <w:tcPr>
            <w:tcW w:w="3040" w:type="dxa"/>
            <w:tcBorders>
              <w:top w:val="nil"/>
              <w:left w:val="single" w:sz="4" w:space="0" w:color="auto"/>
              <w:bottom w:val="single" w:sz="4" w:space="0" w:color="auto"/>
              <w:right w:val="single" w:sz="4" w:space="0" w:color="auto"/>
            </w:tcBorders>
            <w:vAlign w:val="center"/>
            <w:hideMark/>
          </w:tcPr>
          <w:p w14:paraId="59F98F1D"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8</w:t>
            </w:r>
          </w:p>
        </w:tc>
        <w:tc>
          <w:tcPr>
            <w:tcW w:w="11600" w:type="dxa"/>
            <w:tcBorders>
              <w:top w:val="single" w:sz="4" w:space="0" w:color="auto"/>
              <w:left w:val="nil"/>
              <w:bottom w:val="single" w:sz="4" w:space="0" w:color="auto"/>
              <w:right w:val="single" w:sz="4" w:space="0" w:color="000000"/>
            </w:tcBorders>
            <w:vAlign w:val="center"/>
            <w:hideMark/>
          </w:tcPr>
          <w:p w14:paraId="55F424B3"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Contractual services – organizations (USD 113.924): Contracts for the execution of the Data and Information Management Component (including website hosting), Implementing Partner Agreements with GRID-</w:t>
            </w:r>
            <w:proofErr w:type="spellStart"/>
            <w:r>
              <w:rPr>
                <w:rFonts w:asciiTheme="minorHAnsi" w:hAnsiTheme="minorHAnsi" w:cstheme="minorHAnsi"/>
                <w:color w:val="000000"/>
                <w:sz w:val="20"/>
                <w:szCs w:val="20"/>
                <w:lang w:eastAsia="en-US"/>
              </w:rPr>
              <w:t>Arendal</w:t>
            </w:r>
            <w:proofErr w:type="spellEnd"/>
            <w:r>
              <w:rPr>
                <w:rFonts w:asciiTheme="minorHAnsi" w:hAnsiTheme="minorHAnsi" w:cstheme="minorHAnsi"/>
                <w:color w:val="000000"/>
                <w:sz w:val="20"/>
                <w:szCs w:val="20"/>
                <w:lang w:eastAsia="en-US"/>
              </w:rPr>
              <w:t>, ICPDR, for the execution of Website Toolkit and Guidelines (2.2), project communications and publications (2.3)</w:t>
            </w:r>
          </w:p>
        </w:tc>
      </w:tr>
      <w:tr w:rsidR="00F0133E" w:rsidRPr="00F0133E" w14:paraId="2808DFD4" w14:textId="77777777" w:rsidTr="00F0133E">
        <w:trPr>
          <w:trHeight w:val="714"/>
        </w:trPr>
        <w:tc>
          <w:tcPr>
            <w:tcW w:w="3040" w:type="dxa"/>
            <w:tcBorders>
              <w:top w:val="nil"/>
              <w:left w:val="single" w:sz="4" w:space="0" w:color="auto"/>
              <w:bottom w:val="single" w:sz="4" w:space="0" w:color="auto"/>
              <w:right w:val="single" w:sz="4" w:space="0" w:color="auto"/>
            </w:tcBorders>
            <w:vAlign w:val="center"/>
            <w:hideMark/>
          </w:tcPr>
          <w:p w14:paraId="74440C3B"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9</w:t>
            </w:r>
          </w:p>
        </w:tc>
        <w:tc>
          <w:tcPr>
            <w:tcW w:w="11600" w:type="dxa"/>
            <w:tcBorders>
              <w:top w:val="single" w:sz="4" w:space="0" w:color="auto"/>
              <w:left w:val="nil"/>
              <w:bottom w:val="single" w:sz="4" w:space="0" w:color="auto"/>
              <w:right w:val="single" w:sz="4" w:space="0" w:color="000000"/>
            </w:tcBorders>
            <w:vAlign w:val="center"/>
            <w:hideMark/>
          </w:tcPr>
          <w:p w14:paraId="719624A6"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Travel ($20,000): Travel by consultants, beneficiaries and PCU staff on supporting component related activities (including for Project Steering Committee meeting participation and PCU oversight of component technical activities) is included, except for the travel cost of the Project Coordination Unit when performing project management tasks (Project Steering Committee meetings).</w:t>
            </w:r>
          </w:p>
        </w:tc>
      </w:tr>
      <w:tr w:rsidR="00F0133E" w:rsidRPr="00F0133E" w14:paraId="1C858438" w14:textId="77777777" w:rsidTr="00F0133E">
        <w:trPr>
          <w:trHeight w:val="554"/>
        </w:trPr>
        <w:tc>
          <w:tcPr>
            <w:tcW w:w="3040" w:type="dxa"/>
            <w:tcBorders>
              <w:top w:val="nil"/>
              <w:left w:val="single" w:sz="4" w:space="0" w:color="auto"/>
              <w:bottom w:val="single" w:sz="4" w:space="0" w:color="auto"/>
              <w:right w:val="single" w:sz="4" w:space="0" w:color="auto"/>
            </w:tcBorders>
            <w:vAlign w:val="center"/>
            <w:hideMark/>
          </w:tcPr>
          <w:p w14:paraId="777F94AA"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10</w:t>
            </w:r>
          </w:p>
        </w:tc>
        <w:tc>
          <w:tcPr>
            <w:tcW w:w="11600" w:type="dxa"/>
            <w:tcBorders>
              <w:top w:val="single" w:sz="4" w:space="0" w:color="auto"/>
              <w:left w:val="nil"/>
              <w:bottom w:val="single" w:sz="4" w:space="0" w:color="auto"/>
              <w:right w:val="single" w:sz="4" w:space="0" w:color="000000"/>
            </w:tcBorders>
            <w:vAlign w:val="center"/>
            <w:hideMark/>
          </w:tcPr>
          <w:p w14:paraId="747736FD"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Trainings/workshops (USD 41.000):  Participation of project beneficiaries in the data and information management, as well as communications training workshops (2.2, 2.3)</w:t>
            </w:r>
          </w:p>
        </w:tc>
      </w:tr>
      <w:tr w:rsidR="00F0133E" w:rsidRPr="00F0133E" w14:paraId="0EB51DF5" w14:textId="77777777" w:rsidTr="00F0133E">
        <w:trPr>
          <w:trHeight w:val="1682"/>
        </w:trPr>
        <w:tc>
          <w:tcPr>
            <w:tcW w:w="3040" w:type="dxa"/>
            <w:tcBorders>
              <w:top w:val="nil"/>
              <w:left w:val="single" w:sz="4" w:space="0" w:color="auto"/>
              <w:bottom w:val="single" w:sz="4" w:space="0" w:color="auto"/>
              <w:right w:val="single" w:sz="4" w:space="0" w:color="auto"/>
            </w:tcBorders>
            <w:vAlign w:val="center"/>
            <w:hideMark/>
          </w:tcPr>
          <w:p w14:paraId="492E1902"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11</w:t>
            </w:r>
          </w:p>
        </w:tc>
        <w:tc>
          <w:tcPr>
            <w:tcW w:w="11600" w:type="dxa"/>
            <w:tcBorders>
              <w:top w:val="single" w:sz="4" w:space="0" w:color="auto"/>
              <w:left w:val="nil"/>
              <w:bottom w:val="single" w:sz="4" w:space="0" w:color="auto"/>
              <w:right w:val="single" w:sz="4" w:space="0" w:color="000000"/>
            </w:tcBorders>
            <w:vAlign w:val="center"/>
            <w:hideMark/>
          </w:tcPr>
          <w:p w14:paraId="08823234"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International Consultants (USD 22.344): This includes international consultants working on project activities, including PCU staff.. As described in the TORs, the Project Coordinator/Deputy Project Coordinator will provide strong technical advice and guidance to the implementation of project Component Three by providing specific content interventions to IW:LEARN face-to-face events (to supplement partner contributions). Moreover, the PCU will require a consultant to help with coordination of the SIDS component. </w:t>
            </w:r>
            <w:r>
              <w:rPr>
                <w:rFonts w:asciiTheme="minorHAnsi" w:hAnsiTheme="minorHAnsi" w:cstheme="minorHAnsi"/>
                <w:color w:val="000000"/>
                <w:sz w:val="20"/>
                <w:szCs w:val="20"/>
                <w:lang w:eastAsia="en-US"/>
              </w:rPr>
              <w:br/>
            </w:r>
          </w:p>
          <w:p w14:paraId="05CCAB84"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PCU($3604)</w:t>
            </w:r>
            <w:r>
              <w:rPr>
                <w:rFonts w:asciiTheme="minorHAnsi" w:hAnsiTheme="minorHAnsi" w:cstheme="minorHAnsi"/>
                <w:color w:val="000000"/>
                <w:sz w:val="20"/>
                <w:szCs w:val="20"/>
                <w:lang w:eastAsia="en-US"/>
              </w:rPr>
              <w:br/>
              <w:t>Chief Technical Adviser/Project Manager (CTA/PM) (0.8675 weeks @ USD 4.153,85/week) (Project Appointment P-4)</w:t>
            </w:r>
            <w:r>
              <w:rPr>
                <w:rFonts w:asciiTheme="minorHAnsi" w:hAnsiTheme="minorHAnsi" w:cstheme="minorHAnsi"/>
                <w:color w:val="000000"/>
                <w:sz w:val="20"/>
                <w:szCs w:val="20"/>
                <w:lang w:eastAsia="en-US"/>
              </w:rPr>
              <w:br/>
            </w:r>
          </w:p>
          <w:p w14:paraId="17DCAA64"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Consultants ($18,740)</w:t>
            </w:r>
          </w:p>
          <w:p w14:paraId="07818417"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SIDS Component Coordinator (37,48 days @ 500 USD)</w:t>
            </w:r>
          </w:p>
        </w:tc>
      </w:tr>
      <w:tr w:rsidR="00F0133E" w:rsidRPr="00F0133E" w14:paraId="09415DE4" w14:textId="77777777" w:rsidTr="00F0133E">
        <w:trPr>
          <w:trHeight w:val="434"/>
        </w:trPr>
        <w:tc>
          <w:tcPr>
            <w:tcW w:w="3040" w:type="dxa"/>
            <w:tcBorders>
              <w:top w:val="nil"/>
              <w:left w:val="single" w:sz="4" w:space="0" w:color="auto"/>
              <w:bottom w:val="single" w:sz="4" w:space="0" w:color="auto"/>
              <w:right w:val="single" w:sz="4" w:space="0" w:color="auto"/>
            </w:tcBorders>
            <w:vAlign w:val="center"/>
            <w:hideMark/>
          </w:tcPr>
          <w:p w14:paraId="554AEAF0"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12</w:t>
            </w:r>
          </w:p>
        </w:tc>
        <w:tc>
          <w:tcPr>
            <w:tcW w:w="11600" w:type="dxa"/>
            <w:tcBorders>
              <w:top w:val="single" w:sz="4" w:space="0" w:color="auto"/>
              <w:left w:val="nil"/>
              <w:bottom w:val="single" w:sz="4" w:space="0" w:color="auto"/>
              <w:right w:val="single" w:sz="4" w:space="0" w:color="000000"/>
            </w:tcBorders>
            <w:vAlign w:val="center"/>
            <w:hideMark/>
          </w:tcPr>
          <w:p w14:paraId="3623D619"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Local Consultants (USD 68.016): Including PCU staff working on program, finance and event assistance activities. </w:t>
            </w:r>
            <w:r>
              <w:rPr>
                <w:rFonts w:asciiTheme="minorHAnsi" w:hAnsiTheme="minorHAnsi" w:cstheme="minorHAnsi"/>
                <w:color w:val="000000"/>
                <w:sz w:val="20"/>
                <w:szCs w:val="20"/>
                <w:lang w:eastAsia="en-US"/>
              </w:rPr>
              <w:br/>
            </w:r>
            <w:r>
              <w:rPr>
                <w:rFonts w:asciiTheme="minorHAnsi" w:hAnsiTheme="minorHAnsi" w:cstheme="minorHAnsi"/>
                <w:color w:val="000000"/>
                <w:sz w:val="20"/>
                <w:szCs w:val="20"/>
                <w:lang w:eastAsia="en-US"/>
              </w:rPr>
              <w:br/>
              <w:t>PCU ($68,016)</w:t>
            </w:r>
          </w:p>
          <w:p w14:paraId="17D95FEA"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Project Assistant (50,1 weeks @ USD 1.357,62) (Project Appointment G-5) – Project assistant will provide technical support to the execution of all face-to-face events (SIDS regional training), including </w:t>
            </w:r>
            <w:proofErr w:type="spellStart"/>
            <w:r>
              <w:rPr>
                <w:rFonts w:asciiTheme="minorHAnsi" w:hAnsiTheme="minorHAnsi" w:cstheme="minorHAnsi"/>
                <w:color w:val="000000"/>
                <w:sz w:val="20"/>
                <w:szCs w:val="20"/>
                <w:lang w:eastAsia="en-US"/>
              </w:rPr>
              <w:t>organzing</w:t>
            </w:r>
            <w:proofErr w:type="spellEnd"/>
            <w:r>
              <w:rPr>
                <w:rFonts w:asciiTheme="minorHAnsi" w:hAnsiTheme="minorHAnsi" w:cstheme="minorHAnsi"/>
                <w:color w:val="000000"/>
                <w:sz w:val="20"/>
                <w:szCs w:val="20"/>
                <w:lang w:eastAsia="en-US"/>
              </w:rPr>
              <w:t xml:space="preserve"> participation, facilitating content and contributing to the overall learning agenda</w:t>
            </w:r>
          </w:p>
        </w:tc>
      </w:tr>
      <w:tr w:rsidR="00F0133E" w:rsidRPr="00F0133E" w14:paraId="19A22DA7" w14:textId="77777777" w:rsidTr="00F0133E">
        <w:trPr>
          <w:trHeight w:val="246"/>
        </w:trPr>
        <w:tc>
          <w:tcPr>
            <w:tcW w:w="3040" w:type="dxa"/>
            <w:tcBorders>
              <w:top w:val="nil"/>
              <w:left w:val="single" w:sz="4" w:space="0" w:color="auto"/>
              <w:bottom w:val="single" w:sz="4" w:space="0" w:color="auto"/>
              <w:right w:val="single" w:sz="4" w:space="0" w:color="auto"/>
            </w:tcBorders>
            <w:vAlign w:val="center"/>
            <w:hideMark/>
          </w:tcPr>
          <w:p w14:paraId="2BBBAB0D"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lastRenderedPageBreak/>
              <w:t>13</w:t>
            </w:r>
          </w:p>
        </w:tc>
        <w:tc>
          <w:tcPr>
            <w:tcW w:w="11600" w:type="dxa"/>
            <w:tcBorders>
              <w:top w:val="single" w:sz="4" w:space="0" w:color="auto"/>
              <w:left w:val="nil"/>
              <w:bottom w:val="single" w:sz="4" w:space="0" w:color="auto"/>
              <w:right w:val="single" w:sz="4" w:space="0" w:color="000000"/>
            </w:tcBorders>
            <w:vAlign w:val="center"/>
            <w:hideMark/>
          </w:tcPr>
          <w:p w14:paraId="599DE68A"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Contractual services – organizations (USD 134.740): Contracts for the execution of the SIDS Component (including SIDS Hub (3.2) and SIDS Training Material Development (3.3)</w:t>
            </w:r>
          </w:p>
        </w:tc>
      </w:tr>
      <w:tr w:rsidR="00F0133E" w:rsidRPr="00F0133E" w14:paraId="51F0319D" w14:textId="77777777" w:rsidTr="00F0133E">
        <w:trPr>
          <w:trHeight w:val="466"/>
        </w:trPr>
        <w:tc>
          <w:tcPr>
            <w:tcW w:w="3040" w:type="dxa"/>
            <w:tcBorders>
              <w:top w:val="nil"/>
              <w:left w:val="single" w:sz="4" w:space="0" w:color="auto"/>
              <w:bottom w:val="single" w:sz="4" w:space="0" w:color="auto"/>
              <w:right w:val="single" w:sz="4" w:space="0" w:color="auto"/>
            </w:tcBorders>
            <w:vAlign w:val="center"/>
            <w:hideMark/>
          </w:tcPr>
          <w:p w14:paraId="7DBE1A42"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14</w:t>
            </w:r>
          </w:p>
        </w:tc>
        <w:tc>
          <w:tcPr>
            <w:tcW w:w="11600" w:type="dxa"/>
            <w:tcBorders>
              <w:top w:val="single" w:sz="4" w:space="0" w:color="auto"/>
              <w:left w:val="nil"/>
              <w:bottom w:val="single" w:sz="4" w:space="0" w:color="auto"/>
              <w:right w:val="single" w:sz="4" w:space="0" w:color="000000"/>
            </w:tcBorders>
            <w:vAlign w:val="center"/>
            <w:hideMark/>
          </w:tcPr>
          <w:p w14:paraId="010257D5"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Travel (USD 20.000): Travel by consultants, beneficiaries and PCU staff on supporting component related activities (including for Project Steering Committee meeting participation and PCU oversight of component technical activities) is included, except for the travel cost of the Project Coordination Unit when performing project management tasks (Project Steering Committee meetings).</w:t>
            </w:r>
          </w:p>
        </w:tc>
      </w:tr>
      <w:tr w:rsidR="00F0133E" w:rsidRPr="00F0133E" w14:paraId="277FCACA" w14:textId="77777777" w:rsidTr="00F0133E">
        <w:trPr>
          <w:trHeight w:val="420"/>
        </w:trPr>
        <w:tc>
          <w:tcPr>
            <w:tcW w:w="3040" w:type="dxa"/>
            <w:tcBorders>
              <w:top w:val="nil"/>
              <w:left w:val="single" w:sz="4" w:space="0" w:color="auto"/>
              <w:bottom w:val="single" w:sz="4" w:space="0" w:color="auto"/>
              <w:right w:val="single" w:sz="4" w:space="0" w:color="auto"/>
            </w:tcBorders>
            <w:vAlign w:val="center"/>
            <w:hideMark/>
          </w:tcPr>
          <w:p w14:paraId="06AC2676"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15</w:t>
            </w:r>
          </w:p>
        </w:tc>
        <w:tc>
          <w:tcPr>
            <w:tcW w:w="11600" w:type="dxa"/>
            <w:tcBorders>
              <w:top w:val="single" w:sz="4" w:space="0" w:color="auto"/>
              <w:left w:val="nil"/>
              <w:bottom w:val="single" w:sz="4" w:space="0" w:color="auto"/>
              <w:right w:val="single" w:sz="4" w:space="0" w:color="000000"/>
            </w:tcBorders>
            <w:vAlign w:val="center"/>
            <w:hideMark/>
          </w:tcPr>
          <w:p w14:paraId="154C3451"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Trainings/workshops (USD 104.904):  Participation of project beneficiaries in the SIDS Twinning (3.1) and SIDS regional/global training workshops (3.4)</w:t>
            </w:r>
          </w:p>
        </w:tc>
      </w:tr>
      <w:tr w:rsidR="00F0133E" w:rsidRPr="00F0133E" w14:paraId="39641076" w14:textId="77777777" w:rsidTr="00F0133E">
        <w:trPr>
          <w:trHeight w:val="1175"/>
        </w:trPr>
        <w:tc>
          <w:tcPr>
            <w:tcW w:w="3040" w:type="dxa"/>
            <w:tcBorders>
              <w:top w:val="nil"/>
              <w:left w:val="single" w:sz="4" w:space="0" w:color="auto"/>
              <w:bottom w:val="single" w:sz="4" w:space="0" w:color="auto"/>
              <w:right w:val="single" w:sz="4" w:space="0" w:color="auto"/>
            </w:tcBorders>
            <w:vAlign w:val="center"/>
            <w:hideMark/>
          </w:tcPr>
          <w:p w14:paraId="6C93662C"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16</w:t>
            </w:r>
          </w:p>
        </w:tc>
        <w:tc>
          <w:tcPr>
            <w:tcW w:w="11600" w:type="dxa"/>
            <w:tcBorders>
              <w:top w:val="single" w:sz="4" w:space="0" w:color="auto"/>
              <w:left w:val="nil"/>
              <w:bottom w:val="single" w:sz="4" w:space="0" w:color="auto"/>
              <w:right w:val="single" w:sz="4" w:space="0" w:color="000000"/>
            </w:tcBorders>
            <w:vAlign w:val="center"/>
            <w:hideMark/>
          </w:tcPr>
          <w:p w14:paraId="6DC38810"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International Consultants ($565,608.00): This includes international consultants working on project activities, including PCU staff.. As described in the TORs, the Project Coordinator/Deputy Project Coordinator will provide strong technical advice and guidance to the implementation of project Component Four by providing specific content interventions to IW:LEARN face-to-face events (to supplement partner contributions). </w:t>
            </w:r>
            <w:r>
              <w:rPr>
                <w:rFonts w:asciiTheme="minorHAnsi" w:hAnsiTheme="minorHAnsi" w:cstheme="minorHAnsi"/>
                <w:color w:val="000000"/>
                <w:sz w:val="20"/>
                <w:szCs w:val="20"/>
                <w:lang w:eastAsia="en-US"/>
              </w:rPr>
              <w:br/>
            </w:r>
          </w:p>
          <w:p w14:paraId="0147C52D"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PCU ($565,608)</w:t>
            </w:r>
            <w:r>
              <w:rPr>
                <w:rFonts w:asciiTheme="minorHAnsi" w:hAnsiTheme="minorHAnsi" w:cstheme="minorHAnsi"/>
                <w:color w:val="000000"/>
                <w:sz w:val="20"/>
                <w:szCs w:val="20"/>
                <w:lang w:eastAsia="en-US"/>
              </w:rPr>
              <w:br/>
              <w:t>Chief Technical Adviser/Project Manager (CTA/PM) (69 weeks @ USD 4153.85/week) (Project Appointment P-4)</w:t>
            </w:r>
            <w:r>
              <w:rPr>
                <w:rFonts w:asciiTheme="minorHAnsi" w:hAnsiTheme="minorHAnsi" w:cstheme="minorHAnsi"/>
                <w:color w:val="000000"/>
                <w:sz w:val="20"/>
                <w:szCs w:val="20"/>
                <w:lang w:eastAsia="en-US"/>
              </w:rPr>
              <w:br/>
              <w:t>Deputy Project Coordinator (78.774 weeks @ USD 3538.46) (Project Appointment P-3)</w:t>
            </w:r>
          </w:p>
        </w:tc>
      </w:tr>
      <w:tr w:rsidR="00F0133E" w:rsidRPr="00F0133E" w14:paraId="2937F2D7" w14:textId="77777777" w:rsidTr="00F0133E">
        <w:trPr>
          <w:trHeight w:val="541"/>
        </w:trPr>
        <w:tc>
          <w:tcPr>
            <w:tcW w:w="3040" w:type="dxa"/>
            <w:tcBorders>
              <w:top w:val="nil"/>
              <w:left w:val="single" w:sz="4" w:space="0" w:color="auto"/>
              <w:bottom w:val="single" w:sz="4" w:space="0" w:color="auto"/>
              <w:right w:val="single" w:sz="4" w:space="0" w:color="auto"/>
            </w:tcBorders>
            <w:vAlign w:val="center"/>
            <w:hideMark/>
          </w:tcPr>
          <w:p w14:paraId="4ED852CA"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17</w:t>
            </w:r>
          </w:p>
        </w:tc>
        <w:tc>
          <w:tcPr>
            <w:tcW w:w="11600" w:type="dxa"/>
            <w:tcBorders>
              <w:top w:val="single" w:sz="4" w:space="0" w:color="auto"/>
              <w:left w:val="nil"/>
              <w:bottom w:val="single" w:sz="4" w:space="0" w:color="auto"/>
              <w:right w:val="single" w:sz="4" w:space="0" w:color="000000"/>
            </w:tcBorders>
            <w:vAlign w:val="center"/>
            <w:hideMark/>
          </w:tcPr>
          <w:p w14:paraId="5BECDF1B"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Contractual services – organizations (USD 316.500): Contracts for the execution of Component 4 events including Nexus Roundtables (4.1), Groundwater dialogues (4.2), MSP Trainings and TDA-SAP Modifications (4.3), Regional Ocean Dialogue meetings (4.4) as </w:t>
            </w:r>
            <w:proofErr w:type="spellStart"/>
            <w:r>
              <w:rPr>
                <w:rFonts w:asciiTheme="minorHAnsi" w:hAnsiTheme="minorHAnsi" w:cstheme="minorHAnsi"/>
                <w:color w:val="000000"/>
                <w:sz w:val="20"/>
                <w:szCs w:val="20"/>
                <w:lang w:eastAsia="en-US"/>
              </w:rPr>
              <w:t>wel</w:t>
            </w:r>
            <w:proofErr w:type="spellEnd"/>
            <w:r>
              <w:rPr>
                <w:rFonts w:asciiTheme="minorHAnsi" w:hAnsiTheme="minorHAnsi" w:cstheme="minorHAnsi"/>
                <w:color w:val="000000"/>
                <w:sz w:val="20"/>
                <w:szCs w:val="20"/>
                <w:lang w:eastAsia="en-US"/>
              </w:rPr>
              <w:t xml:space="preserve"> as Implementing Partner Agreements with GRID-</w:t>
            </w:r>
            <w:proofErr w:type="spellStart"/>
            <w:r>
              <w:rPr>
                <w:rFonts w:asciiTheme="minorHAnsi" w:hAnsiTheme="minorHAnsi" w:cstheme="minorHAnsi"/>
                <w:color w:val="000000"/>
                <w:sz w:val="20"/>
                <w:szCs w:val="20"/>
                <w:lang w:eastAsia="en-US"/>
              </w:rPr>
              <w:t>Arendal</w:t>
            </w:r>
            <w:proofErr w:type="spellEnd"/>
            <w:r>
              <w:rPr>
                <w:rFonts w:asciiTheme="minorHAnsi" w:hAnsiTheme="minorHAnsi" w:cstheme="minorHAnsi"/>
                <w:color w:val="000000"/>
                <w:sz w:val="20"/>
                <w:szCs w:val="20"/>
                <w:lang w:eastAsia="en-US"/>
              </w:rPr>
              <w:t>, IIASA, CSS, UNECE (as well as other partners possibly to include UN-IGRAC, IAEA, OAS, SIWI), for the execution of Component 4 activities</w:t>
            </w:r>
          </w:p>
        </w:tc>
      </w:tr>
      <w:tr w:rsidR="00F0133E" w:rsidRPr="00F0133E" w14:paraId="1B63126C" w14:textId="77777777" w:rsidTr="00F0133E">
        <w:trPr>
          <w:trHeight w:val="540"/>
        </w:trPr>
        <w:tc>
          <w:tcPr>
            <w:tcW w:w="3040" w:type="dxa"/>
            <w:tcBorders>
              <w:top w:val="nil"/>
              <w:left w:val="single" w:sz="4" w:space="0" w:color="auto"/>
              <w:bottom w:val="single" w:sz="4" w:space="0" w:color="auto"/>
              <w:right w:val="single" w:sz="4" w:space="0" w:color="auto"/>
            </w:tcBorders>
            <w:vAlign w:val="center"/>
            <w:hideMark/>
          </w:tcPr>
          <w:p w14:paraId="626BE863"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18</w:t>
            </w:r>
          </w:p>
        </w:tc>
        <w:tc>
          <w:tcPr>
            <w:tcW w:w="11600" w:type="dxa"/>
            <w:tcBorders>
              <w:top w:val="single" w:sz="4" w:space="0" w:color="auto"/>
              <w:left w:val="nil"/>
              <w:bottom w:val="single" w:sz="4" w:space="0" w:color="auto"/>
              <w:right w:val="single" w:sz="4" w:space="0" w:color="000000"/>
            </w:tcBorders>
            <w:vAlign w:val="center"/>
            <w:hideMark/>
          </w:tcPr>
          <w:p w14:paraId="60BF0657"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Travel (USD 20.000): Travel by consultants, beneficiaries and PCU staff on supporting component related activities (including for Project Steering Committee meeting participation and PCU oversight of component technical activities) is included, except for the travel cost of the Project Coordination Unit when performing project management tasks (Project Steering Committee meetings).</w:t>
            </w:r>
          </w:p>
        </w:tc>
      </w:tr>
      <w:tr w:rsidR="00F0133E" w:rsidRPr="00F0133E" w14:paraId="2893B577" w14:textId="77777777" w:rsidTr="00F0133E">
        <w:trPr>
          <w:trHeight w:val="522"/>
        </w:trPr>
        <w:tc>
          <w:tcPr>
            <w:tcW w:w="3040" w:type="dxa"/>
            <w:tcBorders>
              <w:top w:val="nil"/>
              <w:left w:val="single" w:sz="4" w:space="0" w:color="auto"/>
              <w:bottom w:val="single" w:sz="4" w:space="0" w:color="auto"/>
              <w:right w:val="single" w:sz="4" w:space="0" w:color="auto"/>
            </w:tcBorders>
            <w:vAlign w:val="center"/>
            <w:hideMark/>
          </w:tcPr>
          <w:p w14:paraId="42C67268"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19</w:t>
            </w:r>
          </w:p>
        </w:tc>
        <w:tc>
          <w:tcPr>
            <w:tcW w:w="11600" w:type="dxa"/>
            <w:tcBorders>
              <w:top w:val="single" w:sz="4" w:space="0" w:color="auto"/>
              <w:left w:val="nil"/>
              <w:bottom w:val="single" w:sz="4" w:space="0" w:color="auto"/>
              <w:right w:val="single" w:sz="4" w:space="0" w:color="000000"/>
            </w:tcBorders>
            <w:vAlign w:val="center"/>
            <w:hideMark/>
          </w:tcPr>
          <w:p w14:paraId="521FC9F6"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Miscellaneous (USD 20.000): Support for meeting </w:t>
            </w:r>
            <w:proofErr w:type="spellStart"/>
            <w:r>
              <w:rPr>
                <w:rFonts w:asciiTheme="minorHAnsi" w:hAnsiTheme="minorHAnsi" w:cstheme="minorHAnsi"/>
                <w:color w:val="000000"/>
                <w:sz w:val="20"/>
                <w:szCs w:val="20"/>
                <w:lang w:eastAsia="en-US"/>
              </w:rPr>
              <w:t>relatedexpenses</w:t>
            </w:r>
            <w:proofErr w:type="spellEnd"/>
            <w:r>
              <w:rPr>
                <w:rFonts w:asciiTheme="minorHAnsi" w:hAnsiTheme="minorHAnsi" w:cstheme="minorHAnsi"/>
                <w:color w:val="000000"/>
                <w:sz w:val="20"/>
                <w:szCs w:val="20"/>
                <w:lang w:eastAsia="en-US"/>
              </w:rPr>
              <w:t xml:space="preserve"> associated with the Annual Marine and Coastal Consultations</w:t>
            </w:r>
          </w:p>
        </w:tc>
      </w:tr>
      <w:tr w:rsidR="00F0133E" w:rsidRPr="00F0133E" w14:paraId="7EF41E62" w14:textId="77777777" w:rsidTr="00F0133E">
        <w:trPr>
          <w:trHeight w:val="402"/>
        </w:trPr>
        <w:tc>
          <w:tcPr>
            <w:tcW w:w="3040" w:type="dxa"/>
            <w:tcBorders>
              <w:top w:val="nil"/>
              <w:left w:val="single" w:sz="4" w:space="0" w:color="auto"/>
              <w:bottom w:val="single" w:sz="4" w:space="0" w:color="auto"/>
              <w:right w:val="single" w:sz="4" w:space="0" w:color="auto"/>
            </w:tcBorders>
            <w:vAlign w:val="center"/>
            <w:hideMark/>
          </w:tcPr>
          <w:p w14:paraId="45A55A91"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20</w:t>
            </w:r>
          </w:p>
        </w:tc>
        <w:tc>
          <w:tcPr>
            <w:tcW w:w="11600" w:type="dxa"/>
            <w:tcBorders>
              <w:top w:val="single" w:sz="4" w:space="0" w:color="auto"/>
              <w:left w:val="nil"/>
              <w:bottom w:val="single" w:sz="4" w:space="0" w:color="auto"/>
              <w:right w:val="single" w:sz="4" w:space="0" w:color="000000"/>
            </w:tcBorders>
            <w:vAlign w:val="center"/>
            <w:hideMark/>
          </w:tcPr>
          <w:p w14:paraId="73903953"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Trainings/workshops (USD 356.888):  Participation of project beneficiaries in the Nexus Roundtables (4.1), Groundwater Dialogues (4.2), MSP/Blue Economy Trainings/Meetings (4.3), Regional Ocean Dialogues (4.4) and Annual Marine and Coastal Consultations (4.4)</w:t>
            </w:r>
          </w:p>
        </w:tc>
      </w:tr>
      <w:tr w:rsidR="00F0133E" w:rsidRPr="00F0133E" w14:paraId="615978C8" w14:textId="77777777" w:rsidTr="00F0133E">
        <w:trPr>
          <w:trHeight w:val="1317"/>
        </w:trPr>
        <w:tc>
          <w:tcPr>
            <w:tcW w:w="3040" w:type="dxa"/>
            <w:tcBorders>
              <w:top w:val="nil"/>
              <w:left w:val="single" w:sz="4" w:space="0" w:color="auto"/>
              <w:bottom w:val="single" w:sz="4" w:space="0" w:color="auto"/>
              <w:right w:val="single" w:sz="4" w:space="0" w:color="auto"/>
            </w:tcBorders>
            <w:vAlign w:val="center"/>
            <w:hideMark/>
          </w:tcPr>
          <w:p w14:paraId="763E91E8"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21</w:t>
            </w:r>
          </w:p>
        </w:tc>
        <w:tc>
          <w:tcPr>
            <w:tcW w:w="11600" w:type="dxa"/>
            <w:tcBorders>
              <w:top w:val="single" w:sz="4" w:space="0" w:color="auto"/>
              <w:left w:val="nil"/>
              <w:bottom w:val="single" w:sz="4" w:space="0" w:color="auto"/>
              <w:right w:val="single" w:sz="4" w:space="0" w:color="000000"/>
            </w:tcBorders>
            <w:vAlign w:val="center"/>
            <w:hideMark/>
          </w:tcPr>
          <w:p w14:paraId="5970584E"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International Consultants ($290,664): This includes international consultants working on project activities, including PCU staff.. As described in the TORs, the Project Coordinator/Deputy Project Coordinator will provide strong technical advice and guidance to the implementation of project Component Five by providing coordination support to private sector engagement activities. </w:t>
            </w:r>
            <w:r>
              <w:rPr>
                <w:rFonts w:asciiTheme="minorHAnsi" w:hAnsiTheme="minorHAnsi" w:cstheme="minorHAnsi"/>
                <w:color w:val="000000"/>
                <w:sz w:val="20"/>
                <w:szCs w:val="20"/>
                <w:lang w:eastAsia="en-US"/>
              </w:rPr>
              <w:br/>
            </w:r>
          </w:p>
          <w:p w14:paraId="45F89F3F"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PCU ($269,111)</w:t>
            </w:r>
            <w:r>
              <w:rPr>
                <w:rFonts w:asciiTheme="minorHAnsi" w:hAnsiTheme="minorHAnsi" w:cstheme="minorHAnsi"/>
                <w:color w:val="000000"/>
                <w:sz w:val="20"/>
                <w:szCs w:val="20"/>
                <w:lang w:eastAsia="en-US"/>
              </w:rPr>
              <w:br/>
              <w:t>Deputy Project Coordinator (76.068 weeks @ USD 3538.46) (Project Appointment P-3)</w:t>
            </w:r>
            <w:r>
              <w:rPr>
                <w:rFonts w:asciiTheme="minorHAnsi" w:hAnsiTheme="minorHAnsi" w:cstheme="minorHAnsi"/>
                <w:color w:val="000000"/>
                <w:sz w:val="20"/>
                <w:szCs w:val="20"/>
                <w:lang w:eastAsia="en-US"/>
              </w:rPr>
              <w:br/>
              <w:t>Consultancy ($21,500)</w:t>
            </w:r>
          </w:p>
          <w:p w14:paraId="6E0217D7"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Private Sector Engagement Coordinator (43 days @500 USD)</w:t>
            </w:r>
          </w:p>
        </w:tc>
      </w:tr>
      <w:tr w:rsidR="00F0133E" w:rsidRPr="00F0133E" w14:paraId="34DF5641" w14:textId="77777777" w:rsidTr="00F0133E">
        <w:trPr>
          <w:trHeight w:val="462"/>
        </w:trPr>
        <w:tc>
          <w:tcPr>
            <w:tcW w:w="3040" w:type="dxa"/>
            <w:tcBorders>
              <w:top w:val="nil"/>
              <w:left w:val="single" w:sz="4" w:space="0" w:color="auto"/>
              <w:bottom w:val="single" w:sz="4" w:space="0" w:color="auto"/>
              <w:right w:val="single" w:sz="4" w:space="0" w:color="auto"/>
            </w:tcBorders>
            <w:vAlign w:val="center"/>
            <w:hideMark/>
          </w:tcPr>
          <w:p w14:paraId="407B7D3A"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22</w:t>
            </w:r>
          </w:p>
        </w:tc>
        <w:tc>
          <w:tcPr>
            <w:tcW w:w="11600" w:type="dxa"/>
            <w:tcBorders>
              <w:top w:val="single" w:sz="4" w:space="0" w:color="auto"/>
              <w:left w:val="nil"/>
              <w:bottom w:val="single" w:sz="4" w:space="0" w:color="auto"/>
              <w:right w:val="single" w:sz="4" w:space="0" w:color="000000"/>
            </w:tcBorders>
            <w:vAlign w:val="center"/>
            <w:hideMark/>
          </w:tcPr>
          <w:p w14:paraId="5C7FFB7A"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Contractual services – organizations (USD 160.000): Contracts for the execution of Component 5 events including PS Advisory Panel meetings (5.1), PS Engagement Roundtables (5.2), as well as Implementing Partner Agreements with WWF, IUCN, TNC and UNECE.</w:t>
            </w:r>
          </w:p>
        </w:tc>
      </w:tr>
      <w:tr w:rsidR="00F0133E" w:rsidRPr="00F0133E" w14:paraId="07022745" w14:textId="77777777" w:rsidTr="00F0133E">
        <w:trPr>
          <w:trHeight w:val="415"/>
        </w:trPr>
        <w:tc>
          <w:tcPr>
            <w:tcW w:w="3040" w:type="dxa"/>
            <w:tcBorders>
              <w:top w:val="nil"/>
              <w:left w:val="single" w:sz="4" w:space="0" w:color="auto"/>
              <w:bottom w:val="single" w:sz="4" w:space="0" w:color="auto"/>
              <w:right w:val="single" w:sz="4" w:space="0" w:color="auto"/>
            </w:tcBorders>
            <w:vAlign w:val="center"/>
            <w:hideMark/>
          </w:tcPr>
          <w:p w14:paraId="76FCDAC5"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lastRenderedPageBreak/>
              <w:t>23</w:t>
            </w:r>
          </w:p>
        </w:tc>
        <w:tc>
          <w:tcPr>
            <w:tcW w:w="11600" w:type="dxa"/>
            <w:tcBorders>
              <w:top w:val="single" w:sz="4" w:space="0" w:color="auto"/>
              <w:left w:val="nil"/>
              <w:bottom w:val="single" w:sz="4" w:space="0" w:color="auto"/>
              <w:right w:val="single" w:sz="4" w:space="0" w:color="000000"/>
            </w:tcBorders>
            <w:vAlign w:val="center"/>
            <w:hideMark/>
          </w:tcPr>
          <w:p w14:paraId="5D61ABA1"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Travel (USD 20.000): Travel by consultants, beneficiaries and PCU staff on supporting component related activities (including for Project Steering Committee meeting participation and PCU oversight of component technical activities) is included, except for the travel cost of the Project Coordination Unit when performing project management tasks (Project Steering Committee meetings).</w:t>
            </w:r>
          </w:p>
        </w:tc>
      </w:tr>
      <w:tr w:rsidR="00F0133E" w:rsidRPr="00F0133E" w14:paraId="52AFA008" w14:textId="77777777" w:rsidTr="00F0133E">
        <w:trPr>
          <w:trHeight w:val="588"/>
        </w:trPr>
        <w:tc>
          <w:tcPr>
            <w:tcW w:w="3040" w:type="dxa"/>
            <w:tcBorders>
              <w:top w:val="nil"/>
              <w:left w:val="single" w:sz="4" w:space="0" w:color="auto"/>
              <w:bottom w:val="single" w:sz="4" w:space="0" w:color="auto"/>
              <w:right w:val="single" w:sz="4" w:space="0" w:color="auto"/>
            </w:tcBorders>
            <w:vAlign w:val="center"/>
            <w:hideMark/>
          </w:tcPr>
          <w:p w14:paraId="78A92521"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24</w:t>
            </w:r>
          </w:p>
        </w:tc>
        <w:tc>
          <w:tcPr>
            <w:tcW w:w="11600" w:type="dxa"/>
            <w:tcBorders>
              <w:top w:val="single" w:sz="4" w:space="0" w:color="auto"/>
              <w:left w:val="nil"/>
              <w:bottom w:val="single" w:sz="4" w:space="0" w:color="auto"/>
              <w:right w:val="single" w:sz="4" w:space="0" w:color="000000"/>
            </w:tcBorders>
            <w:vAlign w:val="center"/>
            <w:hideMark/>
          </w:tcPr>
          <w:p w14:paraId="0C02637E"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Trainings/workshops (USD 100.336):  Participation of project beneficiaries in the PS Advisory Panel events (5.1), PS Roundtables (5.2) and other activities of the component</w:t>
            </w:r>
          </w:p>
        </w:tc>
      </w:tr>
      <w:tr w:rsidR="00F0133E" w:rsidRPr="00F0133E" w14:paraId="40F1A85D" w14:textId="77777777" w:rsidTr="00F0133E">
        <w:trPr>
          <w:trHeight w:val="678"/>
        </w:trPr>
        <w:tc>
          <w:tcPr>
            <w:tcW w:w="3040" w:type="dxa"/>
            <w:tcBorders>
              <w:top w:val="nil"/>
              <w:left w:val="single" w:sz="4" w:space="0" w:color="auto"/>
              <w:bottom w:val="single" w:sz="4" w:space="0" w:color="auto"/>
              <w:right w:val="single" w:sz="4" w:space="0" w:color="auto"/>
            </w:tcBorders>
            <w:vAlign w:val="center"/>
            <w:hideMark/>
          </w:tcPr>
          <w:p w14:paraId="369B22C8"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25</w:t>
            </w:r>
          </w:p>
        </w:tc>
        <w:tc>
          <w:tcPr>
            <w:tcW w:w="11600" w:type="dxa"/>
            <w:tcBorders>
              <w:top w:val="single" w:sz="4" w:space="0" w:color="auto"/>
              <w:left w:val="nil"/>
              <w:bottom w:val="single" w:sz="4" w:space="0" w:color="auto"/>
              <w:right w:val="single" w:sz="4" w:space="0" w:color="000000"/>
            </w:tcBorders>
            <w:vAlign w:val="center"/>
            <w:hideMark/>
          </w:tcPr>
          <w:p w14:paraId="78921E41"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International Consultants ($60,000): Monitoring and Evaluation Component Plan - This includes international consultants working as independent evaluators as part of the project’s M&amp;E Plan. </w:t>
            </w:r>
            <w:r>
              <w:rPr>
                <w:rFonts w:asciiTheme="minorHAnsi" w:hAnsiTheme="minorHAnsi" w:cstheme="minorHAnsi"/>
                <w:color w:val="000000"/>
                <w:sz w:val="20"/>
                <w:szCs w:val="20"/>
                <w:lang w:eastAsia="en-US"/>
              </w:rPr>
              <w:br/>
            </w:r>
          </w:p>
          <w:p w14:paraId="189FAE62"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Consultancy ($60,000)</w:t>
            </w:r>
            <w:r>
              <w:rPr>
                <w:rFonts w:asciiTheme="minorHAnsi" w:hAnsiTheme="minorHAnsi" w:cstheme="minorHAnsi"/>
                <w:color w:val="000000"/>
                <w:sz w:val="20"/>
                <w:szCs w:val="20"/>
                <w:lang w:eastAsia="en-US"/>
              </w:rPr>
              <w:br/>
              <w:t>M&amp;E Plan: Independent Evaluation Mid-term and Terminal Consultants (120 days @ 500 USD)</w:t>
            </w:r>
          </w:p>
        </w:tc>
      </w:tr>
      <w:tr w:rsidR="00F0133E" w:rsidRPr="00F0133E" w14:paraId="16C8C25C" w14:textId="77777777" w:rsidTr="00F0133E">
        <w:trPr>
          <w:trHeight w:val="209"/>
        </w:trPr>
        <w:tc>
          <w:tcPr>
            <w:tcW w:w="3040" w:type="dxa"/>
            <w:tcBorders>
              <w:top w:val="nil"/>
              <w:left w:val="single" w:sz="4" w:space="0" w:color="auto"/>
              <w:bottom w:val="single" w:sz="4" w:space="0" w:color="auto"/>
              <w:right w:val="single" w:sz="4" w:space="0" w:color="auto"/>
            </w:tcBorders>
            <w:vAlign w:val="center"/>
            <w:hideMark/>
          </w:tcPr>
          <w:p w14:paraId="11D4CB8F"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26</w:t>
            </w:r>
          </w:p>
        </w:tc>
        <w:tc>
          <w:tcPr>
            <w:tcW w:w="11600" w:type="dxa"/>
            <w:tcBorders>
              <w:top w:val="single" w:sz="4" w:space="0" w:color="auto"/>
              <w:left w:val="nil"/>
              <w:bottom w:val="single" w:sz="4" w:space="0" w:color="auto"/>
              <w:right w:val="single" w:sz="4" w:space="0" w:color="000000"/>
            </w:tcBorders>
            <w:vAlign w:val="center"/>
            <w:hideMark/>
          </w:tcPr>
          <w:p w14:paraId="2B91E346"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Travel ($20,000): Monitoring &amp; Evaluation Component - Travel by beneficiaries and project steering committee members for participation in the Project Steering Committee meeting. </w:t>
            </w:r>
          </w:p>
        </w:tc>
      </w:tr>
      <w:tr w:rsidR="00F0133E" w:rsidRPr="00F0133E" w14:paraId="4A7CB45C" w14:textId="77777777" w:rsidTr="00F0133E">
        <w:trPr>
          <w:trHeight w:val="825"/>
        </w:trPr>
        <w:tc>
          <w:tcPr>
            <w:tcW w:w="3040" w:type="dxa"/>
            <w:tcBorders>
              <w:top w:val="nil"/>
              <w:left w:val="single" w:sz="4" w:space="0" w:color="auto"/>
              <w:bottom w:val="single" w:sz="4" w:space="0" w:color="auto"/>
              <w:right w:val="single" w:sz="4" w:space="0" w:color="auto"/>
            </w:tcBorders>
            <w:vAlign w:val="center"/>
            <w:hideMark/>
          </w:tcPr>
          <w:p w14:paraId="2ED4F34D"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27</w:t>
            </w:r>
          </w:p>
        </w:tc>
        <w:tc>
          <w:tcPr>
            <w:tcW w:w="11600" w:type="dxa"/>
            <w:tcBorders>
              <w:top w:val="single" w:sz="4" w:space="0" w:color="auto"/>
              <w:left w:val="nil"/>
              <w:bottom w:val="single" w:sz="4" w:space="0" w:color="auto"/>
              <w:right w:val="single" w:sz="4" w:space="0" w:color="000000"/>
            </w:tcBorders>
            <w:vAlign w:val="center"/>
            <w:hideMark/>
          </w:tcPr>
          <w:p w14:paraId="3A86AD6F"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International Consultants ($58,872): This includes international consultants working on project management support activities, including PCU staff. </w:t>
            </w:r>
            <w:r>
              <w:rPr>
                <w:rFonts w:asciiTheme="minorHAnsi" w:hAnsiTheme="minorHAnsi" w:cstheme="minorHAnsi"/>
                <w:color w:val="000000"/>
                <w:sz w:val="20"/>
                <w:szCs w:val="20"/>
                <w:lang w:eastAsia="en-US"/>
              </w:rPr>
              <w:br/>
            </w:r>
            <w:r>
              <w:rPr>
                <w:rFonts w:asciiTheme="minorHAnsi" w:hAnsiTheme="minorHAnsi" w:cstheme="minorHAnsi"/>
                <w:color w:val="000000"/>
                <w:sz w:val="20"/>
                <w:szCs w:val="20"/>
                <w:lang w:eastAsia="en-US"/>
              </w:rPr>
              <w:br/>
              <w:t>PCU ($58,872)</w:t>
            </w:r>
          </w:p>
          <w:p w14:paraId="5BB85AB5"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Chief Technical Adviser/Project Manager (CTA/PM) (13.172 weeks @ USD 4153.85/week) (Project Appointment P-4)</w:t>
            </w:r>
            <w:r>
              <w:rPr>
                <w:rFonts w:asciiTheme="minorHAnsi" w:hAnsiTheme="minorHAnsi" w:cstheme="minorHAnsi"/>
                <w:color w:val="000000"/>
                <w:sz w:val="20"/>
                <w:szCs w:val="20"/>
                <w:lang w:eastAsia="en-US"/>
              </w:rPr>
              <w:br/>
              <w:t>Deputy Project Coordinator (1.18 weeks @ USD 3538.46) (Project Appointment P-3)</w:t>
            </w:r>
          </w:p>
        </w:tc>
      </w:tr>
      <w:tr w:rsidR="00F0133E" w:rsidRPr="00F0133E" w14:paraId="40D3FD4B" w14:textId="77777777" w:rsidTr="00F0133E">
        <w:trPr>
          <w:trHeight w:val="825"/>
        </w:trPr>
        <w:tc>
          <w:tcPr>
            <w:tcW w:w="3040" w:type="dxa"/>
            <w:tcBorders>
              <w:top w:val="nil"/>
              <w:left w:val="single" w:sz="4" w:space="0" w:color="auto"/>
              <w:bottom w:val="single" w:sz="4" w:space="0" w:color="auto"/>
              <w:right w:val="single" w:sz="4" w:space="0" w:color="auto"/>
            </w:tcBorders>
            <w:vAlign w:val="center"/>
            <w:hideMark/>
          </w:tcPr>
          <w:p w14:paraId="2D2008C3"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28</w:t>
            </w:r>
          </w:p>
        </w:tc>
        <w:tc>
          <w:tcPr>
            <w:tcW w:w="11600" w:type="dxa"/>
            <w:tcBorders>
              <w:top w:val="single" w:sz="4" w:space="0" w:color="auto"/>
              <w:left w:val="nil"/>
              <w:bottom w:val="single" w:sz="4" w:space="0" w:color="auto"/>
              <w:right w:val="single" w:sz="4" w:space="0" w:color="000000"/>
            </w:tcBorders>
            <w:vAlign w:val="center"/>
            <w:hideMark/>
          </w:tcPr>
          <w:p w14:paraId="40FCE46D"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Professional services - Audit costs  $12,000 ($3,000 per year)</w:t>
            </w:r>
          </w:p>
        </w:tc>
      </w:tr>
      <w:tr w:rsidR="00F0133E" w:rsidRPr="00F0133E" w14:paraId="2987F55E" w14:textId="77777777" w:rsidTr="00F0133E">
        <w:trPr>
          <w:trHeight w:val="855"/>
        </w:trPr>
        <w:tc>
          <w:tcPr>
            <w:tcW w:w="3040" w:type="dxa"/>
            <w:tcBorders>
              <w:top w:val="nil"/>
              <w:left w:val="single" w:sz="4" w:space="0" w:color="auto"/>
              <w:bottom w:val="single" w:sz="4" w:space="0" w:color="auto"/>
              <w:right w:val="single" w:sz="4" w:space="0" w:color="auto"/>
            </w:tcBorders>
            <w:vAlign w:val="center"/>
            <w:hideMark/>
          </w:tcPr>
          <w:p w14:paraId="1FA8FBF7"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29</w:t>
            </w:r>
          </w:p>
        </w:tc>
        <w:tc>
          <w:tcPr>
            <w:tcW w:w="11600" w:type="dxa"/>
            <w:tcBorders>
              <w:top w:val="single" w:sz="4" w:space="0" w:color="auto"/>
              <w:left w:val="nil"/>
              <w:bottom w:val="single" w:sz="4" w:space="0" w:color="auto"/>
              <w:right w:val="single" w:sz="4" w:space="0" w:color="000000"/>
            </w:tcBorders>
            <w:vAlign w:val="center"/>
            <w:hideMark/>
          </w:tcPr>
          <w:p w14:paraId="30D704C7"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Local Consultants ($100,628): Including PCU staff working on project management support and communications.</w:t>
            </w:r>
            <w:r>
              <w:rPr>
                <w:rFonts w:asciiTheme="minorHAnsi" w:hAnsiTheme="minorHAnsi" w:cstheme="minorHAnsi"/>
                <w:color w:val="000000"/>
                <w:sz w:val="20"/>
                <w:szCs w:val="20"/>
                <w:lang w:eastAsia="en-US"/>
              </w:rPr>
              <w:br/>
            </w:r>
            <w:r>
              <w:rPr>
                <w:rFonts w:asciiTheme="minorHAnsi" w:hAnsiTheme="minorHAnsi" w:cstheme="minorHAnsi"/>
                <w:color w:val="000000"/>
                <w:sz w:val="20"/>
                <w:szCs w:val="20"/>
                <w:lang w:eastAsia="en-US"/>
              </w:rPr>
              <w:br/>
              <w:t>PCU ($94,740)</w:t>
            </w:r>
          </w:p>
          <w:p w14:paraId="43DF1C29"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Project Assistant (69.783 weeks @ USD 1357.62) (Project Appointment G-5)</w:t>
            </w:r>
            <w:r>
              <w:rPr>
                <w:rFonts w:asciiTheme="minorHAnsi" w:hAnsiTheme="minorHAnsi" w:cstheme="minorHAnsi"/>
                <w:color w:val="000000"/>
                <w:sz w:val="20"/>
                <w:szCs w:val="20"/>
                <w:lang w:eastAsia="en-US"/>
              </w:rPr>
              <w:br/>
              <w:t>Consultancy (5,888)</w:t>
            </w:r>
          </w:p>
          <w:p w14:paraId="614830E0"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Communications Consultant (11.776 days @ USD 500)</w:t>
            </w:r>
          </w:p>
        </w:tc>
      </w:tr>
      <w:tr w:rsidR="00F0133E" w:rsidRPr="00F0133E" w14:paraId="0A75D272" w14:textId="77777777" w:rsidTr="00F0133E">
        <w:trPr>
          <w:trHeight w:val="490"/>
        </w:trPr>
        <w:tc>
          <w:tcPr>
            <w:tcW w:w="3040" w:type="dxa"/>
            <w:tcBorders>
              <w:top w:val="nil"/>
              <w:left w:val="single" w:sz="4" w:space="0" w:color="auto"/>
              <w:bottom w:val="single" w:sz="4" w:space="0" w:color="auto"/>
              <w:right w:val="single" w:sz="4" w:space="0" w:color="auto"/>
            </w:tcBorders>
            <w:vAlign w:val="center"/>
            <w:hideMark/>
          </w:tcPr>
          <w:p w14:paraId="5FDCD184"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30</w:t>
            </w:r>
          </w:p>
        </w:tc>
        <w:tc>
          <w:tcPr>
            <w:tcW w:w="11600" w:type="dxa"/>
            <w:tcBorders>
              <w:top w:val="single" w:sz="4" w:space="0" w:color="auto"/>
              <w:left w:val="nil"/>
              <w:bottom w:val="single" w:sz="4" w:space="0" w:color="auto"/>
              <w:right w:val="single" w:sz="4" w:space="0" w:color="000000"/>
            </w:tcBorders>
            <w:vAlign w:val="center"/>
            <w:hideMark/>
          </w:tcPr>
          <w:p w14:paraId="355EA1E6"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Travel (USD 10.000): Travel by consultants, beneficiaries and PCU staff on supporting project management activities (including for Project Steering Committee meeting participation and PCU oversight of component technical activities) is included, except for the travel cost of the Project Coordination Unit when performing project management tasks (Project Steering Committee meetings).</w:t>
            </w:r>
          </w:p>
        </w:tc>
      </w:tr>
      <w:tr w:rsidR="00F0133E" w:rsidRPr="00F0133E" w14:paraId="1F111686" w14:textId="77777777" w:rsidTr="00F0133E">
        <w:trPr>
          <w:trHeight w:val="457"/>
        </w:trPr>
        <w:tc>
          <w:tcPr>
            <w:tcW w:w="3040" w:type="dxa"/>
            <w:tcBorders>
              <w:top w:val="nil"/>
              <w:left w:val="single" w:sz="4" w:space="0" w:color="auto"/>
              <w:bottom w:val="single" w:sz="4" w:space="0" w:color="auto"/>
              <w:right w:val="single" w:sz="4" w:space="0" w:color="auto"/>
            </w:tcBorders>
            <w:vAlign w:val="center"/>
            <w:hideMark/>
          </w:tcPr>
          <w:p w14:paraId="65170361"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31</w:t>
            </w:r>
          </w:p>
        </w:tc>
        <w:tc>
          <w:tcPr>
            <w:tcW w:w="11600" w:type="dxa"/>
            <w:tcBorders>
              <w:top w:val="single" w:sz="4" w:space="0" w:color="auto"/>
              <w:left w:val="nil"/>
              <w:bottom w:val="single" w:sz="4" w:space="0" w:color="auto"/>
              <w:right w:val="single" w:sz="4" w:space="0" w:color="000000"/>
            </w:tcBorders>
            <w:vAlign w:val="center"/>
            <w:hideMark/>
          </w:tcPr>
          <w:p w14:paraId="3EE98145"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Communication &amp; Audio-Visual Equipment (USD 10.000): Use of communication facilities in the head office and in the field, and supplies such as PCs and printers</w:t>
            </w:r>
          </w:p>
        </w:tc>
      </w:tr>
      <w:tr w:rsidR="00F0133E" w:rsidRPr="00F0133E" w14:paraId="15DFC874" w14:textId="77777777" w:rsidTr="00F0133E">
        <w:trPr>
          <w:trHeight w:val="380"/>
        </w:trPr>
        <w:tc>
          <w:tcPr>
            <w:tcW w:w="3040" w:type="dxa"/>
            <w:tcBorders>
              <w:top w:val="nil"/>
              <w:left w:val="single" w:sz="4" w:space="0" w:color="auto"/>
              <w:bottom w:val="single" w:sz="4" w:space="0" w:color="auto"/>
              <w:right w:val="single" w:sz="4" w:space="0" w:color="auto"/>
            </w:tcBorders>
            <w:vAlign w:val="center"/>
            <w:hideMark/>
          </w:tcPr>
          <w:p w14:paraId="6D99E014"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32</w:t>
            </w:r>
          </w:p>
        </w:tc>
        <w:tc>
          <w:tcPr>
            <w:tcW w:w="11600" w:type="dxa"/>
            <w:tcBorders>
              <w:top w:val="single" w:sz="4" w:space="0" w:color="auto"/>
              <w:left w:val="nil"/>
              <w:bottom w:val="single" w:sz="4" w:space="0" w:color="auto"/>
              <w:right w:val="single" w:sz="4" w:space="0" w:color="000000"/>
            </w:tcBorders>
            <w:vAlign w:val="center"/>
            <w:hideMark/>
          </w:tcPr>
          <w:p w14:paraId="43365175"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Supplies (USD 30.000): Includes office consumables and production of various project outreach materials</w:t>
            </w:r>
          </w:p>
        </w:tc>
      </w:tr>
      <w:tr w:rsidR="00F0133E" w:rsidRPr="00F0133E" w14:paraId="73A435A9" w14:textId="77777777" w:rsidTr="00F0133E">
        <w:trPr>
          <w:trHeight w:val="286"/>
        </w:trPr>
        <w:tc>
          <w:tcPr>
            <w:tcW w:w="3040" w:type="dxa"/>
            <w:tcBorders>
              <w:top w:val="nil"/>
              <w:left w:val="single" w:sz="4" w:space="0" w:color="auto"/>
              <w:bottom w:val="single" w:sz="4" w:space="0" w:color="auto"/>
              <w:right w:val="single" w:sz="4" w:space="0" w:color="auto"/>
            </w:tcBorders>
            <w:vAlign w:val="center"/>
            <w:hideMark/>
          </w:tcPr>
          <w:p w14:paraId="4519C08A" w14:textId="77777777" w:rsidR="00F0133E" w:rsidRDefault="00F0133E">
            <w:pPr>
              <w:jc w:val="cente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33</w:t>
            </w:r>
          </w:p>
        </w:tc>
        <w:tc>
          <w:tcPr>
            <w:tcW w:w="11600" w:type="dxa"/>
            <w:tcBorders>
              <w:top w:val="single" w:sz="4" w:space="0" w:color="auto"/>
              <w:left w:val="nil"/>
              <w:bottom w:val="single" w:sz="4" w:space="0" w:color="auto"/>
              <w:right w:val="single" w:sz="4" w:space="0" w:color="000000"/>
            </w:tcBorders>
            <w:vAlign w:val="center"/>
            <w:hideMark/>
          </w:tcPr>
          <w:p w14:paraId="07FC4308" w14:textId="77777777" w:rsidR="00F0133E" w:rsidRDefault="00F0133E">
            <w:pPr>
              <w:rPr>
                <w:rFonts w:asciiTheme="minorHAnsi" w:hAnsiTheme="minorHAnsi" w:cstheme="minorHAnsi"/>
                <w:color w:val="000000"/>
                <w:sz w:val="20"/>
                <w:szCs w:val="20"/>
                <w:lang w:eastAsia="en-US"/>
              </w:rPr>
            </w:pPr>
            <w:r>
              <w:rPr>
                <w:rFonts w:asciiTheme="minorHAnsi" w:hAnsiTheme="minorHAnsi" w:cstheme="minorHAnsi"/>
                <w:color w:val="000000"/>
                <w:sz w:val="20"/>
                <w:szCs w:val="20"/>
                <w:lang w:eastAsia="en-US"/>
              </w:rPr>
              <w:t xml:space="preserve">Miscellaneous expenses (USD 20.000): Includes smaller items and design costs audio-visual products </w:t>
            </w:r>
          </w:p>
        </w:tc>
      </w:tr>
    </w:tbl>
    <w:p w14:paraId="6EEF7C75" w14:textId="77777777" w:rsidR="00F0133E" w:rsidRDefault="00F0133E" w:rsidP="00F0133E">
      <w:pPr>
        <w:rPr>
          <w:rFonts w:asciiTheme="minorHAnsi" w:hAnsiTheme="minorHAnsi" w:cstheme="minorHAnsi"/>
          <w:b/>
          <w:sz w:val="18"/>
          <w:szCs w:val="18"/>
        </w:rPr>
      </w:pPr>
    </w:p>
    <w:tbl>
      <w:tblPr>
        <w:tblW w:w="14640" w:type="dxa"/>
        <w:jc w:val="center"/>
        <w:tblLook w:val="04A0" w:firstRow="1" w:lastRow="0" w:firstColumn="1" w:lastColumn="0" w:noHBand="0" w:noVBand="1"/>
      </w:tblPr>
      <w:tblGrid>
        <w:gridCol w:w="3320"/>
        <w:gridCol w:w="2300"/>
        <w:gridCol w:w="2160"/>
        <w:gridCol w:w="2360"/>
        <w:gridCol w:w="2240"/>
        <w:gridCol w:w="2260"/>
      </w:tblGrid>
      <w:tr w:rsidR="00F0133E" w14:paraId="0595B571" w14:textId="77777777" w:rsidTr="00F0133E">
        <w:trPr>
          <w:trHeight w:val="300"/>
          <w:jc w:val="center"/>
        </w:trPr>
        <w:tc>
          <w:tcPr>
            <w:tcW w:w="3320" w:type="dxa"/>
            <w:noWrap/>
            <w:vAlign w:val="center"/>
          </w:tcPr>
          <w:p w14:paraId="74868F75" w14:textId="77777777" w:rsidR="00F0133E" w:rsidRDefault="00F0133E">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Summary of Funds:</w:t>
            </w:r>
          </w:p>
          <w:p w14:paraId="693A7E8D" w14:textId="77777777" w:rsidR="00F0133E" w:rsidRDefault="00F0133E">
            <w:pPr>
              <w:rPr>
                <w:rFonts w:asciiTheme="minorHAnsi" w:hAnsiTheme="minorHAnsi" w:cstheme="minorHAnsi"/>
                <w:b/>
                <w:bCs/>
                <w:color w:val="000000"/>
                <w:sz w:val="20"/>
                <w:szCs w:val="20"/>
                <w:lang w:eastAsia="en-US"/>
              </w:rPr>
            </w:pPr>
          </w:p>
        </w:tc>
        <w:tc>
          <w:tcPr>
            <w:tcW w:w="2300" w:type="dxa"/>
            <w:noWrap/>
            <w:vAlign w:val="center"/>
            <w:hideMark/>
          </w:tcPr>
          <w:p w14:paraId="0415DB97" w14:textId="77777777" w:rsidR="00F0133E" w:rsidRDefault="00F0133E">
            <w:pPr>
              <w:rPr>
                <w:rFonts w:asciiTheme="minorHAnsi" w:hAnsiTheme="minorHAnsi" w:cstheme="minorHAnsi"/>
                <w:b/>
                <w:bCs/>
                <w:color w:val="000000"/>
                <w:sz w:val="20"/>
                <w:szCs w:val="20"/>
                <w:lang w:eastAsia="en-US"/>
              </w:rPr>
            </w:pPr>
          </w:p>
        </w:tc>
        <w:tc>
          <w:tcPr>
            <w:tcW w:w="2160" w:type="dxa"/>
            <w:noWrap/>
            <w:vAlign w:val="center"/>
            <w:hideMark/>
          </w:tcPr>
          <w:p w14:paraId="5595E6B4" w14:textId="77777777" w:rsidR="00F0133E" w:rsidRDefault="00F0133E">
            <w:pPr>
              <w:rPr>
                <w:rFonts w:ascii="Calibri" w:eastAsia="SimSun" w:hAnsi="Calibri" w:cs="Calibri"/>
                <w:sz w:val="20"/>
                <w:szCs w:val="20"/>
                <w:lang w:val="fr-FR" w:eastAsia="zh-CN"/>
              </w:rPr>
            </w:pPr>
          </w:p>
        </w:tc>
        <w:tc>
          <w:tcPr>
            <w:tcW w:w="2360" w:type="dxa"/>
            <w:noWrap/>
            <w:vAlign w:val="center"/>
            <w:hideMark/>
          </w:tcPr>
          <w:p w14:paraId="72C05FBA" w14:textId="77777777" w:rsidR="00F0133E" w:rsidRDefault="00F0133E">
            <w:pPr>
              <w:rPr>
                <w:rFonts w:ascii="Calibri" w:eastAsia="SimSun" w:hAnsi="Calibri" w:cs="Calibri"/>
                <w:sz w:val="20"/>
                <w:szCs w:val="20"/>
                <w:lang w:val="fr-FR" w:eastAsia="zh-CN"/>
              </w:rPr>
            </w:pPr>
          </w:p>
        </w:tc>
        <w:tc>
          <w:tcPr>
            <w:tcW w:w="2240" w:type="dxa"/>
            <w:noWrap/>
            <w:vAlign w:val="center"/>
            <w:hideMark/>
          </w:tcPr>
          <w:p w14:paraId="592568B1" w14:textId="77777777" w:rsidR="00F0133E" w:rsidRDefault="00F0133E">
            <w:pPr>
              <w:rPr>
                <w:rFonts w:ascii="Calibri" w:eastAsia="SimSun" w:hAnsi="Calibri" w:cs="Calibri"/>
                <w:sz w:val="20"/>
                <w:szCs w:val="20"/>
                <w:lang w:val="fr-FR" w:eastAsia="zh-CN"/>
              </w:rPr>
            </w:pPr>
          </w:p>
        </w:tc>
        <w:tc>
          <w:tcPr>
            <w:tcW w:w="2260" w:type="dxa"/>
            <w:noWrap/>
            <w:vAlign w:val="center"/>
            <w:hideMark/>
          </w:tcPr>
          <w:p w14:paraId="0B2E2D8A" w14:textId="77777777" w:rsidR="00F0133E" w:rsidRDefault="00F0133E">
            <w:pPr>
              <w:rPr>
                <w:rFonts w:ascii="Calibri" w:eastAsia="SimSun" w:hAnsi="Calibri" w:cs="Calibri"/>
                <w:sz w:val="20"/>
                <w:szCs w:val="20"/>
                <w:lang w:val="fr-FR" w:eastAsia="zh-CN"/>
              </w:rPr>
            </w:pPr>
          </w:p>
        </w:tc>
      </w:tr>
      <w:tr w:rsidR="002D76FF" w14:paraId="293EF783" w14:textId="77777777" w:rsidTr="002D76FF">
        <w:trPr>
          <w:trHeight w:val="300"/>
          <w:jc w:val="center"/>
        </w:trPr>
        <w:tc>
          <w:tcPr>
            <w:tcW w:w="3320" w:type="dxa"/>
            <w:noWrap/>
            <w:vAlign w:val="center"/>
          </w:tcPr>
          <w:p w14:paraId="1DF62F98"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 </w:t>
            </w:r>
          </w:p>
        </w:tc>
        <w:tc>
          <w:tcPr>
            <w:tcW w:w="2300" w:type="dxa"/>
            <w:noWrap/>
            <w:vAlign w:val="center"/>
            <w:hideMark/>
          </w:tcPr>
          <w:p w14:paraId="088C9857"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Amount</w:t>
            </w:r>
          </w:p>
        </w:tc>
        <w:tc>
          <w:tcPr>
            <w:tcW w:w="2160" w:type="dxa"/>
            <w:noWrap/>
            <w:vAlign w:val="center"/>
            <w:hideMark/>
          </w:tcPr>
          <w:p w14:paraId="14BCE4F9" w14:textId="77777777" w:rsidR="002D76FF" w:rsidRPr="002D76FF" w:rsidRDefault="002D76FF" w:rsidP="002D76FF">
            <w:pPr>
              <w:rPr>
                <w:rFonts w:ascii="Calibri" w:eastAsia="SimSun" w:hAnsi="Calibri" w:cs="Calibri"/>
                <w:sz w:val="20"/>
                <w:szCs w:val="20"/>
                <w:lang w:val="fr-FR" w:eastAsia="zh-CN"/>
              </w:rPr>
            </w:pPr>
            <w:proofErr w:type="spellStart"/>
            <w:r w:rsidRPr="002D76FF">
              <w:rPr>
                <w:rFonts w:ascii="Calibri" w:eastAsia="SimSun" w:hAnsi="Calibri" w:cs="Calibri"/>
                <w:sz w:val="20"/>
                <w:szCs w:val="20"/>
                <w:lang w:val="fr-FR" w:eastAsia="zh-CN"/>
              </w:rPr>
              <w:t>Amount</w:t>
            </w:r>
            <w:proofErr w:type="spellEnd"/>
          </w:p>
        </w:tc>
        <w:tc>
          <w:tcPr>
            <w:tcW w:w="2360" w:type="dxa"/>
            <w:noWrap/>
            <w:vAlign w:val="center"/>
            <w:hideMark/>
          </w:tcPr>
          <w:p w14:paraId="2DA8F41B" w14:textId="77777777" w:rsidR="002D76FF" w:rsidRPr="002D76FF" w:rsidRDefault="002D76FF" w:rsidP="002D76FF">
            <w:pPr>
              <w:rPr>
                <w:rFonts w:ascii="Calibri" w:eastAsia="SimSun" w:hAnsi="Calibri" w:cs="Calibri"/>
                <w:sz w:val="20"/>
                <w:szCs w:val="20"/>
                <w:lang w:val="fr-FR" w:eastAsia="zh-CN"/>
              </w:rPr>
            </w:pPr>
            <w:proofErr w:type="spellStart"/>
            <w:r w:rsidRPr="002D76FF">
              <w:rPr>
                <w:rFonts w:ascii="Calibri" w:eastAsia="SimSun" w:hAnsi="Calibri" w:cs="Calibri"/>
                <w:sz w:val="20"/>
                <w:szCs w:val="20"/>
                <w:lang w:val="fr-FR" w:eastAsia="zh-CN"/>
              </w:rPr>
              <w:t>Amount</w:t>
            </w:r>
            <w:proofErr w:type="spellEnd"/>
          </w:p>
        </w:tc>
        <w:tc>
          <w:tcPr>
            <w:tcW w:w="2240" w:type="dxa"/>
            <w:noWrap/>
            <w:vAlign w:val="center"/>
            <w:hideMark/>
          </w:tcPr>
          <w:p w14:paraId="45A98CDF" w14:textId="77777777" w:rsidR="002D76FF" w:rsidRPr="002D76FF" w:rsidRDefault="002D76FF" w:rsidP="002D76FF">
            <w:pPr>
              <w:rPr>
                <w:rFonts w:ascii="Calibri" w:eastAsia="SimSun" w:hAnsi="Calibri" w:cs="Calibri"/>
                <w:sz w:val="20"/>
                <w:szCs w:val="20"/>
                <w:lang w:val="fr-FR" w:eastAsia="zh-CN"/>
              </w:rPr>
            </w:pPr>
            <w:proofErr w:type="spellStart"/>
            <w:r w:rsidRPr="002D76FF">
              <w:rPr>
                <w:rFonts w:ascii="Calibri" w:eastAsia="SimSun" w:hAnsi="Calibri" w:cs="Calibri"/>
                <w:sz w:val="20"/>
                <w:szCs w:val="20"/>
                <w:lang w:val="fr-FR" w:eastAsia="zh-CN"/>
              </w:rPr>
              <w:t>Amount</w:t>
            </w:r>
            <w:proofErr w:type="spellEnd"/>
          </w:p>
        </w:tc>
        <w:tc>
          <w:tcPr>
            <w:tcW w:w="2260" w:type="dxa"/>
            <w:noWrap/>
            <w:vAlign w:val="center"/>
            <w:hideMark/>
          </w:tcPr>
          <w:p w14:paraId="148E116B"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Total</w:t>
            </w:r>
          </w:p>
        </w:tc>
      </w:tr>
      <w:tr w:rsidR="002D76FF" w14:paraId="0EBC721E" w14:textId="77777777" w:rsidTr="002D76FF">
        <w:trPr>
          <w:trHeight w:val="300"/>
          <w:jc w:val="center"/>
        </w:trPr>
        <w:tc>
          <w:tcPr>
            <w:tcW w:w="3320" w:type="dxa"/>
            <w:noWrap/>
            <w:vAlign w:val="center"/>
          </w:tcPr>
          <w:p w14:paraId="6FAA148F" w14:textId="77777777" w:rsidR="002D76FF" w:rsidRPr="002D76FF" w:rsidRDefault="002D76FF">
            <w:pPr>
              <w:rPr>
                <w:rFonts w:asciiTheme="minorHAnsi" w:hAnsiTheme="minorHAnsi" w:cstheme="minorHAnsi"/>
                <w:b/>
                <w:bCs/>
                <w:color w:val="000000"/>
                <w:sz w:val="20"/>
                <w:szCs w:val="20"/>
                <w:lang w:eastAsia="en-US"/>
              </w:rPr>
            </w:pPr>
          </w:p>
        </w:tc>
        <w:tc>
          <w:tcPr>
            <w:tcW w:w="2300" w:type="dxa"/>
            <w:noWrap/>
            <w:vAlign w:val="center"/>
            <w:hideMark/>
          </w:tcPr>
          <w:p w14:paraId="6AE3A616"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Year 1</w:t>
            </w:r>
          </w:p>
        </w:tc>
        <w:tc>
          <w:tcPr>
            <w:tcW w:w="2160" w:type="dxa"/>
            <w:noWrap/>
            <w:vAlign w:val="center"/>
            <w:hideMark/>
          </w:tcPr>
          <w:p w14:paraId="3A6788D0" w14:textId="77777777" w:rsidR="002D76FF" w:rsidRPr="002D76FF" w:rsidRDefault="002D76FF" w:rsidP="002D76FF">
            <w:pPr>
              <w:rPr>
                <w:rFonts w:ascii="Calibri" w:eastAsia="SimSun" w:hAnsi="Calibri" w:cs="Calibri"/>
                <w:sz w:val="20"/>
                <w:szCs w:val="20"/>
                <w:lang w:val="fr-FR" w:eastAsia="zh-CN"/>
              </w:rPr>
            </w:pPr>
            <w:proofErr w:type="spellStart"/>
            <w:r w:rsidRPr="002D76FF">
              <w:rPr>
                <w:rFonts w:ascii="Calibri" w:eastAsia="SimSun" w:hAnsi="Calibri" w:cs="Calibri"/>
                <w:sz w:val="20"/>
                <w:szCs w:val="20"/>
                <w:lang w:val="fr-FR" w:eastAsia="zh-CN"/>
              </w:rPr>
              <w:t>Year</w:t>
            </w:r>
            <w:proofErr w:type="spellEnd"/>
            <w:r w:rsidRPr="002D76FF">
              <w:rPr>
                <w:rFonts w:ascii="Calibri" w:eastAsia="SimSun" w:hAnsi="Calibri" w:cs="Calibri"/>
                <w:sz w:val="20"/>
                <w:szCs w:val="20"/>
                <w:lang w:val="fr-FR" w:eastAsia="zh-CN"/>
              </w:rPr>
              <w:t xml:space="preserve"> 2</w:t>
            </w:r>
          </w:p>
        </w:tc>
        <w:tc>
          <w:tcPr>
            <w:tcW w:w="2360" w:type="dxa"/>
            <w:noWrap/>
            <w:vAlign w:val="center"/>
            <w:hideMark/>
          </w:tcPr>
          <w:p w14:paraId="30F85FEA" w14:textId="77777777" w:rsidR="002D76FF" w:rsidRPr="002D76FF" w:rsidRDefault="002D76FF" w:rsidP="002D76FF">
            <w:pPr>
              <w:rPr>
                <w:rFonts w:ascii="Calibri" w:eastAsia="SimSun" w:hAnsi="Calibri" w:cs="Calibri"/>
                <w:sz w:val="20"/>
                <w:szCs w:val="20"/>
                <w:lang w:val="fr-FR" w:eastAsia="zh-CN"/>
              </w:rPr>
            </w:pPr>
            <w:proofErr w:type="spellStart"/>
            <w:r w:rsidRPr="002D76FF">
              <w:rPr>
                <w:rFonts w:ascii="Calibri" w:eastAsia="SimSun" w:hAnsi="Calibri" w:cs="Calibri"/>
                <w:sz w:val="20"/>
                <w:szCs w:val="20"/>
                <w:lang w:val="fr-FR" w:eastAsia="zh-CN"/>
              </w:rPr>
              <w:t>Year</w:t>
            </w:r>
            <w:proofErr w:type="spellEnd"/>
            <w:r w:rsidRPr="002D76FF">
              <w:rPr>
                <w:rFonts w:ascii="Calibri" w:eastAsia="SimSun" w:hAnsi="Calibri" w:cs="Calibri"/>
                <w:sz w:val="20"/>
                <w:szCs w:val="20"/>
                <w:lang w:val="fr-FR" w:eastAsia="zh-CN"/>
              </w:rPr>
              <w:t xml:space="preserve"> 3</w:t>
            </w:r>
          </w:p>
        </w:tc>
        <w:tc>
          <w:tcPr>
            <w:tcW w:w="2240" w:type="dxa"/>
            <w:noWrap/>
            <w:vAlign w:val="center"/>
            <w:hideMark/>
          </w:tcPr>
          <w:p w14:paraId="4384715E" w14:textId="77777777" w:rsidR="002D76FF" w:rsidRPr="002D76FF" w:rsidRDefault="002D76FF" w:rsidP="002D76FF">
            <w:pPr>
              <w:rPr>
                <w:rFonts w:ascii="Calibri" w:eastAsia="SimSun" w:hAnsi="Calibri" w:cs="Calibri"/>
                <w:sz w:val="20"/>
                <w:szCs w:val="20"/>
                <w:lang w:val="fr-FR" w:eastAsia="zh-CN"/>
              </w:rPr>
            </w:pPr>
            <w:proofErr w:type="spellStart"/>
            <w:r w:rsidRPr="002D76FF">
              <w:rPr>
                <w:rFonts w:ascii="Calibri" w:eastAsia="SimSun" w:hAnsi="Calibri" w:cs="Calibri"/>
                <w:sz w:val="20"/>
                <w:szCs w:val="20"/>
                <w:lang w:val="fr-FR" w:eastAsia="zh-CN"/>
              </w:rPr>
              <w:t>Year</w:t>
            </w:r>
            <w:proofErr w:type="spellEnd"/>
            <w:r w:rsidRPr="002D76FF">
              <w:rPr>
                <w:rFonts w:ascii="Calibri" w:eastAsia="SimSun" w:hAnsi="Calibri" w:cs="Calibri"/>
                <w:sz w:val="20"/>
                <w:szCs w:val="20"/>
                <w:lang w:val="fr-FR" w:eastAsia="zh-CN"/>
              </w:rPr>
              <w:t xml:space="preserve"> 4</w:t>
            </w:r>
          </w:p>
        </w:tc>
        <w:tc>
          <w:tcPr>
            <w:tcW w:w="2260" w:type="dxa"/>
            <w:noWrap/>
            <w:vAlign w:val="center"/>
            <w:hideMark/>
          </w:tcPr>
          <w:p w14:paraId="4AFE096D" w14:textId="77777777" w:rsidR="002D76FF" w:rsidRPr="002D76FF" w:rsidRDefault="002D76FF">
            <w:pPr>
              <w:rPr>
                <w:rFonts w:ascii="Calibri" w:eastAsia="SimSun" w:hAnsi="Calibri" w:cs="Calibri"/>
                <w:sz w:val="20"/>
                <w:szCs w:val="20"/>
                <w:lang w:val="fr-FR" w:eastAsia="zh-CN"/>
              </w:rPr>
            </w:pPr>
          </w:p>
        </w:tc>
      </w:tr>
      <w:tr w:rsidR="002D76FF" w14:paraId="55B2E896" w14:textId="77777777" w:rsidTr="002D76FF">
        <w:trPr>
          <w:trHeight w:val="300"/>
          <w:jc w:val="center"/>
        </w:trPr>
        <w:tc>
          <w:tcPr>
            <w:tcW w:w="3320" w:type="dxa"/>
            <w:noWrap/>
            <w:vAlign w:val="center"/>
          </w:tcPr>
          <w:p w14:paraId="6E72A25E"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GEF grant administered by UNDP</w:t>
            </w:r>
          </w:p>
        </w:tc>
        <w:tc>
          <w:tcPr>
            <w:tcW w:w="2300" w:type="dxa"/>
            <w:noWrap/>
            <w:vAlign w:val="center"/>
            <w:hideMark/>
          </w:tcPr>
          <w:p w14:paraId="3ECBD634"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1.234.675,00</w:t>
            </w:r>
          </w:p>
        </w:tc>
        <w:tc>
          <w:tcPr>
            <w:tcW w:w="2160" w:type="dxa"/>
            <w:noWrap/>
            <w:vAlign w:val="center"/>
            <w:hideMark/>
          </w:tcPr>
          <w:p w14:paraId="2CE54BA7"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1.214.675,00</w:t>
            </w:r>
          </w:p>
        </w:tc>
        <w:tc>
          <w:tcPr>
            <w:tcW w:w="2360" w:type="dxa"/>
            <w:noWrap/>
            <w:vAlign w:val="center"/>
            <w:hideMark/>
          </w:tcPr>
          <w:p w14:paraId="7394196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1.214.675,00</w:t>
            </w:r>
          </w:p>
        </w:tc>
        <w:tc>
          <w:tcPr>
            <w:tcW w:w="2240" w:type="dxa"/>
            <w:noWrap/>
            <w:vAlign w:val="center"/>
            <w:hideMark/>
          </w:tcPr>
          <w:p w14:paraId="13A0BA6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1.214.675,00</w:t>
            </w:r>
          </w:p>
        </w:tc>
        <w:tc>
          <w:tcPr>
            <w:tcW w:w="2260" w:type="dxa"/>
            <w:noWrap/>
            <w:vAlign w:val="center"/>
            <w:hideMark/>
          </w:tcPr>
          <w:p w14:paraId="181AC2E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4.878.700,00</w:t>
            </w:r>
          </w:p>
        </w:tc>
      </w:tr>
      <w:tr w:rsidR="002D76FF" w14:paraId="329A5975" w14:textId="77777777" w:rsidTr="002D76FF">
        <w:trPr>
          <w:trHeight w:val="300"/>
          <w:jc w:val="center"/>
        </w:trPr>
        <w:tc>
          <w:tcPr>
            <w:tcW w:w="3320" w:type="dxa"/>
            <w:noWrap/>
            <w:vAlign w:val="center"/>
          </w:tcPr>
          <w:p w14:paraId="4B919AD5"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GEF grant administered by UNEP</w:t>
            </w:r>
          </w:p>
        </w:tc>
        <w:tc>
          <w:tcPr>
            <w:tcW w:w="2300" w:type="dxa"/>
            <w:noWrap/>
            <w:vAlign w:val="center"/>
            <w:hideMark/>
          </w:tcPr>
          <w:p w14:paraId="2BEDBD24"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275.000,00</w:t>
            </w:r>
          </w:p>
        </w:tc>
        <w:tc>
          <w:tcPr>
            <w:tcW w:w="2160" w:type="dxa"/>
            <w:noWrap/>
            <w:vAlign w:val="center"/>
            <w:hideMark/>
          </w:tcPr>
          <w:p w14:paraId="5A7DC6CC"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275.000,00</w:t>
            </w:r>
          </w:p>
        </w:tc>
        <w:tc>
          <w:tcPr>
            <w:tcW w:w="2360" w:type="dxa"/>
            <w:noWrap/>
            <w:vAlign w:val="center"/>
            <w:hideMark/>
          </w:tcPr>
          <w:p w14:paraId="26406D3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275.000,00</w:t>
            </w:r>
          </w:p>
        </w:tc>
        <w:tc>
          <w:tcPr>
            <w:tcW w:w="2240" w:type="dxa"/>
            <w:noWrap/>
            <w:vAlign w:val="center"/>
            <w:hideMark/>
          </w:tcPr>
          <w:p w14:paraId="10AA4FB7"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275.000,00</w:t>
            </w:r>
          </w:p>
        </w:tc>
        <w:tc>
          <w:tcPr>
            <w:tcW w:w="2260" w:type="dxa"/>
            <w:noWrap/>
            <w:vAlign w:val="center"/>
            <w:hideMark/>
          </w:tcPr>
          <w:p w14:paraId="70C0E19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1.100.000,00</w:t>
            </w:r>
          </w:p>
        </w:tc>
      </w:tr>
      <w:tr w:rsidR="002D76FF" w14:paraId="1552F33E" w14:textId="77777777" w:rsidTr="002D76FF">
        <w:trPr>
          <w:trHeight w:val="300"/>
          <w:jc w:val="center"/>
        </w:trPr>
        <w:tc>
          <w:tcPr>
            <w:tcW w:w="3320" w:type="dxa"/>
            <w:noWrap/>
            <w:vAlign w:val="center"/>
          </w:tcPr>
          <w:p w14:paraId="6666B8FD"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Sub-total – GEF Grant</w:t>
            </w:r>
          </w:p>
        </w:tc>
        <w:tc>
          <w:tcPr>
            <w:tcW w:w="2300" w:type="dxa"/>
            <w:noWrap/>
            <w:vAlign w:val="center"/>
            <w:hideMark/>
          </w:tcPr>
          <w:p w14:paraId="0DD3B9CC"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1.509.675,00</w:t>
            </w:r>
          </w:p>
        </w:tc>
        <w:tc>
          <w:tcPr>
            <w:tcW w:w="2160" w:type="dxa"/>
            <w:noWrap/>
            <w:vAlign w:val="center"/>
            <w:hideMark/>
          </w:tcPr>
          <w:p w14:paraId="0E8B929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1.489.675,00</w:t>
            </w:r>
          </w:p>
        </w:tc>
        <w:tc>
          <w:tcPr>
            <w:tcW w:w="2360" w:type="dxa"/>
            <w:noWrap/>
            <w:vAlign w:val="center"/>
            <w:hideMark/>
          </w:tcPr>
          <w:p w14:paraId="1B8274C8"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1.489.675,00</w:t>
            </w:r>
          </w:p>
        </w:tc>
        <w:tc>
          <w:tcPr>
            <w:tcW w:w="2240" w:type="dxa"/>
            <w:noWrap/>
            <w:vAlign w:val="center"/>
            <w:hideMark/>
          </w:tcPr>
          <w:p w14:paraId="76C6E7A8"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1.489.675,00</w:t>
            </w:r>
          </w:p>
        </w:tc>
        <w:tc>
          <w:tcPr>
            <w:tcW w:w="2260" w:type="dxa"/>
            <w:noWrap/>
            <w:vAlign w:val="center"/>
            <w:hideMark/>
          </w:tcPr>
          <w:p w14:paraId="47B2116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5.978.700,00</w:t>
            </w:r>
          </w:p>
        </w:tc>
      </w:tr>
      <w:tr w:rsidR="002D76FF" w14:paraId="515AB24C" w14:textId="77777777" w:rsidTr="002D76FF">
        <w:trPr>
          <w:trHeight w:val="300"/>
          <w:jc w:val="center"/>
        </w:trPr>
        <w:tc>
          <w:tcPr>
            <w:tcW w:w="3320" w:type="dxa"/>
            <w:noWrap/>
            <w:vAlign w:val="center"/>
          </w:tcPr>
          <w:p w14:paraId="2A4A3BEF"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UNDP</w:t>
            </w:r>
          </w:p>
        </w:tc>
        <w:tc>
          <w:tcPr>
            <w:tcW w:w="2300" w:type="dxa"/>
            <w:noWrap/>
            <w:vAlign w:val="center"/>
            <w:hideMark/>
          </w:tcPr>
          <w:p w14:paraId="7CEA1251"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1.188.750,00</w:t>
            </w:r>
          </w:p>
        </w:tc>
        <w:tc>
          <w:tcPr>
            <w:tcW w:w="2160" w:type="dxa"/>
            <w:noWrap/>
            <w:vAlign w:val="center"/>
            <w:hideMark/>
          </w:tcPr>
          <w:p w14:paraId="3ACDAD1B"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1.188.750,00</w:t>
            </w:r>
          </w:p>
        </w:tc>
        <w:tc>
          <w:tcPr>
            <w:tcW w:w="2360" w:type="dxa"/>
            <w:noWrap/>
            <w:vAlign w:val="center"/>
            <w:hideMark/>
          </w:tcPr>
          <w:p w14:paraId="7F76AC1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1.188.750,00</w:t>
            </w:r>
          </w:p>
        </w:tc>
        <w:tc>
          <w:tcPr>
            <w:tcW w:w="2240" w:type="dxa"/>
            <w:noWrap/>
            <w:vAlign w:val="center"/>
            <w:hideMark/>
          </w:tcPr>
          <w:p w14:paraId="06B3D80E"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1.188.750,00</w:t>
            </w:r>
          </w:p>
        </w:tc>
        <w:tc>
          <w:tcPr>
            <w:tcW w:w="2260" w:type="dxa"/>
            <w:noWrap/>
            <w:vAlign w:val="center"/>
            <w:hideMark/>
          </w:tcPr>
          <w:p w14:paraId="3C74367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4.755.000,00</w:t>
            </w:r>
          </w:p>
        </w:tc>
      </w:tr>
      <w:tr w:rsidR="002D76FF" w14:paraId="6EDAA0FE" w14:textId="77777777" w:rsidTr="002D76FF">
        <w:trPr>
          <w:trHeight w:val="300"/>
          <w:jc w:val="center"/>
        </w:trPr>
        <w:tc>
          <w:tcPr>
            <w:tcW w:w="3320" w:type="dxa"/>
            <w:noWrap/>
            <w:vAlign w:val="center"/>
          </w:tcPr>
          <w:p w14:paraId="1F76EE7E"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UNEP</w:t>
            </w:r>
          </w:p>
        </w:tc>
        <w:tc>
          <w:tcPr>
            <w:tcW w:w="2300" w:type="dxa"/>
            <w:noWrap/>
            <w:vAlign w:val="center"/>
            <w:hideMark/>
          </w:tcPr>
          <w:p w14:paraId="30A82C4B"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344.500,00</w:t>
            </w:r>
          </w:p>
        </w:tc>
        <w:tc>
          <w:tcPr>
            <w:tcW w:w="2160" w:type="dxa"/>
            <w:noWrap/>
            <w:vAlign w:val="center"/>
            <w:hideMark/>
          </w:tcPr>
          <w:p w14:paraId="3EB80EE4"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344.500,00</w:t>
            </w:r>
          </w:p>
        </w:tc>
        <w:tc>
          <w:tcPr>
            <w:tcW w:w="2360" w:type="dxa"/>
            <w:noWrap/>
            <w:vAlign w:val="center"/>
            <w:hideMark/>
          </w:tcPr>
          <w:p w14:paraId="36200BE8"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344.500,00</w:t>
            </w:r>
          </w:p>
        </w:tc>
        <w:tc>
          <w:tcPr>
            <w:tcW w:w="2240" w:type="dxa"/>
            <w:noWrap/>
            <w:vAlign w:val="center"/>
            <w:hideMark/>
          </w:tcPr>
          <w:p w14:paraId="06759D46"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344.500,00</w:t>
            </w:r>
          </w:p>
        </w:tc>
        <w:tc>
          <w:tcPr>
            <w:tcW w:w="2260" w:type="dxa"/>
            <w:noWrap/>
            <w:vAlign w:val="center"/>
            <w:hideMark/>
          </w:tcPr>
          <w:p w14:paraId="691F3FAC"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1.378.000,00</w:t>
            </w:r>
          </w:p>
        </w:tc>
      </w:tr>
      <w:tr w:rsidR="002D76FF" w14:paraId="7035FD77" w14:textId="77777777" w:rsidTr="002D76FF">
        <w:trPr>
          <w:trHeight w:val="300"/>
          <w:jc w:val="center"/>
        </w:trPr>
        <w:tc>
          <w:tcPr>
            <w:tcW w:w="3320" w:type="dxa"/>
            <w:noWrap/>
            <w:vAlign w:val="center"/>
          </w:tcPr>
          <w:p w14:paraId="545F259C"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IOC of UNESCO</w:t>
            </w:r>
          </w:p>
        </w:tc>
        <w:tc>
          <w:tcPr>
            <w:tcW w:w="2300" w:type="dxa"/>
            <w:noWrap/>
            <w:vAlign w:val="center"/>
            <w:hideMark/>
          </w:tcPr>
          <w:p w14:paraId="6132BCE4"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564.736,50</w:t>
            </w:r>
          </w:p>
        </w:tc>
        <w:tc>
          <w:tcPr>
            <w:tcW w:w="2160" w:type="dxa"/>
            <w:noWrap/>
            <w:vAlign w:val="center"/>
            <w:hideMark/>
          </w:tcPr>
          <w:p w14:paraId="7285744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564.736,50</w:t>
            </w:r>
          </w:p>
        </w:tc>
        <w:tc>
          <w:tcPr>
            <w:tcW w:w="2360" w:type="dxa"/>
            <w:noWrap/>
            <w:vAlign w:val="center"/>
            <w:hideMark/>
          </w:tcPr>
          <w:p w14:paraId="04C9E45E"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564.736,50</w:t>
            </w:r>
          </w:p>
        </w:tc>
        <w:tc>
          <w:tcPr>
            <w:tcW w:w="2240" w:type="dxa"/>
            <w:noWrap/>
            <w:vAlign w:val="center"/>
            <w:hideMark/>
          </w:tcPr>
          <w:p w14:paraId="504A9C46"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564.736,50</w:t>
            </w:r>
          </w:p>
        </w:tc>
        <w:tc>
          <w:tcPr>
            <w:tcW w:w="2260" w:type="dxa"/>
            <w:noWrap/>
            <w:vAlign w:val="center"/>
            <w:hideMark/>
          </w:tcPr>
          <w:p w14:paraId="595A172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2.258.946,00</w:t>
            </w:r>
          </w:p>
        </w:tc>
      </w:tr>
      <w:tr w:rsidR="002D76FF" w14:paraId="595C710E" w14:textId="77777777" w:rsidTr="002D76FF">
        <w:trPr>
          <w:trHeight w:val="300"/>
          <w:jc w:val="center"/>
        </w:trPr>
        <w:tc>
          <w:tcPr>
            <w:tcW w:w="3320" w:type="dxa"/>
            <w:noWrap/>
            <w:vAlign w:val="center"/>
          </w:tcPr>
          <w:p w14:paraId="6249AC13"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CAP-NET</w:t>
            </w:r>
          </w:p>
        </w:tc>
        <w:tc>
          <w:tcPr>
            <w:tcW w:w="2300" w:type="dxa"/>
            <w:noWrap/>
            <w:vAlign w:val="center"/>
            <w:hideMark/>
          </w:tcPr>
          <w:p w14:paraId="3F5B39D5"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50.000,00</w:t>
            </w:r>
          </w:p>
        </w:tc>
        <w:tc>
          <w:tcPr>
            <w:tcW w:w="2160" w:type="dxa"/>
            <w:noWrap/>
            <w:vAlign w:val="center"/>
            <w:hideMark/>
          </w:tcPr>
          <w:p w14:paraId="29C66D8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50.000,00</w:t>
            </w:r>
          </w:p>
        </w:tc>
        <w:tc>
          <w:tcPr>
            <w:tcW w:w="2360" w:type="dxa"/>
            <w:noWrap/>
            <w:vAlign w:val="center"/>
            <w:hideMark/>
          </w:tcPr>
          <w:p w14:paraId="3C65BDD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50.000,00</w:t>
            </w:r>
          </w:p>
        </w:tc>
        <w:tc>
          <w:tcPr>
            <w:tcW w:w="2240" w:type="dxa"/>
            <w:noWrap/>
            <w:vAlign w:val="center"/>
            <w:hideMark/>
          </w:tcPr>
          <w:p w14:paraId="2631F353"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50.000,00</w:t>
            </w:r>
          </w:p>
        </w:tc>
        <w:tc>
          <w:tcPr>
            <w:tcW w:w="2260" w:type="dxa"/>
            <w:noWrap/>
            <w:vAlign w:val="center"/>
            <w:hideMark/>
          </w:tcPr>
          <w:p w14:paraId="65506C6D"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200.000,00</w:t>
            </w:r>
          </w:p>
        </w:tc>
      </w:tr>
      <w:tr w:rsidR="002D76FF" w14:paraId="594436D3" w14:textId="77777777" w:rsidTr="002D76FF">
        <w:trPr>
          <w:trHeight w:val="300"/>
          <w:jc w:val="center"/>
        </w:trPr>
        <w:tc>
          <w:tcPr>
            <w:tcW w:w="3320" w:type="dxa"/>
            <w:noWrap/>
            <w:vAlign w:val="center"/>
          </w:tcPr>
          <w:p w14:paraId="4A6A0FA9"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UNECE</w:t>
            </w:r>
          </w:p>
        </w:tc>
        <w:tc>
          <w:tcPr>
            <w:tcW w:w="2300" w:type="dxa"/>
            <w:noWrap/>
            <w:vAlign w:val="center"/>
            <w:hideMark/>
          </w:tcPr>
          <w:p w14:paraId="61E79D9C"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90.000,00</w:t>
            </w:r>
          </w:p>
        </w:tc>
        <w:tc>
          <w:tcPr>
            <w:tcW w:w="2160" w:type="dxa"/>
            <w:noWrap/>
            <w:vAlign w:val="center"/>
            <w:hideMark/>
          </w:tcPr>
          <w:p w14:paraId="0D96540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90.000,00</w:t>
            </w:r>
          </w:p>
        </w:tc>
        <w:tc>
          <w:tcPr>
            <w:tcW w:w="2360" w:type="dxa"/>
            <w:noWrap/>
            <w:vAlign w:val="center"/>
            <w:hideMark/>
          </w:tcPr>
          <w:p w14:paraId="5B212DC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90.000,00</w:t>
            </w:r>
          </w:p>
        </w:tc>
        <w:tc>
          <w:tcPr>
            <w:tcW w:w="2240" w:type="dxa"/>
            <w:noWrap/>
            <w:vAlign w:val="center"/>
            <w:hideMark/>
          </w:tcPr>
          <w:p w14:paraId="22E745AD"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90.000,00</w:t>
            </w:r>
          </w:p>
        </w:tc>
        <w:tc>
          <w:tcPr>
            <w:tcW w:w="2260" w:type="dxa"/>
            <w:noWrap/>
            <w:vAlign w:val="center"/>
            <w:hideMark/>
          </w:tcPr>
          <w:p w14:paraId="1D68D1C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360.000,00</w:t>
            </w:r>
          </w:p>
        </w:tc>
      </w:tr>
      <w:tr w:rsidR="002D76FF" w14:paraId="2A7C0016" w14:textId="77777777" w:rsidTr="002D76FF">
        <w:trPr>
          <w:trHeight w:val="300"/>
          <w:jc w:val="center"/>
        </w:trPr>
        <w:tc>
          <w:tcPr>
            <w:tcW w:w="3320" w:type="dxa"/>
            <w:noWrap/>
            <w:vAlign w:val="center"/>
          </w:tcPr>
          <w:p w14:paraId="28F828B3"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IDB</w:t>
            </w:r>
          </w:p>
        </w:tc>
        <w:tc>
          <w:tcPr>
            <w:tcW w:w="2300" w:type="dxa"/>
            <w:noWrap/>
            <w:vAlign w:val="center"/>
            <w:hideMark/>
          </w:tcPr>
          <w:p w14:paraId="533E3205"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121.250,00</w:t>
            </w:r>
          </w:p>
        </w:tc>
        <w:tc>
          <w:tcPr>
            <w:tcW w:w="2160" w:type="dxa"/>
            <w:noWrap/>
            <w:vAlign w:val="center"/>
            <w:hideMark/>
          </w:tcPr>
          <w:p w14:paraId="1411BF3D"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121.250,00</w:t>
            </w:r>
          </w:p>
        </w:tc>
        <w:tc>
          <w:tcPr>
            <w:tcW w:w="2360" w:type="dxa"/>
            <w:noWrap/>
            <w:vAlign w:val="center"/>
            <w:hideMark/>
          </w:tcPr>
          <w:p w14:paraId="07E23D56"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121.250,00</w:t>
            </w:r>
          </w:p>
        </w:tc>
        <w:tc>
          <w:tcPr>
            <w:tcW w:w="2240" w:type="dxa"/>
            <w:noWrap/>
            <w:vAlign w:val="center"/>
            <w:hideMark/>
          </w:tcPr>
          <w:p w14:paraId="0D57CC3C"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121.250,00</w:t>
            </w:r>
          </w:p>
        </w:tc>
        <w:tc>
          <w:tcPr>
            <w:tcW w:w="2260" w:type="dxa"/>
            <w:noWrap/>
            <w:vAlign w:val="center"/>
            <w:hideMark/>
          </w:tcPr>
          <w:p w14:paraId="7C42D1E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485.000,00</w:t>
            </w:r>
          </w:p>
        </w:tc>
      </w:tr>
      <w:tr w:rsidR="002D76FF" w14:paraId="3C5843A7" w14:textId="77777777" w:rsidTr="002D76FF">
        <w:trPr>
          <w:trHeight w:val="300"/>
          <w:jc w:val="center"/>
        </w:trPr>
        <w:tc>
          <w:tcPr>
            <w:tcW w:w="3320" w:type="dxa"/>
            <w:noWrap/>
            <w:vAlign w:val="center"/>
          </w:tcPr>
          <w:p w14:paraId="721C0C0E"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UNEP DHI</w:t>
            </w:r>
          </w:p>
        </w:tc>
        <w:tc>
          <w:tcPr>
            <w:tcW w:w="2300" w:type="dxa"/>
            <w:noWrap/>
            <w:vAlign w:val="center"/>
            <w:hideMark/>
          </w:tcPr>
          <w:p w14:paraId="39075A8A"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12.500,00</w:t>
            </w:r>
          </w:p>
        </w:tc>
        <w:tc>
          <w:tcPr>
            <w:tcW w:w="2160" w:type="dxa"/>
            <w:noWrap/>
            <w:vAlign w:val="center"/>
            <w:hideMark/>
          </w:tcPr>
          <w:p w14:paraId="6A2937D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12.500,00</w:t>
            </w:r>
          </w:p>
        </w:tc>
        <w:tc>
          <w:tcPr>
            <w:tcW w:w="2360" w:type="dxa"/>
            <w:noWrap/>
            <w:vAlign w:val="center"/>
            <w:hideMark/>
          </w:tcPr>
          <w:p w14:paraId="4A515AC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12.500,00</w:t>
            </w:r>
          </w:p>
        </w:tc>
        <w:tc>
          <w:tcPr>
            <w:tcW w:w="2240" w:type="dxa"/>
            <w:noWrap/>
            <w:vAlign w:val="center"/>
            <w:hideMark/>
          </w:tcPr>
          <w:p w14:paraId="2E13517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12.500,00</w:t>
            </w:r>
          </w:p>
        </w:tc>
        <w:tc>
          <w:tcPr>
            <w:tcW w:w="2260" w:type="dxa"/>
            <w:noWrap/>
            <w:vAlign w:val="center"/>
            <w:hideMark/>
          </w:tcPr>
          <w:p w14:paraId="36281FC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50.000,00</w:t>
            </w:r>
          </w:p>
        </w:tc>
      </w:tr>
      <w:tr w:rsidR="002D76FF" w14:paraId="1E4AA480" w14:textId="77777777" w:rsidTr="002D76FF">
        <w:trPr>
          <w:trHeight w:val="300"/>
          <w:jc w:val="center"/>
        </w:trPr>
        <w:tc>
          <w:tcPr>
            <w:tcW w:w="3320" w:type="dxa"/>
            <w:noWrap/>
            <w:vAlign w:val="center"/>
          </w:tcPr>
          <w:p w14:paraId="21282B25"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IUCN GMPP</w:t>
            </w:r>
          </w:p>
        </w:tc>
        <w:tc>
          <w:tcPr>
            <w:tcW w:w="2300" w:type="dxa"/>
            <w:noWrap/>
            <w:vAlign w:val="center"/>
            <w:hideMark/>
          </w:tcPr>
          <w:p w14:paraId="1D0BFD3D"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75.000,00</w:t>
            </w:r>
          </w:p>
        </w:tc>
        <w:tc>
          <w:tcPr>
            <w:tcW w:w="2160" w:type="dxa"/>
            <w:noWrap/>
            <w:vAlign w:val="center"/>
            <w:hideMark/>
          </w:tcPr>
          <w:p w14:paraId="6FFEDBFB"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75.000,00</w:t>
            </w:r>
          </w:p>
        </w:tc>
        <w:tc>
          <w:tcPr>
            <w:tcW w:w="2360" w:type="dxa"/>
            <w:noWrap/>
            <w:vAlign w:val="center"/>
            <w:hideMark/>
          </w:tcPr>
          <w:p w14:paraId="1F4A2FA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75.000,00</w:t>
            </w:r>
          </w:p>
        </w:tc>
        <w:tc>
          <w:tcPr>
            <w:tcW w:w="2240" w:type="dxa"/>
            <w:noWrap/>
            <w:vAlign w:val="center"/>
            <w:hideMark/>
          </w:tcPr>
          <w:p w14:paraId="7C141E0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75.000,00</w:t>
            </w:r>
          </w:p>
        </w:tc>
        <w:tc>
          <w:tcPr>
            <w:tcW w:w="2260" w:type="dxa"/>
            <w:noWrap/>
            <w:vAlign w:val="center"/>
            <w:hideMark/>
          </w:tcPr>
          <w:p w14:paraId="2AD090A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300.000,00</w:t>
            </w:r>
          </w:p>
        </w:tc>
      </w:tr>
      <w:tr w:rsidR="002D76FF" w14:paraId="30C7EB09" w14:textId="77777777" w:rsidTr="002D76FF">
        <w:trPr>
          <w:trHeight w:val="300"/>
          <w:jc w:val="center"/>
        </w:trPr>
        <w:tc>
          <w:tcPr>
            <w:tcW w:w="3320" w:type="dxa"/>
            <w:noWrap/>
            <w:vAlign w:val="center"/>
          </w:tcPr>
          <w:p w14:paraId="309574B4"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ICPDR</w:t>
            </w:r>
          </w:p>
        </w:tc>
        <w:tc>
          <w:tcPr>
            <w:tcW w:w="2300" w:type="dxa"/>
            <w:noWrap/>
            <w:vAlign w:val="center"/>
            <w:hideMark/>
          </w:tcPr>
          <w:p w14:paraId="70AAEBB0"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15.000,00</w:t>
            </w:r>
          </w:p>
        </w:tc>
        <w:tc>
          <w:tcPr>
            <w:tcW w:w="2160" w:type="dxa"/>
            <w:noWrap/>
            <w:vAlign w:val="center"/>
            <w:hideMark/>
          </w:tcPr>
          <w:p w14:paraId="6820B80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w:t>
            </w:r>
          </w:p>
        </w:tc>
        <w:tc>
          <w:tcPr>
            <w:tcW w:w="2360" w:type="dxa"/>
            <w:noWrap/>
            <w:vAlign w:val="center"/>
            <w:hideMark/>
          </w:tcPr>
          <w:p w14:paraId="4A40860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w:t>
            </w:r>
          </w:p>
        </w:tc>
        <w:tc>
          <w:tcPr>
            <w:tcW w:w="2240" w:type="dxa"/>
            <w:noWrap/>
            <w:vAlign w:val="center"/>
            <w:hideMark/>
          </w:tcPr>
          <w:p w14:paraId="2862E887"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w:t>
            </w:r>
          </w:p>
        </w:tc>
        <w:tc>
          <w:tcPr>
            <w:tcW w:w="2260" w:type="dxa"/>
            <w:noWrap/>
            <w:vAlign w:val="center"/>
            <w:hideMark/>
          </w:tcPr>
          <w:p w14:paraId="757F540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60.000,00</w:t>
            </w:r>
          </w:p>
        </w:tc>
      </w:tr>
      <w:tr w:rsidR="002D76FF" w14:paraId="1E254B54" w14:textId="77777777" w:rsidTr="002D76FF">
        <w:trPr>
          <w:trHeight w:val="300"/>
          <w:jc w:val="center"/>
        </w:trPr>
        <w:tc>
          <w:tcPr>
            <w:tcW w:w="3320" w:type="dxa"/>
            <w:noWrap/>
            <w:vAlign w:val="center"/>
          </w:tcPr>
          <w:p w14:paraId="0090853A"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The World Bank</w:t>
            </w:r>
          </w:p>
        </w:tc>
        <w:tc>
          <w:tcPr>
            <w:tcW w:w="2300" w:type="dxa"/>
            <w:noWrap/>
            <w:vAlign w:val="center"/>
            <w:hideMark/>
          </w:tcPr>
          <w:p w14:paraId="4353A416"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85.000,00</w:t>
            </w:r>
          </w:p>
        </w:tc>
        <w:tc>
          <w:tcPr>
            <w:tcW w:w="2160" w:type="dxa"/>
            <w:noWrap/>
            <w:vAlign w:val="center"/>
            <w:hideMark/>
          </w:tcPr>
          <w:p w14:paraId="7ACACBA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85.000,00</w:t>
            </w:r>
          </w:p>
        </w:tc>
        <w:tc>
          <w:tcPr>
            <w:tcW w:w="2360" w:type="dxa"/>
            <w:noWrap/>
            <w:vAlign w:val="center"/>
            <w:hideMark/>
          </w:tcPr>
          <w:p w14:paraId="50F41EBC"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85.000,00</w:t>
            </w:r>
          </w:p>
        </w:tc>
        <w:tc>
          <w:tcPr>
            <w:tcW w:w="2240" w:type="dxa"/>
            <w:noWrap/>
            <w:vAlign w:val="center"/>
            <w:hideMark/>
          </w:tcPr>
          <w:p w14:paraId="404BF46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85.000,00</w:t>
            </w:r>
          </w:p>
        </w:tc>
        <w:tc>
          <w:tcPr>
            <w:tcW w:w="2260" w:type="dxa"/>
            <w:noWrap/>
            <w:vAlign w:val="center"/>
            <w:hideMark/>
          </w:tcPr>
          <w:p w14:paraId="3CEAFE2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340.000,00</w:t>
            </w:r>
          </w:p>
        </w:tc>
      </w:tr>
      <w:tr w:rsidR="002D76FF" w14:paraId="1A984623" w14:textId="77777777" w:rsidTr="002D76FF">
        <w:trPr>
          <w:trHeight w:val="300"/>
          <w:jc w:val="center"/>
        </w:trPr>
        <w:tc>
          <w:tcPr>
            <w:tcW w:w="3320" w:type="dxa"/>
            <w:noWrap/>
            <w:vAlign w:val="center"/>
          </w:tcPr>
          <w:p w14:paraId="17C7A697"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OAS</w:t>
            </w:r>
          </w:p>
        </w:tc>
        <w:tc>
          <w:tcPr>
            <w:tcW w:w="2300" w:type="dxa"/>
            <w:noWrap/>
            <w:vAlign w:val="center"/>
            <w:hideMark/>
          </w:tcPr>
          <w:p w14:paraId="614EB6DC"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37.500,00</w:t>
            </w:r>
          </w:p>
        </w:tc>
        <w:tc>
          <w:tcPr>
            <w:tcW w:w="2160" w:type="dxa"/>
            <w:noWrap/>
            <w:vAlign w:val="center"/>
            <w:hideMark/>
          </w:tcPr>
          <w:p w14:paraId="23CA051E"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37.500,00</w:t>
            </w:r>
          </w:p>
        </w:tc>
        <w:tc>
          <w:tcPr>
            <w:tcW w:w="2360" w:type="dxa"/>
            <w:noWrap/>
            <w:vAlign w:val="center"/>
            <w:hideMark/>
          </w:tcPr>
          <w:p w14:paraId="183318A8"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37.500,00</w:t>
            </w:r>
          </w:p>
        </w:tc>
        <w:tc>
          <w:tcPr>
            <w:tcW w:w="2240" w:type="dxa"/>
            <w:noWrap/>
            <w:vAlign w:val="center"/>
            <w:hideMark/>
          </w:tcPr>
          <w:p w14:paraId="7B45A6D1"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37.500,00</w:t>
            </w:r>
          </w:p>
        </w:tc>
        <w:tc>
          <w:tcPr>
            <w:tcW w:w="2260" w:type="dxa"/>
            <w:noWrap/>
            <w:vAlign w:val="center"/>
            <w:hideMark/>
          </w:tcPr>
          <w:p w14:paraId="3A1D8C33"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150.000,00</w:t>
            </w:r>
          </w:p>
        </w:tc>
      </w:tr>
      <w:tr w:rsidR="002D76FF" w14:paraId="1ECA37E2" w14:textId="77777777" w:rsidTr="002D76FF">
        <w:trPr>
          <w:trHeight w:val="300"/>
          <w:jc w:val="center"/>
        </w:trPr>
        <w:tc>
          <w:tcPr>
            <w:tcW w:w="3320" w:type="dxa"/>
            <w:noWrap/>
            <w:vAlign w:val="center"/>
          </w:tcPr>
          <w:p w14:paraId="5EC77CBD"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TNC</w:t>
            </w:r>
          </w:p>
        </w:tc>
        <w:tc>
          <w:tcPr>
            <w:tcW w:w="2300" w:type="dxa"/>
            <w:noWrap/>
            <w:vAlign w:val="center"/>
            <w:hideMark/>
          </w:tcPr>
          <w:p w14:paraId="26093834"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13.287,50</w:t>
            </w:r>
          </w:p>
        </w:tc>
        <w:tc>
          <w:tcPr>
            <w:tcW w:w="2160" w:type="dxa"/>
            <w:noWrap/>
            <w:vAlign w:val="center"/>
            <w:hideMark/>
          </w:tcPr>
          <w:p w14:paraId="4ABDD8B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13.287,50</w:t>
            </w:r>
          </w:p>
        </w:tc>
        <w:tc>
          <w:tcPr>
            <w:tcW w:w="2360" w:type="dxa"/>
            <w:noWrap/>
            <w:vAlign w:val="center"/>
            <w:hideMark/>
          </w:tcPr>
          <w:p w14:paraId="702EC1CF"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13.287,50</w:t>
            </w:r>
          </w:p>
        </w:tc>
        <w:tc>
          <w:tcPr>
            <w:tcW w:w="2240" w:type="dxa"/>
            <w:noWrap/>
            <w:vAlign w:val="center"/>
            <w:hideMark/>
          </w:tcPr>
          <w:p w14:paraId="4CCE154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13.287,50</w:t>
            </w:r>
          </w:p>
        </w:tc>
        <w:tc>
          <w:tcPr>
            <w:tcW w:w="2260" w:type="dxa"/>
            <w:noWrap/>
            <w:vAlign w:val="center"/>
            <w:hideMark/>
          </w:tcPr>
          <w:p w14:paraId="191391B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53.150,00</w:t>
            </w:r>
          </w:p>
        </w:tc>
      </w:tr>
      <w:tr w:rsidR="002D76FF" w14:paraId="46A161A4" w14:textId="77777777" w:rsidTr="002D76FF">
        <w:trPr>
          <w:trHeight w:val="300"/>
          <w:jc w:val="center"/>
        </w:trPr>
        <w:tc>
          <w:tcPr>
            <w:tcW w:w="3320" w:type="dxa"/>
            <w:noWrap/>
            <w:vAlign w:val="center"/>
          </w:tcPr>
          <w:p w14:paraId="4ECE8C21"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UNCTAD</w:t>
            </w:r>
          </w:p>
        </w:tc>
        <w:tc>
          <w:tcPr>
            <w:tcW w:w="2300" w:type="dxa"/>
            <w:noWrap/>
            <w:vAlign w:val="center"/>
            <w:hideMark/>
          </w:tcPr>
          <w:p w14:paraId="64E29C36"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75.000,00</w:t>
            </w:r>
          </w:p>
        </w:tc>
        <w:tc>
          <w:tcPr>
            <w:tcW w:w="2160" w:type="dxa"/>
            <w:noWrap/>
            <w:vAlign w:val="center"/>
            <w:hideMark/>
          </w:tcPr>
          <w:p w14:paraId="648FB5BB"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75.000,00</w:t>
            </w:r>
          </w:p>
        </w:tc>
        <w:tc>
          <w:tcPr>
            <w:tcW w:w="2360" w:type="dxa"/>
            <w:noWrap/>
            <w:vAlign w:val="center"/>
            <w:hideMark/>
          </w:tcPr>
          <w:p w14:paraId="783BB94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75.000,00</w:t>
            </w:r>
          </w:p>
        </w:tc>
        <w:tc>
          <w:tcPr>
            <w:tcW w:w="2240" w:type="dxa"/>
            <w:noWrap/>
            <w:vAlign w:val="center"/>
            <w:hideMark/>
          </w:tcPr>
          <w:p w14:paraId="263F935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75.000,00</w:t>
            </w:r>
          </w:p>
        </w:tc>
        <w:tc>
          <w:tcPr>
            <w:tcW w:w="2260" w:type="dxa"/>
            <w:noWrap/>
            <w:vAlign w:val="center"/>
            <w:hideMark/>
          </w:tcPr>
          <w:p w14:paraId="700338A7"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300.000,00</w:t>
            </w:r>
          </w:p>
        </w:tc>
      </w:tr>
      <w:tr w:rsidR="002D76FF" w14:paraId="594D0E20" w14:textId="77777777" w:rsidTr="002D76FF">
        <w:trPr>
          <w:trHeight w:val="300"/>
          <w:jc w:val="center"/>
        </w:trPr>
        <w:tc>
          <w:tcPr>
            <w:tcW w:w="3320" w:type="dxa"/>
            <w:noWrap/>
            <w:vAlign w:val="center"/>
          </w:tcPr>
          <w:p w14:paraId="382BBDE6"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 xml:space="preserve">GRID </w:t>
            </w:r>
            <w:proofErr w:type="spellStart"/>
            <w:r>
              <w:rPr>
                <w:rFonts w:asciiTheme="minorHAnsi" w:hAnsiTheme="minorHAnsi" w:cstheme="minorHAnsi"/>
                <w:b/>
                <w:bCs/>
                <w:color w:val="000000"/>
                <w:sz w:val="20"/>
                <w:szCs w:val="20"/>
                <w:lang w:eastAsia="en-US"/>
              </w:rPr>
              <w:t>Arendal</w:t>
            </w:r>
            <w:proofErr w:type="spellEnd"/>
          </w:p>
        </w:tc>
        <w:tc>
          <w:tcPr>
            <w:tcW w:w="2300" w:type="dxa"/>
            <w:noWrap/>
            <w:vAlign w:val="center"/>
            <w:hideMark/>
          </w:tcPr>
          <w:p w14:paraId="0120FAEC"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122.000,00</w:t>
            </w:r>
          </w:p>
        </w:tc>
        <w:tc>
          <w:tcPr>
            <w:tcW w:w="2160" w:type="dxa"/>
            <w:noWrap/>
            <w:vAlign w:val="center"/>
            <w:hideMark/>
          </w:tcPr>
          <w:p w14:paraId="6946E57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122.000,00</w:t>
            </w:r>
          </w:p>
        </w:tc>
        <w:tc>
          <w:tcPr>
            <w:tcW w:w="2360" w:type="dxa"/>
            <w:noWrap/>
            <w:vAlign w:val="center"/>
            <w:hideMark/>
          </w:tcPr>
          <w:p w14:paraId="5FDD9C6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122.000,00</w:t>
            </w:r>
          </w:p>
        </w:tc>
        <w:tc>
          <w:tcPr>
            <w:tcW w:w="2240" w:type="dxa"/>
            <w:noWrap/>
            <w:vAlign w:val="center"/>
            <w:hideMark/>
          </w:tcPr>
          <w:p w14:paraId="53C6447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122.000,00</w:t>
            </w:r>
          </w:p>
        </w:tc>
        <w:tc>
          <w:tcPr>
            <w:tcW w:w="2260" w:type="dxa"/>
            <w:noWrap/>
            <w:vAlign w:val="center"/>
            <w:hideMark/>
          </w:tcPr>
          <w:p w14:paraId="783D0DF3"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488.000,00</w:t>
            </w:r>
          </w:p>
        </w:tc>
      </w:tr>
      <w:tr w:rsidR="002D76FF" w14:paraId="0F5B9273" w14:textId="77777777" w:rsidTr="002D76FF">
        <w:trPr>
          <w:trHeight w:val="300"/>
          <w:jc w:val="center"/>
        </w:trPr>
        <w:tc>
          <w:tcPr>
            <w:tcW w:w="3320" w:type="dxa"/>
            <w:noWrap/>
            <w:vAlign w:val="center"/>
          </w:tcPr>
          <w:p w14:paraId="7C23BC5C" w14:textId="77777777" w:rsidR="002D76FF" w:rsidRDefault="002D76FF" w:rsidP="002D76FF">
            <w:pPr>
              <w:rPr>
                <w:rFonts w:asciiTheme="minorHAnsi" w:hAnsiTheme="minorHAnsi" w:cstheme="minorHAnsi"/>
                <w:b/>
                <w:bCs/>
                <w:color w:val="000000"/>
                <w:sz w:val="20"/>
                <w:szCs w:val="20"/>
                <w:lang w:eastAsia="en-US"/>
              </w:rPr>
            </w:pPr>
            <w:proofErr w:type="spellStart"/>
            <w:r>
              <w:rPr>
                <w:rFonts w:asciiTheme="minorHAnsi" w:hAnsiTheme="minorHAnsi" w:cstheme="minorHAnsi"/>
                <w:b/>
                <w:bCs/>
                <w:color w:val="000000"/>
                <w:sz w:val="20"/>
                <w:szCs w:val="20"/>
                <w:lang w:eastAsia="en-US"/>
              </w:rPr>
              <w:t>REVOcean</w:t>
            </w:r>
            <w:proofErr w:type="spellEnd"/>
          </w:p>
        </w:tc>
        <w:tc>
          <w:tcPr>
            <w:tcW w:w="2300" w:type="dxa"/>
            <w:noWrap/>
            <w:vAlign w:val="center"/>
            <w:hideMark/>
          </w:tcPr>
          <w:p w14:paraId="01FE145B"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387.500,00</w:t>
            </w:r>
          </w:p>
        </w:tc>
        <w:tc>
          <w:tcPr>
            <w:tcW w:w="2160" w:type="dxa"/>
            <w:noWrap/>
            <w:vAlign w:val="center"/>
            <w:hideMark/>
          </w:tcPr>
          <w:p w14:paraId="0B5F8F26"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387.500,00</w:t>
            </w:r>
          </w:p>
        </w:tc>
        <w:tc>
          <w:tcPr>
            <w:tcW w:w="2360" w:type="dxa"/>
            <w:noWrap/>
            <w:vAlign w:val="center"/>
            <w:hideMark/>
          </w:tcPr>
          <w:p w14:paraId="6C035F19"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387.500,00</w:t>
            </w:r>
          </w:p>
        </w:tc>
        <w:tc>
          <w:tcPr>
            <w:tcW w:w="2240" w:type="dxa"/>
            <w:noWrap/>
            <w:vAlign w:val="center"/>
            <w:hideMark/>
          </w:tcPr>
          <w:p w14:paraId="58643F0D"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387.500,00</w:t>
            </w:r>
          </w:p>
        </w:tc>
        <w:tc>
          <w:tcPr>
            <w:tcW w:w="2260" w:type="dxa"/>
            <w:noWrap/>
            <w:vAlign w:val="center"/>
            <w:hideMark/>
          </w:tcPr>
          <w:p w14:paraId="18D3C5E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1.550.000,00</w:t>
            </w:r>
          </w:p>
        </w:tc>
      </w:tr>
      <w:tr w:rsidR="002D76FF" w14:paraId="0342D61D" w14:textId="77777777" w:rsidTr="002D76FF">
        <w:trPr>
          <w:trHeight w:val="300"/>
          <w:jc w:val="center"/>
        </w:trPr>
        <w:tc>
          <w:tcPr>
            <w:tcW w:w="3320" w:type="dxa"/>
            <w:noWrap/>
            <w:vAlign w:val="center"/>
          </w:tcPr>
          <w:p w14:paraId="470DF85B"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UNESCO IHP</w:t>
            </w:r>
          </w:p>
        </w:tc>
        <w:tc>
          <w:tcPr>
            <w:tcW w:w="2300" w:type="dxa"/>
            <w:noWrap/>
            <w:vAlign w:val="center"/>
            <w:hideMark/>
          </w:tcPr>
          <w:p w14:paraId="7DFD85D5"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150.000,00</w:t>
            </w:r>
          </w:p>
        </w:tc>
        <w:tc>
          <w:tcPr>
            <w:tcW w:w="2160" w:type="dxa"/>
            <w:noWrap/>
            <w:vAlign w:val="center"/>
            <w:hideMark/>
          </w:tcPr>
          <w:p w14:paraId="0204473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150.000,00</w:t>
            </w:r>
          </w:p>
        </w:tc>
        <w:tc>
          <w:tcPr>
            <w:tcW w:w="2360" w:type="dxa"/>
            <w:noWrap/>
            <w:vAlign w:val="center"/>
            <w:hideMark/>
          </w:tcPr>
          <w:p w14:paraId="792D1F82"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150.000,00</w:t>
            </w:r>
          </w:p>
        </w:tc>
        <w:tc>
          <w:tcPr>
            <w:tcW w:w="2240" w:type="dxa"/>
            <w:noWrap/>
            <w:vAlign w:val="center"/>
            <w:hideMark/>
          </w:tcPr>
          <w:p w14:paraId="531EBB3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150.000,00</w:t>
            </w:r>
          </w:p>
        </w:tc>
        <w:tc>
          <w:tcPr>
            <w:tcW w:w="2260" w:type="dxa"/>
            <w:noWrap/>
            <w:vAlign w:val="center"/>
            <w:hideMark/>
          </w:tcPr>
          <w:p w14:paraId="5D00D04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600.000,00</w:t>
            </w:r>
          </w:p>
        </w:tc>
      </w:tr>
      <w:tr w:rsidR="002D76FF" w14:paraId="412807F5" w14:textId="77777777" w:rsidTr="002D76FF">
        <w:trPr>
          <w:trHeight w:val="300"/>
          <w:jc w:val="center"/>
        </w:trPr>
        <w:tc>
          <w:tcPr>
            <w:tcW w:w="3320" w:type="dxa"/>
            <w:noWrap/>
            <w:vAlign w:val="center"/>
          </w:tcPr>
          <w:p w14:paraId="361CD15B"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WWF-US</w:t>
            </w:r>
          </w:p>
        </w:tc>
        <w:tc>
          <w:tcPr>
            <w:tcW w:w="2300" w:type="dxa"/>
            <w:noWrap/>
            <w:vAlign w:val="center"/>
            <w:hideMark/>
          </w:tcPr>
          <w:p w14:paraId="0A985A18"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28.750,00</w:t>
            </w:r>
          </w:p>
        </w:tc>
        <w:tc>
          <w:tcPr>
            <w:tcW w:w="2160" w:type="dxa"/>
            <w:noWrap/>
            <w:vAlign w:val="center"/>
            <w:hideMark/>
          </w:tcPr>
          <w:p w14:paraId="11C5008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28.750,00</w:t>
            </w:r>
          </w:p>
        </w:tc>
        <w:tc>
          <w:tcPr>
            <w:tcW w:w="2360" w:type="dxa"/>
            <w:noWrap/>
            <w:vAlign w:val="center"/>
            <w:hideMark/>
          </w:tcPr>
          <w:p w14:paraId="4DB1B1D4"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28.750,00</w:t>
            </w:r>
          </w:p>
        </w:tc>
        <w:tc>
          <w:tcPr>
            <w:tcW w:w="2240" w:type="dxa"/>
            <w:noWrap/>
            <w:vAlign w:val="center"/>
            <w:hideMark/>
          </w:tcPr>
          <w:p w14:paraId="34FFDEBE"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28.750,00</w:t>
            </w:r>
          </w:p>
        </w:tc>
        <w:tc>
          <w:tcPr>
            <w:tcW w:w="2260" w:type="dxa"/>
            <w:noWrap/>
            <w:vAlign w:val="center"/>
            <w:hideMark/>
          </w:tcPr>
          <w:p w14:paraId="5710F8DD"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115.000,00</w:t>
            </w:r>
          </w:p>
        </w:tc>
      </w:tr>
      <w:tr w:rsidR="002D76FF" w14:paraId="4986BF6A" w14:textId="77777777" w:rsidTr="002D76FF">
        <w:trPr>
          <w:trHeight w:val="300"/>
          <w:jc w:val="center"/>
        </w:trPr>
        <w:tc>
          <w:tcPr>
            <w:tcW w:w="3320" w:type="dxa"/>
            <w:noWrap/>
            <w:vAlign w:val="center"/>
          </w:tcPr>
          <w:p w14:paraId="37C61B65"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UNSW GWI</w:t>
            </w:r>
          </w:p>
        </w:tc>
        <w:tc>
          <w:tcPr>
            <w:tcW w:w="2300" w:type="dxa"/>
            <w:noWrap/>
            <w:vAlign w:val="center"/>
            <w:hideMark/>
          </w:tcPr>
          <w:p w14:paraId="4615BFEB" w14:textId="77777777" w:rsidR="002D76FF" w:rsidRPr="002D76FF" w:rsidRDefault="002D76FF" w:rsidP="002D76FF">
            <w:pPr>
              <w:rPr>
                <w:rFonts w:asciiTheme="minorHAnsi" w:hAnsiTheme="minorHAnsi" w:cstheme="minorHAnsi"/>
                <w:b/>
                <w:bCs/>
                <w:color w:val="000000"/>
                <w:sz w:val="20"/>
                <w:szCs w:val="20"/>
                <w:lang w:eastAsia="en-US"/>
              </w:rPr>
            </w:pPr>
            <w:r w:rsidRPr="002D76FF">
              <w:rPr>
                <w:rFonts w:asciiTheme="minorHAnsi" w:hAnsiTheme="minorHAnsi" w:cstheme="minorHAnsi"/>
                <w:b/>
                <w:bCs/>
                <w:color w:val="000000"/>
                <w:sz w:val="20"/>
                <w:szCs w:val="20"/>
                <w:lang w:eastAsia="en-US"/>
              </w:rPr>
              <w:t>312.500,00</w:t>
            </w:r>
          </w:p>
        </w:tc>
        <w:tc>
          <w:tcPr>
            <w:tcW w:w="2160" w:type="dxa"/>
            <w:noWrap/>
            <w:vAlign w:val="center"/>
            <w:hideMark/>
          </w:tcPr>
          <w:p w14:paraId="4B706620"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312.500,00</w:t>
            </w:r>
          </w:p>
        </w:tc>
        <w:tc>
          <w:tcPr>
            <w:tcW w:w="2360" w:type="dxa"/>
            <w:noWrap/>
            <w:vAlign w:val="center"/>
            <w:hideMark/>
          </w:tcPr>
          <w:p w14:paraId="320AA59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312.500,00</w:t>
            </w:r>
          </w:p>
        </w:tc>
        <w:tc>
          <w:tcPr>
            <w:tcW w:w="2240" w:type="dxa"/>
            <w:noWrap/>
            <w:vAlign w:val="center"/>
            <w:hideMark/>
          </w:tcPr>
          <w:p w14:paraId="5D7FE5D3"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312.500,00</w:t>
            </w:r>
          </w:p>
        </w:tc>
        <w:tc>
          <w:tcPr>
            <w:tcW w:w="2260" w:type="dxa"/>
            <w:noWrap/>
            <w:vAlign w:val="center"/>
            <w:hideMark/>
          </w:tcPr>
          <w:p w14:paraId="0EA0CA8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1.250.000,00</w:t>
            </w:r>
          </w:p>
        </w:tc>
      </w:tr>
      <w:tr w:rsidR="002D76FF" w14:paraId="56ED8982" w14:textId="77777777" w:rsidTr="002D76FF">
        <w:trPr>
          <w:trHeight w:val="300"/>
          <w:jc w:val="center"/>
        </w:trPr>
        <w:tc>
          <w:tcPr>
            <w:tcW w:w="3320" w:type="dxa"/>
            <w:noWrap/>
            <w:vAlign w:val="center"/>
          </w:tcPr>
          <w:p w14:paraId="516A1096"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TOTAL</w:t>
            </w:r>
          </w:p>
        </w:tc>
        <w:tc>
          <w:tcPr>
            <w:tcW w:w="2300" w:type="dxa"/>
            <w:noWrap/>
            <w:vAlign w:val="center"/>
            <w:hideMark/>
          </w:tcPr>
          <w:p w14:paraId="6D0B247B" w14:textId="77777777" w:rsidR="002D76FF" w:rsidRDefault="002D76FF" w:rsidP="002D76FF">
            <w:pPr>
              <w:rPr>
                <w:rFonts w:asciiTheme="minorHAnsi" w:hAnsiTheme="minorHAnsi" w:cstheme="minorHAnsi"/>
                <w:b/>
                <w:bCs/>
                <w:color w:val="000000"/>
                <w:sz w:val="20"/>
                <w:szCs w:val="20"/>
                <w:lang w:eastAsia="en-US"/>
              </w:rPr>
            </w:pPr>
            <w:r>
              <w:rPr>
                <w:rFonts w:asciiTheme="minorHAnsi" w:hAnsiTheme="minorHAnsi" w:cstheme="minorHAnsi"/>
                <w:b/>
                <w:bCs/>
                <w:color w:val="000000"/>
                <w:sz w:val="20"/>
                <w:szCs w:val="20"/>
                <w:lang w:eastAsia="en-US"/>
              </w:rPr>
              <w:t>5.182.949,00</w:t>
            </w:r>
          </w:p>
        </w:tc>
        <w:tc>
          <w:tcPr>
            <w:tcW w:w="2160" w:type="dxa"/>
            <w:noWrap/>
            <w:vAlign w:val="center"/>
            <w:hideMark/>
          </w:tcPr>
          <w:p w14:paraId="5F83624A"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5.162.949,00</w:t>
            </w:r>
          </w:p>
        </w:tc>
        <w:tc>
          <w:tcPr>
            <w:tcW w:w="2360" w:type="dxa"/>
            <w:noWrap/>
            <w:vAlign w:val="center"/>
            <w:hideMark/>
          </w:tcPr>
          <w:p w14:paraId="4E5EA865"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5.162.949,00</w:t>
            </w:r>
          </w:p>
        </w:tc>
        <w:tc>
          <w:tcPr>
            <w:tcW w:w="2240" w:type="dxa"/>
            <w:noWrap/>
            <w:vAlign w:val="center"/>
            <w:hideMark/>
          </w:tcPr>
          <w:p w14:paraId="206EF9AB"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5.162.949,00</w:t>
            </w:r>
          </w:p>
        </w:tc>
        <w:tc>
          <w:tcPr>
            <w:tcW w:w="2260" w:type="dxa"/>
            <w:noWrap/>
            <w:vAlign w:val="center"/>
            <w:hideMark/>
          </w:tcPr>
          <w:p w14:paraId="5C6CD9D4" w14:textId="77777777" w:rsidR="002D76FF" w:rsidRPr="002D76FF" w:rsidRDefault="002D76FF" w:rsidP="002D76FF">
            <w:pPr>
              <w:rPr>
                <w:rFonts w:ascii="Calibri" w:eastAsia="SimSun" w:hAnsi="Calibri" w:cs="Calibri"/>
                <w:sz w:val="20"/>
                <w:szCs w:val="20"/>
                <w:lang w:val="fr-FR" w:eastAsia="zh-CN"/>
              </w:rPr>
            </w:pPr>
            <w:r w:rsidRPr="002D76FF">
              <w:rPr>
                <w:rFonts w:ascii="Calibri" w:eastAsia="SimSun" w:hAnsi="Calibri" w:cs="Calibri"/>
                <w:sz w:val="20"/>
                <w:szCs w:val="20"/>
                <w:lang w:val="fr-FR" w:eastAsia="zh-CN"/>
              </w:rPr>
              <w:t>20.671.796,00</w:t>
            </w:r>
          </w:p>
        </w:tc>
      </w:tr>
    </w:tbl>
    <w:p w14:paraId="62A44AB8" w14:textId="45C667D0" w:rsidR="00D83888" w:rsidRDefault="00D83888" w:rsidP="00F0133E">
      <w:pPr>
        <w:rPr>
          <w:lang w:eastAsia="en-US"/>
        </w:rPr>
      </w:pPr>
    </w:p>
    <w:p w14:paraId="6789751F" w14:textId="1F5F08F2" w:rsidR="004B362B" w:rsidRDefault="004B362B">
      <w:pPr>
        <w:spacing w:after="160" w:line="259" w:lineRule="auto"/>
        <w:rPr>
          <w:lang w:eastAsia="en-US"/>
        </w:rPr>
      </w:pPr>
      <w:r>
        <w:rPr>
          <w:lang w:eastAsia="en-US"/>
        </w:rPr>
        <w:br w:type="page"/>
      </w:r>
    </w:p>
    <w:p w14:paraId="2F8D423B" w14:textId="77777777" w:rsidR="004B362B" w:rsidRDefault="004B362B" w:rsidP="004B362B">
      <w:pPr>
        <w:jc w:val="center"/>
        <w:rPr>
          <w:rFonts w:asciiTheme="minorHAnsi" w:hAnsiTheme="minorHAnsi" w:cstheme="minorHAnsi"/>
          <w:b/>
          <w:sz w:val="22"/>
          <w:szCs w:val="22"/>
        </w:rPr>
      </w:pPr>
      <w:r>
        <w:rPr>
          <w:rFonts w:asciiTheme="minorHAnsi" w:hAnsiTheme="minorHAnsi" w:cstheme="minorHAnsi"/>
          <w:b/>
          <w:sz w:val="22"/>
          <w:szCs w:val="22"/>
        </w:rPr>
        <w:lastRenderedPageBreak/>
        <w:t>Component 3/Outcome 4&amp;5/Outputs 3.1&amp;3.4 and Component 4/Outcome 6/Output 4.3 (UNEP) - Budget</w:t>
      </w:r>
      <w:r>
        <w:rPr>
          <w:rFonts w:asciiTheme="minorHAnsi" w:eastAsia="Arial" w:hAnsiTheme="minorHAnsi" w:cstheme="minorHAnsi"/>
          <w:b/>
          <w:sz w:val="18"/>
          <w:szCs w:val="18"/>
          <w:vertAlign w:val="superscript"/>
        </w:rPr>
        <w:footnoteReference w:id="19"/>
      </w:r>
    </w:p>
    <w:p w14:paraId="5932AE1E" w14:textId="77777777" w:rsidR="004B362B" w:rsidRDefault="004B362B" w:rsidP="004B362B">
      <w:pPr>
        <w:rPr>
          <w:rFonts w:asciiTheme="minorHAnsi" w:hAnsiTheme="minorHAnsi" w:cstheme="minorHAnsi"/>
          <w:b/>
          <w:sz w:val="18"/>
          <w:szCs w:val="18"/>
        </w:rPr>
      </w:pPr>
    </w:p>
    <w:p w14:paraId="084EA931" w14:textId="77777777" w:rsidR="004B362B" w:rsidRDefault="004B362B" w:rsidP="004B362B">
      <w:pPr>
        <w:rPr>
          <w:rFonts w:asciiTheme="minorHAnsi" w:hAnsiTheme="minorHAnsi" w:cstheme="minorHAnsi"/>
          <w:b/>
          <w:sz w:val="18"/>
          <w:szCs w:val="18"/>
        </w:rPr>
      </w:pPr>
    </w:p>
    <w:p w14:paraId="1BE6E7DC" w14:textId="2A2BC756" w:rsidR="004B362B" w:rsidRDefault="004B362B" w:rsidP="00F0133E">
      <w:pPr>
        <w:rPr>
          <w:lang w:eastAsia="en-US"/>
        </w:rPr>
      </w:pPr>
      <w:r>
        <w:rPr>
          <w:noProof/>
        </w:rPr>
        <w:drawing>
          <wp:inline distT="0" distB="0" distL="0" distR="0" wp14:anchorId="182E32C9" wp14:editId="3F5EF886">
            <wp:extent cx="8718550" cy="4198620"/>
            <wp:effectExtent l="0" t="0" r="0" b="0"/>
            <wp:docPr id="109" name="image14.png"/>
            <wp:cNvGraphicFramePr/>
            <a:graphic xmlns:a="http://schemas.openxmlformats.org/drawingml/2006/main">
              <a:graphicData uri="http://schemas.openxmlformats.org/drawingml/2006/picture">
                <pic:pic xmlns:pic="http://schemas.openxmlformats.org/drawingml/2006/picture">
                  <pic:nvPicPr>
                    <pic:cNvPr id="109" name="image14.png"/>
                    <pic:cNvPicPr/>
                  </pic:nvPicPr>
                  <pic:blipFill>
                    <a:blip r:embed="rId34"/>
                    <a:srcRect/>
                    <a:stretch>
                      <a:fillRect/>
                    </a:stretch>
                  </pic:blipFill>
                  <pic:spPr>
                    <a:xfrm>
                      <a:off x="0" y="0"/>
                      <a:ext cx="8718550" cy="4198620"/>
                    </a:xfrm>
                    <a:prstGeom prst="rect">
                      <a:avLst/>
                    </a:prstGeom>
                    <a:ln/>
                  </pic:spPr>
                </pic:pic>
              </a:graphicData>
            </a:graphic>
          </wp:inline>
        </w:drawing>
      </w:r>
    </w:p>
    <w:p w14:paraId="6C8AF4D2" w14:textId="32EB9F3B" w:rsidR="004B362B" w:rsidRDefault="004B362B">
      <w:pPr>
        <w:spacing w:after="160" w:line="259" w:lineRule="auto"/>
        <w:rPr>
          <w:lang w:eastAsia="en-US"/>
        </w:rPr>
      </w:pPr>
    </w:p>
    <w:p w14:paraId="1BEB01B2" w14:textId="77777777" w:rsidR="004B362B" w:rsidRPr="00D83888" w:rsidRDefault="004B362B" w:rsidP="00F0133E">
      <w:pPr>
        <w:rPr>
          <w:lang w:eastAsia="en-US"/>
        </w:rPr>
      </w:pPr>
    </w:p>
    <w:p w14:paraId="11BDE618" w14:textId="77777777" w:rsidR="004B362B" w:rsidRDefault="004B362B" w:rsidP="004B362B">
      <w:pPr>
        <w:pStyle w:val="Heading1"/>
        <w:spacing w:before="0" w:after="60"/>
        <w:jc w:val="left"/>
        <w:rPr>
          <w:rFonts w:ascii="Calibri" w:eastAsia="SimSun" w:hAnsi="Calibri"/>
          <w:szCs w:val="28"/>
        </w:rPr>
        <w:sectPr w:rsidR="004B362B" w:rsidSect="00F0133E">
          <w:pgSz w:w="16838" w:h="11906" w:orient="landscape"/>
          <w:pgMar w:top="1440" w:right="1440" w:bottom="1440" w:left="1440" w:header="706" w:footer="706" w:gutter="0"/>
          <w:cols w:space="708"/>
          <w:docGrid w:linePitch="360"/>
        </w:sectPr>
      </w:pPr>
      <w:bookmarkStart w:id="52" w:name="_Toc46749085"/>
    </w:p>
    <w:p w14:paraId="21ACD21F" w14:textId="7680AE28" w:rsidR="004B362B" w:rsidRDefault="004B362B" w:rsidP="004B362B">
      <w:pPr>
        <w:pStyle w:val="Heading1"/>
        <w:spacing w:before="0" w:after="60"/>
        <w:jc w:val="left"/>
        <w:rPr>
          <w:rFonts w:ascii="Calibri" w:eastAsia="SimSun" w:hAnsi="Calibri"/>
          <w:szCs w:val="28"/>
        </w:rPr>
      </w:pPr>
      <w:bookmarkStart w:id="53" w:name="_Toc115094391"/>
      <w:r>
        <w:rPr>
          <w:rFonts w:ascii="Calibri" w:eastAsia="SimSun" w:hAnsi="Calibri"/>
          <w:szCs w:val="28"/>
        </w:rPr>
        <w:lastRenderedPageBreak/>
        <w:t>Legal Context</w:t>
      </w:r>
      <w:bookmarkEnd w:id="52"/>
      <w:bookmarkEnd w:id="53"/>
    </w:p>
    <w:p w14:paraId="6814437C" w14:textId="77777777" w:rsidR="004B362B" w:rsidRDefault="004B362B" w:rsidP="004B362B">
      <w:pPr>
        <w:jc w:val="both"/>
        <w:rPr>
          <w:rFonts w:asciiTheme="minorHAnsi" w:hAnsiTheme="minorHAnsi" w:cstheme="minorHAnsi"/>
          <w:sz w:val="22"/>
          <w:szCs w:val="22"/>
        </w:rPr>
      </w:pPr>
      <w:r>
        <w:rPr>
          <w:rFonts w:asciiTheme="minorHAnsi" w:hAnsiTheme="minorHAnsi" w:cstheme="minorHAnsi"/>
          <w:sz w:val="22"/>
          <w:szCs w:val="22"/>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w:t>
      </w:r>
      <w:proofErr w:type="spellStart"/>
      <w:r>
        <w:rPr>
          <w:rFonts w:asciiTheme="minorHAnsi" w:hAnsiTheme="minorHAnsi" w:cstheme="minorHAnsi"/>
          <w:sz w:val="22"/>
          <w:szCs w:val="22"/>
        </w:rPr>
        <w:t>i</w:t>
      </w:r>
      <w:proofErr w:type="spellEnd"/>
      <w:r>
        <w:rPr>
          <w:rFonts w:asciiTheme="minorHAnsi" w:hAnsiTheme="minorHAnsi" w:cstheme="minorHAnsi"/>
          <w:sz w:val="22"/>
          <w:szCs w:val="22"/>
        </w:rPr>
        <w:t xml:space="preserve">) the respective signed SBAAs for the specific countries; or (ii) in the </w:t>
      </w:r>
      <w:hyperlink r:id="rId35" w:history="1">
        <w:r>
          <w:rPr>
            <w:rStyle w:val="Hyperlink"/>
            <w:rFonts w:asciiTheme="minorHAnsi" w:hAnsiTheme="minorHAnsi" w:cstheme="minorHAnsi"/>
            <w:sz w:val="22"/>
            <w:szCs w:val="22"/>
          </w:rPr>
          <w:t>Supplemental Provisions</w:t>
        </w:r>
      </w:hyperlink>
      <w:r>
        <w:rPr>
          <w:rFonts w:asciiTheme="minorHAnsi" w:hAnsiTheme="minorHAnsi" w:cstheme="minorHAnsi"/>
          <w:color w:val="0000FF"/>
          <w:sz w:val="22"/>
          <w:szCs w:val="22"/>
          <w:u w:val="single"/>
        </w:rPr>
        <w:t xml:space="preserve"> to the Project Document</w:t>
      </w:r>
      <w:r>
        <w:rPr>
          <w:rFonts w:asciiTheme="minorHAnsi" w:hAnsiTheme="minorHAnsi" w:cstheme="minorHAnsi"/>
          <w:sz w:val="22"/>
          <w:szCs w:val="22"/>
        </w:rPr>
        <w:t xml:space="preserve"> attached to the Project Document in cases where the recipient country has not signed an SBAA with UNDP, attached hereto and forming an integral part hereof.  All references in the SBAA to “Executing Agency” shall be deemed to refer to “Implementing Partner.”</w:t>
      </w:r>
    </w:p>
    <w:p w14:paraId="6C6DD911" w14:textId="77777777" w:rsidR="004B362B" w:rsidRDefault="004B362B" w:rsidP="004B362B">
      <w:pPr>
        <w:ind w:left="450" w:hanging="450"/>
        <w:jc w:val="both"/>
        <w:rPr>
          <w:rFonts w:asciiTheme="minorHAnsi" w:hAnsiTheme="minorHAnsi" w:cstheme="minorHAnsi"/>
          <w:sz w:val="22"/>
          <w:szCs w:val="22"/>
        </w:rPr>
      </w:pPr>
    </w:p>
    <w:p w14:paraId="4D2D4607" w14:textId="77777777" w:rsidR="004B362B" w:rsidRDefault="004B362B" w:rsidP="004B362B">
      <w:pPr>
        <w:jc w:val="both"/>
        <w:rPr>
          <w:rFonts w:asciiTheme="minorHAnsi" w:hAnsiTheme="minorHAnsi" w:cstheme="minorHAnsi"/>
          <w:b/>
          <w:sz w:val="22"/>
          <w:szCs w:val="22"/>
        </w:rPr>
      </w:pPr>
      <w:r>
        <w:rPr>
          <w:rFonts w:asciiTheme="minorHAnsi" w:hAnsiTheme="minorHAnsi" w:cstheme="minorHAnsi"/>
          <w:sz w:val="22"/>
          <w:szCs w:val="22"/>
        </w:rPr>
        <w:t>This project will be implemented by Intergovernmental Oceanographic Commission of UNESCO (IOC-UNESCO)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Pr>
          <w:rFonts w:asciiTheme="minorHAnsi" w:hAnsiTheme="minorHAnsi" w:cstheme="minorHAnsi"/>
          <w:b/>
          <w:sz w:val="22"/>
          <w:szCs w:val="22"/>
        </w:rPr>
        <w:t xml:space="preserve">.  </w:t>
      </w:r>
    </w:p>
    <w:p w14:paraId="5CE46743" w14:textId="77777777" w:rsidR="004B362B" w:rsidRDefault="004B362B" w:rsidP="004B362B">
      <w:pPr>
        <w:jc w:val="both"/>
        <w:rPr>
          <w:rFonts w:asciiTheme="minorHAnsi" w:hAnsiTheme="minorHAnsi" w:cstheme="minorHAnsi"/>
          <w:sz w:val="22"/>
          <w:szCs w:val="22"/>
        </w:rPr>
      </w:pPr>
    </w:p>
    <w:p w14:paraId="415A64AF" w14:textId="77777777" w:rsidR="004B362B" w:rsidRDefault="004B362B" w:rsidP="004B362B">
      <w:pPr>
        <w:jc w:val="both"/>
        <w:rPr>
          <w:rFonts w:asciiTheme="minorHAnsi" w:hAnsiTheme="minorHAnsi" w:cstheme="minorHAnsi"/>
          <w:sz w:val="22"/>
          <w:szCs w:val="22"/>
        </w:rPr>
      </w:pPr>
      <w:r>
        <w:rPr>
          <w:rFonts w:asciiTheme="minorHAnsi" w:hAnsiTheme="minorHAnsi" w:cstheme="minorHAnsi"/>
          <w:color w:val="000000"/>
          <w:sz w:val="22"/>
          <w:szCs w:val="22"/>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41A635B5" w14:textId="2369F9F6" w:rsidR="004B362B" w:rsidRDefault="004B362B">
      <w:pPr>
        <w:spacing w:after="160" w:line="259" w:lineRule="auto"/>
        <w:rPr>
          <w:lang w:eastAsia="en-US"/>
        </w:rPr>
      </w:pPr>
      <w:r>
        <w:rPr>
          <w:lang w:eastAsia="en-US"/>
        </w:rPr>
        <w:br w:type="page"/>
      </w:r>
    </w:p>
    <w:p w14:paraId="5A08EC9C" w14:textId="1EC51C19" w:rsidR="004B362B" w:rsidRDefault="004B362B" w:rsidP="004B362B">
      <w:pPr>
        <w:pStyle w:val="Heading1"/>
        <w:spacing w:before="0" w:after="60"/>
        <w:jc w:val="left"/>
        <w:rPr>
          <w:rFonts w:ascii="Calibri" w:eastAsia="SimSun" w:hAnsi="Calibri"/>
          <w:szCs w:val="28"/>
        </w:rPr>
      </w:pPr>
      <w:bookmarkStart w:id="54" w:name="_Toc46749086"/>
      <w:bookmarkStart w:id="55" w:name="_Toc115094392"/>
      <w:r>
        <w:rPr>
          <w:rFonts w:ascii="Calibri" w:eastAsia="SimSun" w:hAnsi="Calibri"/>
          <w:szCs w:val="28"/>
        </w:rPr>
        <w:lastRenderedPageBreak/>
        <w:t>Risk Management</w:t>
      </w:r>
      <w:bookmarkEnd w:id="54"/>
      <w:bookmarkEnd w:id="55"/>
    </w:p>
    <w:p w14:paraId="5501F00B" w14:textId="77777777" w:rsidR="004B362B" w:rsidRDefault="004B362B" w:rsidP="004B362B">
      <w:pPr>
        <w:numPr>
          <w:ilvl w:val="0"/>
          <w:numId w:val="85"/>
        </w:numPr>
        <w:spacing w:after="240"/>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Intergovernmental Oceanographic Commission of UNESCO (IOC-UNESCO) as the Implementing Partner will comply with the policies, procedures and practices of the United Nations Security Management System (UNSMS.)</w:t>
      </w:r>
    </w:p>
    <w:p w14:paraId="4662C8DC" w14:textId="77777777" w:rsidR="004B362B" w:rsidRDefault="004B362B" w:rsidP="004B362B">
      <w:pPr>
        <w:numPr>
          <w:ilvl w:val="0"/>
          <w:numId w:val="85"/>
        </w:numPr>
        <w:spacing w:after="240"/>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In the implementation of the activities under this Project Document, IOC-UNESCO as the Implementing Partner will handle any sexual exploitation and abuse (“SEA”) and sexual harassment (“SH”) allegations in accordance with its regulations, rules, policies and procedures. Notwithstanding the foregoing, the IOC-UNESCO, as the Implementing Partner, will notify UNDP of any such allegations and investigations it may conduct further to such allegations.</w:t>
      </w:r>
    </w:p>
    <w:p w14:paraId="56C08B38" w14:textId="77777777" w:rsidR="004B362B" w:rsidRDefault="004B362B" w:rsidP="004B362B">
      <w:pPr>
        <w:numPr>
          <w:ilvl w:val="0"/>
          <w:numId w:val="85"/>
        </w:numPr>
        <w:ind w:left="360"/>
        <w:jc w:val="both"/>
        <w:rPr>
          <w:rFonts w:asciiTheme="minorHAnsi" w:hAnsiTheme="minorHAnsi" w:cstheme="minorHAnsi"/>
          <w:color w:val="000000"/>
          <w:sz w:val="22"/>
          <w:szCs w:val="22"/>
        </w:rPr>
      </w:pPr>
      <w:r>
        <w:rPr>
          <w:rFonts w:asciiTheme="minorHAnsi" w:hAnsiTheme="minorHAnsi" w:cstheme="minorHAnsi"/>
          <w:sz w:val="22"/>
          <w:szCs w:val="22"/>
        </w:rPr>
        <w:t>IOC-UNESCO</w:t>
      </w:r>
      <w:r>
        <w:rPr>
          <w:rFonts w:asciiTheme="minorHAnsi" w:hAnsiTheme="minorHAnsi" w:cstheme="minorHAnsi"/>
          <w:color w:val="000000"/>
          <w:sz w:val="22"/>
          <w:szCs w:val="22"/>
        </w:rPr>
        <w:t xml:space="preserve"> as the Implementing Partner will ensure that </w:t>
      </w:r>
      <w:r>
        <w:rPr>
          <w:rFonts w:asciiTheme="minorHAnsi" w:hAnsiTheme="minorHAnsi" w:cstheme="minorHAnsi"/>
          <w:sz w:val="22"/>
          <w:szCs w:val="22"/>
        </w:rPr>
        <w:t>the following obligations are binding on each responsible party, subcontractor and sub-recipient that is not a UN entity:</w:t>
      </w:r>
    </w:p>
    <w:p w14:paraId="33A9C161" w14:textId="77777777" w:rsidR="004B362B" w:rsidRDefault="004B362B" w:rsidP="004B362B">
      <w:pPr>
        <w:ind w:left="360"/>
        <w:jc w:val="both"/>
        <w:rPr>
          <w:rFonts w:asciiTheme="minorHAnsi" w:hAnsiTheme="minorHAnsi" w:cstheme="minorHAnsi"/>
          <w:sz w:val="22"/>
          <w:szCs w:val="22"/>
        </w:rPr>
      </w:pPr>
    </w:p>
    <w:p w14:paraId="126C7E82" w14:textId="77777777" w:rsidR="004B362B" w:rsidRDefault="004B362B" w:rsidP="004B362B">
      <w:pPr>
        <w:numPr>
          <w:ilvl w:val="1"/>
          <w:numId w:val="85"/>
        </w:numPr>
        <w:jc w:val="both"/>
        <w:rPr>
          <w:rFonts w:asciiTheme="minorHAnsi" w:hAnsiTheme="minorHAnsi" w:cstheme="minorHAnsi"/>
          <w:sz w:val="22"/>
          <w:szCs w:val="22"/>
        </w:rPr>
      </w:pPr>
      <w:r>
        <w:rPr>
          <w:rFonts w:asciiTheme="minorHAnsi" w:hAnsiTheme="minorHAnsi" w:cstheme="minorHAnsi"/>
          <w:sz w:val="22"/>
          <w:szCs w:val="22"/>
        </w:rPr>
        <w:t>Consistent with the Article III of the SBAA, the responsibility for the safety and security of each responsible party, subcontractor and sub-recipient</w:t>
      </w:r>
      <w:r>
        <w:rPr>
          <w:rFonts w:asciiTheme="minorHAnsi" w:hAnsiTheme="minorHAnsi" w:cstheme="minorHAnsi"/>
          <w:color w:val="000000"/>
          <w:sz w:val="22"/>
          <w:szCs w:val="22"/>
        </w:rPr>
        <w:t xml:space="preserve"> </w:t>
      </w:r>
      <w:r>
        <w:rPr>
          <w:rFonts w:asciiTheme="minorHAnsi" w:hAnsiTheme="minorHAnsi" w:cstheme="minorHAnsi"/>
          <w:sz w:val="22"/>
          <w:szCs w:val="22"/>
        </w:rPr>
        <w:t xml:space="preserve">and its personnel and property, and of IOC-UNESCO’s property in such responsible </w:t>
      </w:r>
      <w:proofErr w:type="spellStart"/>
      <w:r>
        <w:rPr>
          <w:rFonts w:asciiTheme="minorHAnsi" w:hAnsiTheme="minorHAnsi" w:cstheme="minorHAnsi"/>
          <w:sz w:val="22"/>
          <w:szCs w:val="22"/>
        </w:rPr>
        <w:t>party’s</w:t>
      </w:r>
      <w:proofErr w:type="spellEnd"/>
      <w:r>
        <w:rPr>
          <w:rFonts w:asciiTheme="minorHAnsi" w:hAnsiTheme="minorHAnsi" w:cstheme="minorHAnsi"/>
          <w:sz w:val="22"/>
          <w:szCs w:val="22"/>
        </w:rPr>
        <w:t>, subcontractor’s and sub-recipient’s custody, rests with such responsible party, subcontractor and sub-recipient.  To this end, each responsible party, subcontractor and sub-recipient</w:t>
      </w:r>
      <w:r>
        <w:rPr>
          <w:rFonts w:asciiTheme="minorHAnsi" w:hAnsiTheme="minorHAnsi" w:cstheme="minorHAnsi"/>
          <w:color w:val="000000"/>
          <w:sz w:val="22"/>
          <w:szCs w:val="22"/>
        </w:rPr>
        <w:t xml:space="preserve"> </w:t>
      </w:r>
      <w:r>
        <w:rPr>
          <w:rFonts w:asciiTheme="minorHAnsi" w:hAnsiTheme="minorHAnsi" w:cstheme="minorHAnsi"/>
          <w:sz w:val="22"/>
          <w:szCs w:val="22"/>
        </w:rPr>
        <w:t>shall:</w:t>
      </w:r>
    </w:p>
    <w:p w14:paraId="673DF3A7" w14:textId="77777777" w:rsidR="004B362B" w:rsidRDefault="004B362B" w:rsidP="004B362B">
      <w:pPr>
        <w:ind w:left="360"/>
        <w:jc w:val="both"/>
        <w:rPr>
          <w:rFonts w:asciiTheme="minorHAnsi" w:hAnsiTheme="minorHAnsi" w:cstheme="minorHAnsi"/>
          <w:sz w:val="22"/>
          <w:szCs w:val="22"/>
        </w:rPr>
      </w:pPr>
    </w:p>
    <w:p w14:paraId="4EB930DF" w14:textId="77777777" w:rsidR="004B362B" w:rsidRDefault="004B362B" w:rsidP="004B362B">
      <w:pPr>
        <w:numPr>
          <w:ilvl w:val="2"/>
          <w:numId w:val="85"/>
        </w:numPr>
        <w:jc w:val="both"/>
        <w:rPr>
          <w:rFonts w:asciiTheme="minorHAnsi" w:hAnsiTheme="minorHAnsi" w:cstheme="minorHAnsi"/>
          <w:sz w:val="22"/>
          <w:szCs w:val="22"/>
        </w:rPr>
      </w:pPr>
      <w:r>
        <w:rPr>
          <w:rFonts w:asciiTheme="minorHAnsi" w:hAnsiTheme="minorHAnsi" w:cstheme="minorHAnsi"/>
          <w:sz w:val="22"/>
          <w:szCs w:val="22"/>
        </w:rPr>
        <w:t>put in place an appropriate security plan and maintain the security plan, taking into account the security situation in the country where the project is being carried;</w:t>
      </w:r>
    </w:p>
    <w:p w14:paraId="3194C7BC" w14:textId="77777777" w:rsidR="004B362B" w:rsidRDefault="004B362B" w:rsidP="004B362B">
      <w:pPr>
        <w:numPr>
          <w:ilvl w:val="2"/>
          <w:numId w:val="85"/>
        </w:numPr>
        <w:jc w:val="both"/>
        <w:rPr>
          <w:rFonts w:asciiTheme="minorHAnsi" w:hAnsiTheme="minorHAnsi" w:cstheme="minorHAnsi"/>
          <w:sz w:val="22"/>
          <w:szCs w:val="22"/>
        </w:rPr>
      </w:pPr>
      <w:r>
        <w:rPr>
          <w:rFonts w:asciiTheme="minorHAnsi" w:hAnsiTheme="minorHAnsi" w:cstheme="minorHAnsi"/>
          <w:sz w:val="22"/>
          <w:szCs w:val="22"/>
        </w:rPr>
        <w:t xml:space="preserve">assume all risks and liabilities related to such responsible </w:t>
      </w:r>
      <w:proofErr w:type="spellStart"/>
      <w:r>
        <w:rPr>
          <w:rFonts w:asciiTheme="minorHAnsi" w:hAnsiTheme="minorHAnsi" w:cstheme="minorHAnsi"/>
          <w:sz w:val="22"/>
          <w:szCs w:val="22"/>
        </w:rPr>
        <w:t>party’s</w:t>
      </w:r>
      <w:proofErr w:type="spellEnd"/>
      <w:r>
        <w:rPr>
          <w:rFonts w:asciiTheme="minorHAnsi" w:hAnsiTheme="minorHAnsi" w:cstheme="minorHAnsi"/>
          <w:sz w:val="22"/>
          <w:szCs w:val="22"/>
        </w:rPr>
        <w:t>, subcontractor’s and sub-recipient’s security, and the full implementation of the security plan.</w:t>
      </w:r>
    </w:p>
    <w:p w14:paraId="33BF4047" w14:textId="77777777" w:rsidR="004B362B" w:rsidRDefault="004B362B" w:rsidP="004B362B">
      <w:pPr>
        <w:jc w:val="both"/>
        <w:rPr>
          <w:rFonts w:asciiTheme="minorHAnsi" w:hAnsiTheme="minorHAnsi" w:cstheme="minorHAnsi"/>
          <w:sz w:val="22"/>
          <w:szCs w:val="22"/>
        </w:rPr>
      </w:pPr>
    </w:p>
    <w:p w14:paraId="4B11BA7C" w14:textId="77777777" w:rsidR="004B362B" w:rsidRDefault="004B362B" w:rsidP="004B362B">
      <w:pPr>
        <w:numPr>
          <w:ilvl w:val="1"/>
          <w:numId w:val="85"/>
        </w:numPr>
        <w:spacing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IOC-UNESCO reserves the right to verify whether such a plan is in place, and to suggest modifications to the plan when necessary. Failure to maintain and implement an appropriate security plan as required hereunder shall be deemed a breach of the responsible </w:t>
      </w:r>
      <w:proofErr w:type="spellStart"/>
      <w:r>
        <w:rPr>
          <w:rFonts w:asciiTheme="minorHAnsi" w:hAnsiTheme="minorHAnsi" w:cstheme="minorHAnsi"/>
          <w:color w:val="000000"/>
          <w:sz w:val="22"/>
          <w:szCs w:val="22"/>
        </w:rPr>
        <w:t>party’s</w:t>
      </w:r>
      <w:proofErr w:type="spellEnd"/>
      <w:r>
        <w:rPr>
          <w:rFonts w:asciiTheme="minorHAnsi" w:hAnsiTheme="minorHAnsi" w:cstheme="minorHAnsi"/>
          <w:color w:val="000000"/>
          <w:sz w:val="22"/>
          <w:szCs w:val="22"/>
        </w:rPr>
        <w:t>, subcontractor’s and sub-recipient’s obligations under this Project Document.</w:t>
      </w:r>
    </w:p>
    <w:p w14:paraId="022C06F6" w14:textId="77777777" w:rsidR="004B362B" w:rsidRDefault="004B362B" w:rsidP="004B362B">
      <w:pPr>
        <w:numPr>
          <w:ilvl w:val="1"/>
          <w:numId w:val="85"/>
        </w:numPr>
        <w:spacing w:after="240"/>
        <w:jc w:val="both"/>
        <w:rPr>
          <w:rFonts w:asciiTheme="minorHAnsi" w:hAnsiTheme="minorHAnsi" w:cstheme="minorHAnsi"/>
          <w:color w:val="000000"/>
          <w:sz w:val="22"/>
          <w:szCs w:val="22"/>
        </w:rPr>
      </w:pPr>
      <w:r>
        <w:rPr>
          <w:rFonts w:asciiTheme="minorHAnsi" w:hAnsiTheme="minorHAnsi" w:cstheme="minorHAnsi"/>
          <w:color w:val="000000"/>
          <w:sz w:val="22"/>
          <w:szCs w:val="22"/>
        </w:rPr>
        <w:t>In the performance of the activities under this Project, IOC-UNESCO as the Implementing Partner shall ensure, with respect to the activities of any of its responsible parties, sub-recipients and other entities engaged under the Project, either as contractors or subcontractors, their personnel and any individuals performing services for them, that those entities have in place adequate and proper procedures, processes and policies to prevent and/or handle SEA and SH.</w:t>
      </w:r>
    </w:p>
    <w:p w14:paraId="6E13ABA9" w14:textId="77777777" w:rsidR="004B362B" w:rsidRDefault="004B362B" w:rsidP="004B362B">
      <w:pPr>
        <w:numPr>
          <w:ilvl w:val="0"/>
          <w:numId w:val="85"/>
        </w:numPr>
        <w:spacing w:after="240"/>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IOC-UNESCO agrees to undertake all reasonable efforts to ensure that none of the [project funds]</w:t>
      </w:r>
      <w:r>
        <w:rPr>
          <w:rFonts w:asciiTheme="minorHAnsi" w:hAnsiTheme="minorHAnsi" w:cstheme="minorHAnsi"/>
          <w:color w:val="000000"/>
          <w:sz w:val="22"/>
          <w:szCs w:val="22"/>
          <w:vertAlign w:val="superscript"/>
        </w:rPr>
        <w:footnoteReference w:id="20"/>
      </w:r>
      <w:r>
        <w:rPr>
          <w:rFonts w:asciiTheme="minorHAnsi" w:hAnsiTheme="minorHAnsi" w:cstheme="minorHAnsi"/>
          <w:color w:val="000000"/>
          <w:sz w:val="22"/>
          <w:szCs w:val="22"/>
        </w:rPr>
        <w:t xml:space="preserve"> [UNDP funds received pursuant to the Project Document]</w:t>
      </w:r>
      <w:r>
        <w:rPr>
          <w:rFonts w:asciiTheme="minorHAnsi" w:hAnsiTheme="minorHAnsi" w:cstheme="minorHAnsi"/>
          <w:color w:val="000000"/>
          <w:sz w:val="22"/>
          <w:szCs w:val="22"/>
          <w:vertAlign w:val="superscript"/>
        </w:rPr>
        <w:footnoteReference w:id="21"/>
      </w:r>
      <w:r>
        <w:rPr>
          <w:rFonts w:asciiTheme="minorHAnsi" w:hAnsiTheme="minorHAnsi" w:cstheme="minorHAnsi"/>
          <w:color w:val="000000"/>
          <w:sz w:val="22"/>
          <w:szCs w:val="22"/>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6" w:history="1">
        <w:r>
          <w:rPr>
            <w:rStyle w:val="Hyperlink"/>
            <w:rFonts w:asciiTheme="minorHAnsi" w:hAnsiTheme="minorHAnsi" w:cstheme="minorHAnsi"/>
            <w:sz w:val="22"/>
            <w:szCs w:val="22"/>
          </w:rPr>
          <w:t>http://www.un.org/sc/committees/1267/aq_sanctions_list.shtml</w:t>
        </w:r>
      </w:hyperlink>
      <w:r>
        <w:rPr>
          <w:rFonts w:asciiTheme="minorHAnsi" w:hAnsiTheme="minorHAnsi" w:cstheme="minorHAnsi"/>
          <w:color w:val="000080"/>
          <w:sz w:val="22"/>
          <w:szCs w:val="22"/>
        </w:rPr>
        <w:t xml:space="preserve">. </w:t>
      </w:r>
      <w:r>
        <w:rPr>
          <w:rFonts w:asciiTheme="minorHAnsi" w:hAnsiTheme="minorHAnsi" w:cstheme="minorHAnsi"/>
          <w:color w:val="000000"/>
          <w:sz w:val="22"/>
          <w:szCs w:val="22"/>
        </w:rPr>
        <w:t xml:space="preserve"> </w:t>
      </w:r>
    </w:p>
    <w:p w14:paraId="03AD5741" w14:textId="77777777" w:rsidR="004B362B" w:rsidRDefault="004B362B" w:rsidP="004B362B">
      <w:pPr>
        <w:numPr>
          <w:ilvl w:val="0"/>
          <w:numId w:val="85"/>
        </w:numPr>
        <w:spacing w:after="240"/>
        <w:ind w:left="360"/>
        <w:jc w:val="both"/>
        <w:rPr>
          <w:rFonts w:asciiTheme="minorHAnsi" w:hAnsiTheme="minorHAnsi" w:cstheme="minorHAnsi"/>
          <w:color w:val="000000"/>
          <w:sz w:val="22"/>
          <w:szCs w:val="22"/>
          <w:u w:val="single"/>
        </w:rPr>
      </w:pPr>
      <w:r>
        <w:rPr>
          <w:rFonts w:asciiTheme="minorHAnsi" w:hAnsiTheme="minorHAnsi" w:cstheme="minorHAnsi"/>
          <w:color w:val="000000"/>
          <w:sz w:val="22"/>
          <w:szCs w:val="22"/>
        </w:rPr>
        <w:lastRenderedPageBreak/>
        <w:t>Social and environmental sustainability will be enhanced through application of the UNDP Social and Environmental Standards (http://www.undp.org/ses) and related Accountability Mechanism (http://www.undp.org/secu-srm).   </w:t>
      </w:r>
    </w:p>
    <w:p w14:paraId="2BF90F8A" w14:textId="77777777" w:rsidR="004B362B" w:rsidRDefault="004B362B" w:rsidP="004B362B">
      <w:pPr>
        <w:numPr>
          <w:ilvl w:val="0"/>
          <w:numId w:val="85"/>
        </w:numPr>
        <w:ind w:left="360"/>
        <w:jc w:val="both"/>
        <w:rPr>
          <w:rFonts w:asciiTheme="minorHAnsi" w:hAnsiTheme="minorHAnsi" w:cstheme="minorHAnsi"/>
          <w:color w:val="000000"/>
          <w:sz w:val="22"/>
          <w:szCs w:val="22"/>
        </w:rPr>
      </w:pPr>
      <w:r>
        <w:rPr>
          <w:rFonts w:asciiTheme="minorHAnsi" w:hAnsiTheme="minorHAnsi" w:cstheme="minorHAnsi"/>
          <w:color w:val="101010"/>
          <w:sz w:val="22"/>
          <w:szCs w:val="22"/>
        </w:rPr>
        <w:t xml:space="preserve">The Implementing Partner shall: (a) conduct project and </w:t>
      </w:r>
      <w:proofErr w:type="spellStart"/>
      <w:r>
        <w:rPr>
          <w:rFonts w:asciiTheme="minorHAnsi" w:hAnsiTheme="minorHAnsi" w:cstheme="minorHAnsi"/>
          <w:color w:val="101010"/>
          <w:sz w:val="22"/>
          <w:szCs w:val="22"/>
        </w:rPr>
        <w:t>programme</w:t>
      </w:r>
      <w:proofErr w:type="spellEnd"/>
      <w:r>
        <w:rPr>
          <w:rFonts w:asciiTheme="minorHAnsi" w:hAnsiTheme="minorHAnsi" w:cstheme="minorHAnsi"/>
          <w:color w:val="101010"/>
          <w:sz w:val="22"/>
          <w:szCs w:val="22"/>
        </w:rPr>
        <w:t xml:space="preserve">-related activities in a manner consistent with the UNDP Social and Environmental Standards, (b) implement any management or mitigation plan prepared for the project or </w:t>
      </w:r>
      <w:proofErr w:type="spellStart"/>
      <w:r>
        <w:rPr>
          <w:rFonts w:asciiTheme="minorHAnsi" w:hAnsiTheme="minorHAnsi" w:cstheme="minorHAnsi"/>
          <w:color w:val="101010"/>
          <w:sz w:val="22"/>
          <w:szCs w:val="22"/>
        </w:rPr>
        <w:t>programme</w:t>
      </w:r>
      <w:proofErr w:type="spellEnd"/>
      <w:r>
        <w:rPr>
          <w:rFonts w:asciiTheme="minorHAnsi" w:hAnsiTheme="minorHAnsi" w:cstheme="minorHAnsi"/>
          <w:color w:val="101010"/>
          <w:sz w:val="22"/>
          <w:szCs w:val="22"/>
        </w:rPr>
        <w:t xml:space="preserve"> to comply with such standards, and (c) engage in a constructive and timely manner to address any concerns and complaints raised through the Accountability Mechanism. </w:t>
      </w:r>
      <w:r>
        <w:rPr>
          <w:rFonts w:asciiTheme="minorHAnsi" w:hAnsiTheme="minorHAnsi" w:cstheme="minorHAnsi"/>
          <w:color w:val="141414"/>
          <w:sz w:val="22"/>
          <w:szCs w:val="22"/>
        </w:rPr>
        <w:t>UNDP</w:t>
      </w:r>
      <w:r>
        <w:rPr>
          <w:rFonts w:asciiTheme="minorHAnsi" w:hAnsiTheme="minorHAnsi" w:cstheme="minorHAnsi"/>
          <w:color w:val="000000"/>
          <w:sz w:val="22"/>
          <w:szCs w:val="22"/>
        </w:rPr>
        <w:t xml:space="preserve"> will seek to ensure that communities and other project stakeholders are informed of and have access to the Accountability Mechanism. </w:t>
      </w:r>
    </w:p>
    <w:p w14:paraId="0CD5DA15" w14:textId="77777777" w:rsidR="004B362B" w:rsidRDefault="004B362B" w:rsidP="004B362B">
      <w:pPr>
        <w:numPr>
          <w:ilvl w:val="0"/>
          <w:numId w:val="85"/>
        </w:numPr>
        <w:spacing w:before="240" w:after="240"/>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All signatories to the Project Document shall cooperate in good faith with any exercise to evaluate any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or project-related commitments or compliance with the UNDP Social and Environmental Standards. This includes providing access to project sites, relevant personnel, information, and documentation.</w:t>
      </w:r>
    </w:p>
    <w:p w14:paraId="031C0CE8" w14:textId="77777777" w:rsidR="004B362B" w:rsidRDefault="004B362B" w:rsidP="004B362B">
      <w:pPr>
        <w:numPr>
          <w:ilvl w:val="0"/>
          <w:numId w:val="85"/>
        </w:numPr>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Implementing Partner will take appropriate steps to prevent misuse of funds, fraud or corruption, by its officials, consultants, responsible parties, subcontractors and sub-recipients in implementing the project or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or using the UNDP funds.  The Implementing Partner will ensure that its financial management, anti-corruption and anti-fraud policies are in place and enforced for all funding received from or through UNDP.</w:t>
      </w:r>
    </w:p>
    <w:p w14:paraId="6627D960" w14:textId="77777777" w:rsidR="004B362B" w:rsidRDefault="004B362B" w:rsidP="004B362B">
      <w:pPr>
        <w:ind w:left="360"/>
        <w:jc w:val="both"/>
        <w:rPr>
          <w:rFonts w:asciiTheme="minorHAnsi" w:hAnsiTheme="minorHAnsi" w:cstheme="minorHAnsi"/>
          <w:color w:val="000000"/>
          <w:sz w:val="22"/>
          <w:szCs w:val="22"/>
        </w:rPr>
      </w:pPr>
    </w:p>
    <w:p w14:paraId="21CB2174" w14:textId="77777777" w:rsidR="004B362B" w:rsidRDefault="004B362B" w:rsidP="004B362B">
      <w:pPr>
        <w:numPr>
          <w:ilvl w:val="0"/>
          <w:numId w:val="85"/>
        </w:numPr>
        <w:ind w:left="360"/>
        <w:jc w:val="both"/>
        <w:rPr>
          <w:rFonts w:asciiTheme="minorHAnsi" w:hAnsiTheme="minorHAnsi" w:cstheme="minorHAnsi"/>
          <w:sz w:val="22"/>
          <w:szCs w:val="22"/>
        </w:rPr>
      </w:pPr>
      <w:r>
        <w:rPr>
          <w:rFonts w:asciiTheme="minorHAnsi" w:hAnsiTheme="minorHAnsi" w:cstheme="minorHAnsi"/>
          <w:sz w:val="22"/>
          <w:szCs w:val="22"/>
        </w:rPr>
        <w:t>The Implementing Partner and UNDP will promptly inform one another in case of any incidence of inappropriate use of funds, or credible allegation of fraud or corruption with due confidentiality.</w:t>
      </w:r>
    </w:p>
    <w:p w14:paraId="08CF2700" w14:textId="77777777" w:rsidR="004B362B" w:rsidRDefault="004B362B" w:rsidP="004B362B">
      <w:pPr>
        <w:ind w:left="360"/>
        <w:jc w:val="both"/>
        <w:rPr>
          <w:rFonts w:asciiTheme="minorHAnsi" w:hAnsiTheme="minorHAnsi" w:cstheme="minorHAnsi"/>
          <w:sz w:val="22"/>
          <w:szCs w:val="22"/>
        </w:rPr>
      </w:pPr>
    </w:p>
    <w:p w14:paraId="0E17E5E6" w14:textId="77777777" w:rsidR="004B362B" w:rsidRDefault="004B362B" w:rsidP="004B362B">
      <w:pPr>
        <w:ind w:left="360"/>
        <w:jc w:val="both"/>
        <w:rPr>
          <w:rFonts w:asciiTheme="minorHAnsi" w:hAnsiTheme="minorHAnsi" w:cstheme="minorHAnsi"/>
          <w:color w:val="000000"/>
          <w:sz w:val="22"/>
          <w:szCs w:val="22"/>
        </w:rPr>
      </w:pPr>
      <w:r>
        <w:rPr>
          <w:rFonts w:asciiTheme="minorHAnsi" w:hAnsiTheme="minorHAnsi" w:cstheme="minorHAnsi"/>
          <w:sz w:val="22"/>
          <w:szCs w:val="22"/>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45DB5330" w14:textId="77777777" w:rsidR="004B362B" w:rsidRDefault="004B362B" w:rsidP="004B362B">
      <w:pPr>
        <w:ind w:left="360"/>
        <w:jc w:val="both"/>
        <w:rPr>
          <w:rFonts w:asciiTheme="minorHAnsi" w:hAnsiTheme="minorHAnsi" w:cstheme="minorHAnsi"/>
          <w:b/>
          <w:sz w:val="22"/>
          <w:szCs w:val="22"/>
        </w:rPr>
      </w:pPr>
    </w:p>
    <w:p w14:paraId="0A133FD8" w14:textId="77777777" w:rsidR="004B362B" w:rsidRDefault="004B362B" w:rsidP="004B362B">
      <w:pPr>
        <w:numPr>
          <w:ilvl w:val="0"/>
          <w:numId w:val="85"/>
        </w:numPr>
        <w:ind w:left="360"/>
        <w:jc w:val="both"/>
        <w:rPr>
          <w:rFonts w:asciiTheme="minorHAnsi" w:hAnsiTheme="minorHAnsi" w:cstheme="minorHAnsi"/>
          <w:color w:val="000000"/>
          <w:sz w:val="22"/>
          <w:szCs w:val="22"/>
        </w:rPr>
      </w:pPr>
      <w:r>
        <w:rPr>
          <w:rFonts w:asciiTheme="minorHAnsi" w:hAnsiTheme="minorHAnsi" w:cstheme="minorHAnsi"/>
          <w:color w:val="000000"/>
          <w:sz w:val="22"/>
          <w:szCs w:val="22"/>
        </w:rPr>
        <w:t>UNDP shall be entitled to a refund from the Implementing Partner of any funds provided that have been used inappropriately, including through fraud or corruption, or otherwise paid other than in accordance with the terms and conditions of this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1F84E80F" w14:textId="77777777" w:rsidR="004B362B" w:rsidRDefault="004B362B" w:rsidP="004B362B">
      <w:pPr>
        <w:jc w:val="both"/>
        <w:rPr>
          <w:rFonts w:asciiTheme="minorHAnsi" w:hAnsiTheme="minorHAnsi" w:cstheme="minorHAnsi"/>
          <w:b/>
          <w:sz w:val="22"/>
          <w:szCs w:val="22"/>
        </w:rPr>
      </w:pPr>
    </w:p>
    <w:p w14:paraId="48C74FD4" w14:textId="77777777" w:rsidR="004B362B" w:rsidRDefault="004B362B" w:rsidP="004B362B">
      <w:pPr>
        <w:ind w:left="360"/>
        <w:jc w:val="both"/>
        <w:rPr>
          <w:rFonts w:asciiTheme="minorHAnsi" w:hAnsiTheme="minorHAnsi" w:cstheme="minorHAnsi"/>
          <w:sz w:val="22"/>
          <w:szCs w:val="22"/>
        </w:rPr>
      </w:pPr>
      <w:r>
        <w:rPr>
          <w:rFonts w:asciiTheme="minorHAnsi" w:hAnsiTheme="minorHAnsi" w:cstheme="minorHAnsi"/>
          <w:sz w:val="22"/>
          <w:szCs w:val="22"/>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214E63B1" w14:textId="77777777" w:rsidR="004B362B" w:rsidRDefault="004B362B" w:rsidP="004B362B">
      <w:pPr>
        <w:ind w:left="360"/>
        <w:jc w:val="both"/>
        <w:rPr>
          <w:rFonts w:asciiTheme="minorHAnsi" w:hAnsiTheme="minorHAnsi" w:cstheme="minorHAnsi"/>
          <w:sz w:val="22"/>
          <w:szCs w:val="22"/>
        </w:rPr>
      </w:pPr>
    </w:p>
    <w:p w14:paraId="57533173" w14:textId="77777777" w:rsidR="004B362B" w:rsidRDefault="004B362B" w:rsidP="004B362B">
      <w:pPr>
        <w:ind w:left="360"/>
        <w:jc w:val="both"/>
        <w:rPr>
          <w:rFonts w:asciiTheme="minorHAnsi" w:hAnsiTheme="minorHAnsi" w:cstheme="minorHAnsi"/>
          <w:color w:val="000000"/>
          <w:sz w:val="22"/>
          <w:szCs w:val="22"/>
        </w:rPr>
      </w:pPr>
      <w:r>
        <w:rPr>
          <w:rFonts w:asciiTheme="minorHAnsi" w:hAnsiTheme="minorHAnsi" w:cstheme="minorHAnsi"/>
          <w:i/>
          <w:sz w:val="22"/>
          <w:szCs w:val="22"/>
          <w:u w:val="single"/>
        </w:rPr>
        <w:t>Note</w:t>
      </w:r>
      <w:r>
        <w:rPr>
          <w:rFonts w:asciiTheme="minorHAnsi" w:hAnsiTheme="minorHAnsi" w:cstheme="minorHAnsi"/>
          <w:i/>
          <w:sz w:val="22"/>
          <w:szCs w:val="22"/>
        </w:rPr>
        <w:t>:</w:t>
      </w:r>
      <w:r>
        <w:rPr>
          <w:rFonts w:asciiTheme="minorHAnsi" w:hAnsiTheme="minorHAnsi" w:cstheme="minorHAnsi"/>
          <w:sz w:val="22"/>
          <w:szCs w:val="22"/>
        </w:rPr>
        <w:t xml:space="preserve">  The term “Project Document” as used in this clause shall be deemed to include any relevant subsidiary agreement further to the Project Document, including those with responsible parties, subcontractors and sub-recipients.</w:t>
      </w:r>
    </w:p>
    <w:p w14:paraId="2D9CF2CD" w14:textId="77777777" w:rsidR="004B362B" w:rsidRDefault="004B362B" w:rsidP="004B362B">
      <w:pPr>
        <w:ind w:left="360"/>
        <w:jc w:val="both"/>
        <w:rPr>
          <w:rFonts w:asciiTheme="minorHAnsi" w:hAnsiTheme="minorHAnsi" w:cstheme="minorHAnsi"/>
          <w:sz w:val="22"/>
          <w:szCs w:val="22"/>
        </w:rPr>
      </w:pPr>
    </w:p>
    <w:p w14:paraId="791B7D22" w14:textId="77777777" w:rsidR="004B362B" w:rsidRDefault="004B362B" w:rsidP="004B362B">
      <w:pPr>
        <w:numPr>
          <w:ilvl w:val="0"/>
          <w:numId w:val="85"/>
        </w:numPr>
        <w:ind w:left="360"/>
        <w:jc w:val="both"/>
        <w:rPr>
          <w:rFonts w:asciiTheme="minorHAnsi" w:hAnsiTheme="minorHAnsi" w:cstheme="minorHAnsi"/>
          <w:sz w:val="22"/>
          <w:szCs w:val="22"/>
        </w:rPr>
      </w:pPr>
      <w:r>
        <w:rPr>
          <w:rFonts w:asciiTheme="minorHAnsi" w:hAnsiTheme="minorHAnsi" w:cstheme="minorHAnsi"/>
          <w:sz w:val="22"/>
          <w:szCs w:val="22"/>
        </w:rPr>
        <w:t xml:space="preserve">Each contract issued by the Implementing Partner in connection with this Project Document shall include a provision representing that no fees, gratuities, rebates, gifts, commissions or other </w:t>
      </w:r>
      <w:r>
        <w:rPr>
          <w:rFonts w:asciiTheme="minorHAnsi" w:hAnsiTheme="minorHAnsi" w:cstheme="minorHAnsi"/>
          <w:sz w:val="22"/>
          <w:szCs w:val="22"/>
        </w:rPr>
        <w:lastRenderedPageBreak/>
        <w:t>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2E9C7950" w14:textId="77777777" w:rsidR="004B362B" w:rsidRDefault="004B362B" w:rsidP="004B362B">
      <w:pPr>
        <w:jc w:val="both"/>
        <w:rPr>
          <w:rFonts w:asciiTheme="minorHAnsi" w:hAnsiTheme="minorHAnsi" w:cstheme="minorHAnsi"/>
          <w:sz w:val="22"/>
          <w:szCs w:val="22"/>
        </w:rPr>
      </w:pPr>
    </w:p>
    <w:p w14:paraId="43E6C48F" w14:textId="77777777" w:rsidR="004B362B" w:rsidRDefault="004B362B" w:rsidP="004B362B">
      <w:pPr>
        <w:numPr>
          <w:ilvl w:val="0"/>
          <w:numId w:val="85"/>
        </w:numPr>
        <w:ind w:left="360"/>
        <w:jc w:val="both"/>
        <w:rPr>
          <w:rFonts w:asciiTheme="minorHAnsi" w:hAnsiTheme="minorHAnsi" w:cstheme="minorHAnsi"/>
          <w:sz w:val="22"/>
          <w:szCs w:val="22"/>
        </w:rPr>
      </w:pPr>
      <w:r>
        <w:rPr>
          <w:rFonts w:asciiTheme="minorHAnsi" w:hAnsiTheme="minorHAnsi" w:cstheme="minorHAnsi"/>
          <w:sz w:val="22"/>
          <w:szCs w:val="22"/>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070F7B44" w14:textId="77777777" w:rsidR="004B362B" w:rsidRDefault="004B362B" w:rsidP="004B362B">
      <w:pPr>
        <w:jc w:val="both"/>
        <w:rPr>
          <w:rFonts w:asciiTheme="minorHAnsi" w:hAnsiTheme="minorHAnsi" w:cstheme="minorHAnsi"/>
          <w:sz w:val="22"/>
          <w:szCs w:val="22"/>
        </w:rPr>
      </w:pPr>
    </w:p>
    <w:p w14:paraId="77F8A6F5" w14:textId="77777777" w:rsidR="004B362B" w:rsidRDefault="004B362B" w:rsidP="004B362B">
      <w:pPr>
        <w:numPr>
          <w:ilvl w:val="0"/>
          <w:numId w:val="85"/>
        </w:numPr>
        <w:ind w:left="360"/>
        <w:jc w:val="both"/>
        <w:rPr>
          <w:rFonts w:asciiTheme="minorHAnsi" w:hAnsiTheme="minorHAnsi" w:cstheme="minorHAnsi"/>
          <w:sz w:val="22"/>
          <w:szCs w:val="22"/>
        </w:rPr>
      </w:pPr>
      <w:r>
        <w:rPr>
          <w:rFonts w:asciiTheme="minorHAnsi" w:hAnsiTheme="minorHAnsi" w:cstheme="minorHAnsi"/>
          <w:sz w:val="22"/>
          <w:szCs w:val="22"/>
        </w:rPr>
        <w:t xml:space="preserve">The Implementing Partner shall ensure that all of its obligations set forth under this section entitled “Risk Management Standard Clauses” are passed on to each responsible party, subcontractor and sub-recipient and that all the clauses under this section entitled “Risk Management” are included, </w:t>
      </w:r>
      <w:r>
        <w:rPr>
          <w:rFonts w:asciiTheme="minorHAnsi" w:hAnsiTheme="minorHAnsi" w:cstheme="minorHAnsi"/>
          <w:i/>
          <w:sz w:val="22"/>
          <w:szCs w:val="22"/>
        </w:rPr>
        <w:t>mutatis mutandis</w:t>
      </w:r>
      <w:r>
        <w:rPr>
          <w:rFonts w:asciiTheme="minorHAnsi" w:hAnsiTheme="minorHAnsi" w:cstheme="minorHAnsi"/>
          <w:sz w:val="22"/>
          <w:szCs w:val="22"/>
        </w:rPr>
        <w:t>, in all sub-contracts or sub-agreements entered into further to this Project Document.</w:t>
      </w:r>
    </w:p>
    <w:p w14:paraId="1929FB3E" w14:textId="77777777" w:rsidR="004B362B" w:rsidRDefault="004B362B" w:rsidP="004B362B">
      <w:pPr>
        <w:jc w:val="both"/>
        <w:rPr>
          <w:rFonts w:asciiTheme="minorHAnsi" w:hAnsiTheme="minorHAnsi" w:cstheme="minorHAnsi"/>
          <w:sz w:val="22"/>
          <w:szCs w:val="22"/>
        </w:rPr>
      </w:pPr>
    </w:p>
    <w:p w14:paraId="7A984546" w14:textId="77777777" w:rsidR="004B362B" w:rsidRDefault="004B362B" w:rsidP="004B362B">
      <w:pPr>
        <w:jc w:val="both"/>
        <w:rPr>
          <w:rFonts w:asciiTheme="minorHAnsi" w:hAnsiTheme="minorHAnsi" w:cstheme="minorHAnsi"/>
          <w:sz w:val="22"/>
          <w:szCs w:val="22"/>
        </w:rPr>
      </w:pPr>
      <w:r>
        <w:rPr>
          <w:rFonts w:asciiTheme="minorHAnsi" w:hAnsiTheme="minorHAnsi" w:cstheme="minorHAnsi"/>
          <w:sz w:val="22"/>
          <w:szCs w:val="22"/>
        </w:rPr>
        <w:t>All outputs in project Component 1 (sub-components 1.1, 1.2, 1.3, 1.4), Component 2 (sub-components 2.1, 2.2, 2.3), Component 3 (sub-components 3.1, 3.2, 3.3, 3.4), Component 4 (sub-components 4.1, 4.2, 4.3, 4.4) and Component 5 (sub-components 5.1, 5.2, 5.3) concern a global project with no country-level activities. The project should be considered thus as SESP-exempt.</w:t>
      </w:r>
    </w:p>
    <w:p w14:paraId="3EA680C5" w14:textId="77777777" w:rsidR="004B362B" w:rsidRDefault="004B362B" w:rsidP="004B362B">
      <w:pPr>
        <w:rPr>
          <w:rFonts w:asciiTheme="minorHAnsi" w:hAnsiTheme="minorHAnsi" w:cstheme="minorHAnsi"/>
        </w:rPr>
      </w:pPr>
    </w:p>
    <w:p w14:paraId="0AD3A5C1" w14:textId="3DD8ECE4" w:rsidR="00523014" w:rsidRDefault="00523014">
      <w:pPr>
        <w:spacing w:after="160" w:line="259" w:lineRule="auto"/>
        <w:rPr>
          <w:lang w:eastAsia="en-US"/>
        </w:rPr>
      </w:pPr>
      <w:r>
        <w:rPr>
          <w:lang w:eastAsia="en-US"/>
        </w:rPr>
        <w:br w:type="page"/>
      </w:r>
    </w:p>
    <w:p w14:paraId="4604A95D" w14:textId="77777777" w:rsidR="004B362B" w:rsidRPr="004B362B" w:rsidRDefault="004B362B" w:rsidP="004B362B">
      <w:pPr>
        <w:rPr>
          <w:lang w:eastAsia="en-US"/>
        </w:rPr>
      </w:pPr>
    </w:p>
    <w:p w14:paraId="15B44138" w14:textId="163626FE" w:rsidR="00523014" w:rsidRPr="00523014" w:rsidRDefault="00523014" w:rsidP="002B55C1">
      <w:pPr>
        <w:pStyle w:val="Heading1"/>
      </w:pPr>
      <w:bookmarkStart w:id="56" w:name="_Toc115094393"/>
      <w:r>
        <w:t>Annexes</w:t>
      </w:r>
      <w:bookmarkEnd w:id="56"/>
    </w:p>
    <w:p w14:paraId="4F44F624" w14:textId="3ABB2906" w:rsidR="002B55C1" w:rsidRDefault="002B55C1" w:rsidP="002B55C1">
      <w:pPr>
        <w:pStyle w:val="Heading2"/>
        <w:rPr>
          <w:rFonts w:asciiTheme="minorHAnsi" w:hAnsiTheme="minorHAnsi" w:cstheme="minorHAnsi"/>
          <w:b/>
          <w:bCs/>
          <w:color w:val="000000" w:themeColor="text1"/>
          <w:sz w:val="28"/>
          <w:szCs w:val="28"/>
        </w:rPr>
      </w:pPr>
      <w:bookmarkStart w:id="57" w:name="_Toc115094394"/>
      <w:r w:rsidRPr="002B55C1">
        <w:rPr>
          <w:rFonts w:asciiTheme="minorHAnsi" w:hAnsiTheme="minorHAnsi" w:cstheme="minorHAnsi"/>
          <w:b/>
          <w:bCs/>
          <w:color w:val="000000" w:themeColor="text1"/>
          <w:sz w:val="28"/>
          <w:szCs w:val="28"/>
        </w:rPr>
        <w:t>Annex 1: Project Map and Geospatial Coordinates of project sites</w:t>
      </w:r>
      <w:bookmarkEnd w:id="57"/>
    </w:p>
    <w:p w14:paraId="7808EBAB" w14:textId="77777777" w:rsidR="00580D8F" w:rsidRDefault="00580D8F" w:rsidP="00580D8F">
      <w:pPr>
        <w:pStyle w:val="GEFFieldtoFillout"/>
        <w:ind w:left="0"/>
        <w:rPr>
          <w:rFonts w:asciiTheme="minorHAnsi" w:hAnsiTheme="minorHAnsi" w:cstheme="minorHAnsi"/>
          <w:lang w:val="en-US" w:eastAsia="en-US"/>
        </w:rPr>
      </w:pPr>
      <w:r w:rsidRPr="00580D8F">
        <w:rPr>
          <w:rFonts w:asciiTheme="minorHAnsi" w:hAnsiTheme="minorHAnsi" w:cstheme="minorHAnsi"/>
          <w:lang w:val="en-US"/>
        </w:rPr>
        <w:t xml:space="preserve">Project interventions will take place globally and in all ecosystems with GEF investments through the international waters focal area, as well as projects from other focal areas. The relevant freshwater and marine ecosystems are depicted in this map. Stakeholders in these ecosystems will be the beneficiaries of IW:LEARN products and services. </w:t>
      </w:r>
    </w:p>
    <w:p w14:paraId="0945E939" w14:textId="77777777" w:rsidR="00580D8F" w:rsidRDefault="00580D8F" w:rsidP="00580D8F">
      <w:pPr>
        <w:rPr>
          <w:rFonts w:asciiTheme="minorHAnsi" w:hAnsiTheme="minorHAnsi"/>
          <w:szCs w:val="20"/>
        </w:rPr>
      </w:pPr>
    </w:p>
    <w:p w14:paraId="5A10EAF9" w14:textId="77777777" w:rsidR="00580D8F" w:rsidRDefault="00580D8F" w:rsidP="00580D8F">
      <w:pPr>
        <w:rPr>
          <w:rFonts w:asciiTheme="minorHAnsi" w:hAnsiTheme="minorHAnsi"/>
          <w:szCs w:val="20"/>
        </w:rPr>
      </w:pPr>
    </w:p>
    <w:p w14:paraId="1F6A4411" w14:textId="2BE877E7" w:rsidR="002B55C1" w:rsidRPr="002B55C1" w:rsidRDefault="00580D8F" w:rsidP="00580D8F">
      <w:pPr>
        <w:spacing w:after="160" w:line="259" w:lineRule="auto"/>
      </w:pPr>
      <w:r>
        <w:rPr>
          <w:noProof/>
          <w:lang w:eastAsia="en-US"/>
        </w:rPr>
        <w:drawing>
          <wp:inline distT="0" distB="0" distL="0" distR="0" wp14:anchorId="475DE437" wp14:editId="6851F9C9">
            <wp:extent cx="4419600" cy="30861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7">
                      <a:extLst>
                        <a:ext uri="{28A0092B-C50C-407E-A947-70E740481C1C}">
                          <a14:useLocalDpi xmlns:a14="http://schemas.microsoft.com/office/drawing/2010/main" val="0"/>
                        </a:ext>
                      </a:extLst>
                    </a:blip>
                    <a:srcRect l="6267" t="16620" r="29158" b="3285"/>
                    <a:stretch>
                      <a:fillRect/>
                    </a:stretch>
                  </pic:blipFill>
                  <pic:spPr bwMode="auto">
                    <a:xfrm>
                      <a:off x="0" y="0"/>
                      <a:ext cx="4419600" cy="3086100"/>
                    </a:xfrm>
                    <a:prstGeom prst="rect">
                      <a:avLst/>
                    </a:prstGeom>
                    <a:noFill/>
                    <a:ln>
                      <a:noFill/>
                    </a:ln>
                  </pic:spPr>
                </pic:pic>
              </a:graphicData>
            </a:graphic>
          </wp:inline>
        </w:drawing>
      </w:r>
      <w:r w:rsidR="002B55C1">
        <w:br w:type="page"/>
      </w:r>
    </w:p>
    <w:p w14:paraId="1EF1176E" w14:textId="77777777" w:rsidR="00580D8F" w:rsidRDefault="00580D8F" w:rsidP="002B55C1">
      <w:pPr>
        <w:pStyle w:val="Heading2"/>
        <w:rPr>
          <w:rFonts w:asciiTheme="minorHAnsi" w:hAnsiTheme="minorHAnsi" w:cstheme="minorHAnsi"/>
          <w:b/>
          <w:bCs/>
          <w:color w:val="000000" w:themeColor="text1"/>
          <w:sz w:val="28"/>
          <w:szCs w:val="28"/>
        </w:rPr>
        <w:sectPr w:rsidR="00580D8F" w:rsidSect="004B362B">
          <w:pgSz w:w="11906" w:h="16838"/>
          <w:pgMar w:top="1440" w:right="1440" w:bottom="1440" w:left="1440" w:header="706" w:footer="706" w:gutter="0"/>
          <w:cols w:space="708"/>
          <w:docGrid w:linePitch="360"/>
        </w:sectPr>
      </w:pPr>
    </w:p>
    <w:p w14:paraId="3AD1ADCA" w14:textId="104C9144" w:rsidR="002B55C1" w:rsidRDefault="002B55C1" w:rsidP="002B55C1">
      <w:pPr>
        <w:pStyle w:val="Heading2"/>
        <w:rPr>
          <w:rFonts w:asciiTheme="minorHAnsi" w:hAnsiTheme="minorHAnsi" w:cstheme="minorHAnsi"/>
          <w:b/>
          <w:bCs/>
          <w:color w:val="000000" w:themeColor="text1"/>
          <w:sz w:val="28"/>
          <w:szCs w:val="28"/>
        </w:rPr>
      </w:pPr>
      <w:bookmarkStart w:id="58" w:name="_Toc115094395"/>
      <w:r w:rsidRPr="002B55C1">
        <w:rPr>
          <w:rFonts w:asciiTheme="minorHAnsi" w:hAnsiTheme="minorHAnsi" w:cstheme="minorHAnsi"/>
          <w:b/>
          <w:bCs/>
          <w:color w:val="000000" w:themeColor="text1"/>
          <w:sz w:val="28"/>
          <w:szCs w:val="28"/>
        </w:rPr>
        <w:lastRenderedPageBreak/>
        <w:t>Annex 2: Multi Year Work Plan</w:t>
      </w:r>
      <w:bookmarkEnd w:id="58"/>
    </w:p>
    <w:p w14:paraId="7E57A0CD" w14:textId="77777777" w:rsidR="00580D8F" w:rsidRDefault="00580D8F" w:rsidP="002B55C1">
      <w:pPr>
        <w:spacing w:after="160" w:line="259" w:lineRule="auto"/>
      </w:pPr>
    </w:p>
    <w:tbl>
      <w:tblPr>
        <w:tblW w:w="1399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1"/>
        <w:gridCol w:w="1837"/>
        <w:gridCol w:w="2405"/>
        <w:gridCol w:w="534"/>
        <w:gridCol w:w="474"/>
        <w:gridCol w:w="494"/>
        <w:gridCol w:w="543"/>
        <w:gridCol w:w="535"/>
        <w:gridCol w:w="494"/>
        <w:gridCol w:w="473"/>
        <w:gridCol w:w="543"/>
        <w:gridCol w:w="535"/>
        <w:gridCol w:w="494"/>
        <w:gridCol w:w="494"/>
        <w:gridCol w:w="543"/>
        <w:gridCol w:w="536"/>
        <w:gridCol w:w="473"/>
        <w:gridCol w:w="494"/>
        <w:gridCol w:w="473"/>
      </w:tblGrid>
      <w:tr w:rsidR="00580D8F" w14:paraId="3A47F012" w14:textId="77777777" w:rsidTr="00580D8F">
        <w:tc>
          <w:tcPr>
            <w:tcW w:w="1623"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743C53BE" w14:textId="77777777" w:rsidR="00580D8F" w:rsidRDefault="00580D8F">
            <w:pPr>
              <w:rPr>
                <w:rFonts w:asciiTheme="minorHAnsi" w:hAnsiTheme="minorHAnsi" w:cstheme="minorHAnsi"/>
                <w:b/>
                <w:sz w:val="20"/>
                <w:szCs w:val="20"/>
              </w:rPr>
            </w:pPr>
            <w:r>
              <w:rPr>
                <w:rFonts w:asciiTheme="minorHAnsi" w:hAnsiTheme="minorHAnsi" w:cstheme="minorHAnsi"/>
                <w:b/>
                <w:sz w:val="20"/>
                <w:szCs w:val="20"/>
              </w:rPr>
              <w:t>Component</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9659057" w14:textId="77777777" w:rsidR="00580D8F" w:rsidRDefault="00580D8F">
            <w:pPr>
              <w:rPr>
                <w:rFonts w:asciiTheme="minorHAnsi" w:hAnsiTheme="minorHAnsi" w:cstheme="minorHAnsi"/>
                <w:b/>
                <w:sz w:val="20"/>
                <w:szCs w:val="20"/>
              </w:rPr>
            </w:pPr>
            <w:r>
              <w:rPr>
                <w:rFonts w:asciiTheme="minorHAnsi" w:hAnsiTheme="minorHAnsi" w:cstheme="minorHAnsi"/>
                <w:b/>
                <w:sz w:val="20"/>
                <w:szCs w:val="20"/>
              </w:rPr>
              <w:t>Sub-component</w:t>
            </w:r>
          </w:p>
        </w:tc>
        <w:tc>
          <w:tcPr>
            <w:tcW w:w="2407"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85F3E3C" w14:textId="77777777" w:rsidR="00580D8F" w:rsidRDefault="00580D8F">
            <w:pPr>
              <w:rPr>
                <w:rFonts w:asciiTheme="minorHAnsi" w:hAnsiTheme="minorHAnsi" w:cstheme="minorHAnsi"/>
                <w:b/>
                <w:sz w:val="20"/>
                <w:szCs w:val="20"/>
              </w:rPr>
            </w:pPr>
            <w:r>
              <w:rPr>
                <w:rFonts w:asciiTheme="minorHAnsi" w:hAnsiTheme="minorHAnsi" w:cstheme="minorHAnsi"/>
                <w:b/>
                <w:sz w:val="20"/>
                <w:szCs w:val="20"/>
              </w:rPr>
              <w:t>Activities</w:t>
            </w:r>
          </w:p>
        </w:tc>
        <w:tc>
          <w:tcPr>
            <w:tcW w:w="2045"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8E35B76" w14:textId="77777777" w:rsidR="00580D8F" w:rsidRDefault="00580D8F">
            <w:pPr>
              <w:jc w:val="center"/>
              <w:rPr>
                <w:rFonts w:asciiTheme="minorHAnsi" w:hAnsiTheme="minorHAnsi" w:cstheme="minorHAnsi"/>
                <w:b/>
                <w:sz w:val="20"/>
                <w:szCs w:val="20"/>
              </w:rPr>
            </w:pPr>
            <w:r>
              <w:rPr>
                <w:rFonts w:asciiTheme="minorHAnsi" w:hAnsiTheme="minorHAnsi" w:cstheme="minorHAnsi"/>
                <w:b/>
                <w:sz w:val="20"/>
                <w:szCs w:val="20"/>
              </w:rPr>
              <w:t>Year 1</w:t>
            </w:r>
          </w:p>
        </w:tc>
        <w:tc>
          <w:tcPr>
            <w:tcW w:w="2045"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538ABA4" w14:textId="77777777" w:rsidR="00580D8F" w:rsidRDefault="00580D8F">
            <w:pPr>
              <w:jc w:val="center"/>
              <w:rPr>
                <w:rFonts w:asciiTheme="minorHAnsi" w:hAnsiTheme="minorHAnsi" w:cstheme="minorHAnsi"/>
                <w:b/>
                <w:sz w:val="20"/>
                <w:szCs w:val="20"/>
              </w:rPr>
            </w:pPr>
            <w:r>
              <w:rPr>
                <w:rFonts w:asciiTheme="minorHAnsi" w:hAnsiTheme="minorHAnsi" w:cstheme="minorHAnsi"/>
                <w:b/>
                <w:sz w:val="20"/>
                <w:szCs w:val="20"/>
              </w:rPr>
              <w:t>Year 2</w:t>
            </w:r>
          </w:p>
        </w:tc>
        <w:tc>
          <w:tcPr>
            <w:tcW w:w="2066"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A1D6A07" w14:textId="77777777" w:rsidR="00580D8F" w:rsidRDefault="00580D8F">
            <w:pPr>
              <w:jc w:val="center"/>
              <w:rPr>
                <w:rFonts w:asciiTheme="minorHAnsi" w:hAnsiTheme="minorHAnsi" w:cstheme="minorHAnsi"/>
                <w:b/>
                <w:sz w:val="20"/>
                <w:szCs w:val="20"/>
              </w:rPr>
            </w:pPr>
            <w:r>
              <w:rPr>
                <w:rFonts w:asciiTheme="minorHAnsi" w:hAnsiTheme="minorHAnsi" w:cstheme="minorHAnsi"/>
                <w:b/>
                <w:sz w:val="20"/>
                <w:szCs w:val="20"/>
              </w:rPr>
              <w:t>Year 3</w:t>
            </w:r>
          </w:p>
        </w:tc>
        <w:tc>
          <w:tcPr>
            <w:tcW w:w="1976"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57951E8" w14:textId="77777777" w:rsidR="00580D8F" w:rsidRDefault="00580D8F">
            <w:pPr>
              <w:jc w:val="center"/>
              <w:rPr>
                <w:rFonts w:asciiTheme="minorHAnsi" w:hAnsiTheme="minorHAnsi" w:cstheme="minorHAnsi"/>
                <w:b/>
                <w:sz w:val="20"/>
                <w:szCs w:val="20"/>
              </w:rPr>
            </w:pPr>
            <w:r>
              <w:rPr>
                <w:rFonts w:asciiTheme="minorHAnsi" w:hAnsiTheme="minorHAnsi" w:cstheme="minorHAnsi"/>
                <w:b/>
                <w:sz w:val="20"/>
                <w:szCs w:val="20"/>
              </w:rPr>
              <w:t>Year 4</w:t>
            </w:r>
          </w:p>
        </w:tc>
      </w:tr>
      <w:tr w:rsidR="00580D8F" w14:paraId="2F299970"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74D1C49E" w14:textId="77777777" w:rsidR="00580D8F" w:rsidRDefault="00580D8F">
            <w:pPr>
              <w:rPr>
                <w:rFonts w:asciiTheme="minorHAnsi" w:hAnsiTheme="minorHAnsi" w:cstheme="minorHAnsi"/>
                <w:b/>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E70D8B0" w14:textId="77777777" w:rsidR="00580D8F" w:rsidRDefault="00580D8F">
            <w:pPr>
              <w:rPr>
                <w:rFonts w:asciiTheme="minorHAnsi" w:hAnsiTheme="minorHAnsi" w:cstheme="minorHAnsi"/>
                <w:b/>
                <w:sz w:val="20"/>
                <w:szCs w:val="20"/>
              </w:rPr>
            </w:pPr>
          </w:p>
        </w:tc>
        <w:tc>
          <w:tcPr>
            <w:tcW w:w="2407" w:type="dxa"/>
            <w:vMerge/>
            <w:tcBorders>
              <w:top w:val="single" w:sz="4" w:space="0" w:color="000000"/>
              <w:left w:val="single" w:sz="4" w:space="0" w:color="000000"/>
              <w:bottom w:val="single" w:sz="4" w:space="0" w:color="000000"/>
              <w:right w:val="single" w:sz="4" w:space="0" w:color="000000"/>
            </w:tcBorders>
            <w:vAlign w:val="center"/>
            <w:hideMark/>
          </w:tcPr>
          <w:p w14:paraId="3A359202" w14:textId="77777777" w:rsidR="00580D8F" w:rsidRDefault="00580D8F">
            <w:pPr>
              <w:rPr>
                <w:rFonts w:asciiTheme="minorHAnsi" w:hAnsiTheme="minorHAnsi" w:cstheme="minorHAnsi"/>
                <w:b/>
                <w:sz w:val="20"/>
                <w:szCs w:val="20"/>
              </w:rPr>
            </w:pPr>
          </w:p>
        </w:tc>
        <w:tc>
          <w:tcPr>
            <w:tcW w:w="534" w:type="dxa"/>
            <w:tcBorders>
              <w:top w:val="single" w:sz="4" w:space="0" w:color="000000"/>
              <w:left w:val="single" w:sz="4" w:space="0" w:color="000000"/>
              <w:bottom w:val="single" w:sz="4" w:space="0" w:color="000000"/>
              <w:right w:val="single" w:sz="4" w:space="0" w:color="000000"/>
            </w:tcBorders>
            <w:shd w:val="clear" w:color="auto" w:fill="D9D9D9"/>
            <w:hideMark/>
          </w:tcPr>
          <w:p w14:paraId="342F27C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Q1</w:t>
            </w:r>
          </w:p>
        </w:tc>
        <w:tc>
          <w:tcPr>
            <w:tcW w:w="474" w:type="dxa"/>
            <w:tcBorders>
              <w:top w:val="single" w:sz="4" w:space="0" w:color="000000"/>
              <w:left w:val="single" w:sz="4" w:space="0" w:color="000000"/>
              <w:bottom w:val="single" w:sz="4" w:space="0" w:color="000000"/>
              <w:right w:val="single" w:sz="4" w:space="0" w:color="000000"/>
            </w:tcBorders>
            <w:shd w:val="clear" w:color="auto" w:fill="D9D9D9"/>
            <w:hideMark/>
          </w:tcPr>
          <w:p w14:paraId="1016AB7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Q2</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14:paraId="50BD568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Q3</w:t>
            </w:r>
          </w:p>
        </w:tc>
        <w:tc>
          <w:tcPr>
            <w:tcW w:w="543" w:type="dxa"/>
            <w:tcBorders>
              <w:top w:val="single" w:sz="4" w:space="0" w:color="000000"/>
              <w:left w:val="single" w:sz="4" w:space="0" w:color="000000"/>
              <w:bottom w:val="single" w:sz="4" w:space="0" w:color="000000"/>
              <w:right w:val="single" w:sz="4" w:space="0" w:color="000000"/>
            </w:tcBorders>
            <w:shd w:val="clear" w:color="auto" w:fill="D9D9D9"/>
            <w:hideMark/>
          </w:tcPr>
          <w:p w14:paraId="0AACCEB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Q4</w:t>
            </w:r>
          </w:p>
        </w:tc>
        <w:tc>
          <w:tcPr>
            <w:tcW w:w="535" w:type="dxa"/>
            <w:tcBorders>
              <w:top w:val="single" w:sz="4" w:space="0" w:color="000000"/>
              <w:left w:val="single" w:sz="4" w:space="0" w:color="000000"/>
              <w:bottom w:val="single" w:sz="4" w:space="0" w:color="000000"/>
              <w:right w:val="single" w:sz="4" w:space="0" w:color="000000"/>
            </w:tcBorders>
            <w:shd w:val="clear" w:color="auto" w:fill="D9D9D9"/>
            <w:hideMark/>
          </w:tcPr>
          <w:p w14:paraId="2282DDE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Q1</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14:paraId="1187D33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Q2</w:t>
            </w:r>
          </w:p>
        </w:tc>
        <w:tc>
          <w:tcPr>
            <w:tcW w:w="473" w:type="dxa"/>
            <w:tcBorders>
              <w:top w:val="single" w:sz="4" w:space="0" w:color="000000"/>
              <w:left w:val="single" w:sz="4" w:space="0" w:color="000000"/>
              <w:bottom w:val="single" w:sz="4" w:space="0" w:color="000000"/>
              <w:right w:val="single" w:sz="4" w:space="0" w:color="000000"/>
            </w:tcBorders>
            <w:shd w:val="clear" w:color="auto" w:fill="D9D9D9"/>
            <w:hideMark/>
          </w:tcPr>
          <w:p w14:paraId="22BDC45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Q3</w:t>
            </w:r>
          </w:p>
        </w:tc>
        <w:tc>
          <w:tcPr>
            <w:tcW w:w="543" w:type="dxa"/>
            <w:tcBorders>
              <w:top w:val="single" w:sz="4" w:space="0" w:color="000000"/>
              <w:left w:val="single" w:sz="4" w:space="0" w:color="000000"/>
              <w:bottom w:val="single" w:sz="4" w:space="0" w:color="000000"/>
              <w:right w:val="single" w:sz="4" w:space="0" w:color="000000"/>
            </w:tcBorders>
            <w:shd w:val="clear" w:color="auto" w:fill="D9D9D9"/>
            <w:hideMark/>
          </w:tcPr>
          <w:p w14:paraId="6521E04C"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Q4</w:t>
            </w:r>
          </w:p>
        </w:tc>
        <w:tc>
          <w:tcPr>
            <w:tcW w:w="535" w:type="dxa"/>
            <w:tcBorders>
              <w:top w:val="single" w:sz="4" w:space="0" w:color="000000"/>
              <w:left w:val="single" w:sz="4" w:space="0" w:color="000000"/>
              <w:bottom w:val="single" w:sz="4" w:space="0" w:color="000000"/>
              <w:right w:val="single" w:sz="4" w:space="0" w:color="000000"/>
            </w:tcBorders>
            <w:shd w:val="clear" w:color="auto" w:fill="D9D9D9"/>
            <w:hideMark/>
          </w:tcPr>
          <w:p w14:paraId="5FA6A14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Q1</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14:paraId="1685AFD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Q2</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14:paraId="21B82B9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Q3</w:t>
            </w:r>
          </w:p>
        </w:tc>
        <w:tc>
          <w:tcPr>
            <w:tcW w:w="543" w:type="dxa"/>
            <w:tcBorders>
              <w:top w:val="single" w:sz="4" w:space="0" w:color="000000"/>
              <w:left w:val="single" w:sz="4" w:space="0" w:color="000000"/>
              <w:bottom w:val="single" w:sz="4" w:space="0" w:color="000000"/>
              <w:right w:val="single" w:sz="4" w:space="0" w:color="000000"/>
            </w:tcBorders>
            <w:shd w:val="clear" w:color="auto" w:fill="D9D9D9"/>
            <w:hideMark/>
          </w:tcPr>
          <w:p w14:paraId="316D213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Q4</w:t>
            </w:r>
          </w:p>
        </w:tc>
        <w:tc>
          <w:tcPr>
            <w:tcW w:w="536" w:type="dxa"/>
            <w:tcBorders>
              <w:top w:val="single" w:sz="4" w:space="0" w:color="000000"/>
              <w:left w:val="single" w:sz="4" w:space="0" w:color="000000"/>
              <w:bottom w:val="single" w:sz="4" w:space="0" w:color="000000"/>
              <w:right w:val="single" w:sz="4" w:space="0" w:color="000000"/>
            </w:tcBorders>
            <w:shd w:val="clear" w:color="auto" w:fill="D9D9D9"/>
            <w:hideMark/>
          </w:tcPr>
          <w:p w14:paraId="429F066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Q1</w:t>
            </w:r>
          </w:p>
        </w:tc>
        <w:tc>
          <w:tcPr>
            <w:tcW w:w="473" w:type="dxa"/>
            <w:tcBorders>
              <w:top w:val="single" w:sz="4" w:space="0" w:color="000000"/>
              <w:left w:val="single" w:sz="4" w:space="0" w:color="000000"/>
              <w:bottom w:val="single" w:sz="4" w:space="0" w:color="000000"/>
              <w:right w:val="single" w:sz="4" w:space="0" w:color="000000"/>
            </w:tcBorders>
            <w:shd w:val="clear" w:color="auto" w:fill="D9D9D9"/>
            <w:hideMark/>
          </w:tcPr>
          <w:p w14:paraId="69C580B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Q2</w:t>
            </w:r>
          </w:p>
        </w:tc>
        <w:tc>
          <w:tcPr>
            <w:tcW w:w="494" w:type="dxa"/>
            <w:tcBorders>
              <w:top w:val="single" w:sz="4" w:space="0" w:color="000000"/>
              <w:left w:val="single" w:sz="4" w:space="0" w:color="000000"/>
              <w:bottom w:val="single" w:sz="4" w:space="0" w:color="000000"/>
              <w:right w:val="single" w:sz="4" w:space="0" w:color="000000"/>
            </w:tcBorders>
            <w:shd w:val="clear" w:color="auto" w:fill="D9D9D9"/>
            <w:hideMark/>
          </w:tcPr>
          <w:p w14:paraId="58E7205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Q3</w:t>
            </w:r>
          </w:p>
        </w:tc>
        <w:tc>
          <w:tcPr>
            <w:tcW w:w="473" w:type="dxa"/>
            <w:tcBorders>
              <w:top w:val="single" w:sz="4" w:space="0" w:color="000000"/>
              <w:left w:val="single" w:sz="4" w:space="0" w:color="000000"/>
              <w:bottom w:val="single" w:sz="4" w:space="0" w:color="000000"/>
              <w:right w:val="single" w:sz="4" w:space="0" w:color="000000"/>
            </w:tcBorders>
            <w:shd w:val="clear" w:color="auto" w:fill="D9D9D9"/>
            <w:hideMark/>
          </w:tcPr>
          <w:p w14:paraId="35D107E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Q4</w:t>
            </w:r>
          </w:p>
        </w:tc>
      </w:tr>
      <w:tr w:rsidR="00580D8F" w14:paraId="70D5932B" w14:textId="77777777" w:rsidTr="00580D8F">
        <w:tc>
          <w:tcPr>
            <w:tcW w:w="1623" w:type="dxa"/>
            <w:vMerge w:val="restart"/>
            <w:tcBorders>
              <w:top w:val="single" w:sz="4" w:space="0" w:color="000000"/>
              <w:left w:val="single" w:sz="4" w:space="0" w:color="000000"/>
              <w:bottom w:val="single" w:sz="4" w:space="0" w:color="000000"/>
              <w:right w:val="single" w:sz="4" w:space="0" w:color="000000"/>
            </w:tcBorders>
            <w:hideMark/>
          </w:tcPr>
          <w:p w14:paraId="69F03A1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1: </w:t>
            </w:r>
            <w:r>
              <w:rPr>
                <w:rFonts w:asciiTheme="minorHAnsi" w:hAnsiTheme="minorHAnsi" w:cstheme="minorHAnsi"/>
                <w:color w:val="000000"/>
                <w:sz w:val="20"/>
                <w:szCs w:val="20"/>
              </w:rPr>
              <w:t>Provide Targeted Knowledge Sharing and Results Showcasing Across Projects and Development Partners (Through Face-to-Face Dialogue and Training) to Advance Transboundary Water Management in All IW Focal Area Ecosystems</w:t>
            </w: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3FF0C351"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1.1: GEF Biennial International Waters Conferences 10 and 11 for GEF wide portfolio of IW projects and other relevant partners</w:t>
            </w:r>
          </w:p>
        </w:tc>
        <w:tc>
          <w:tcPr>
            <w:tcW w:w="2407" w:type="dxa"/>
            <w:tcBorders>
              <w:top w:val="single" w:sz="4" w:space="0" w:color="000000"/>
              <w:left w:val="single" w:sz="4" w:space="0" w:color="000000"/>
              <w:bottom w:val="single" w:sz="4" w:space="0" w:color="000000"/>
              <w:right w:val="single" w:sz="4" w:space="0" w:color="000000"/>
            </w:tcBorders>
            <w:hideMark/>
          </w:tcPr>
          <w:p w14:paraId="1281E12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1.1.1: Tenth GEF Biennial International Waters Conference</w:t>
            </w:r>
          </w:p>
        </w:tc>
        <w:tc>
          <w:tcPr>
            <w:tcW w:w="534" w:type="dxa"/>
            <w:tcBorders>
              <w:top w:val="single" w:sz="4" w:space="0" w:color="000000"/>
              <w:left w:val="single" w:sz="4" w:space="0" w:color="000000"/>
              <w:bottom w:val="single" w:sz="4" w:space="0" w:color="000000"/>
              <w:right w:val="single" w:sz="4" w:space="0" w:color="000000"/>
            </w:tcBorders>
            <w:shd w:val="clear" w:color="auto" w:fill="D0CECE"/>
          </w:tcPr>
          <w:p w14:paraId="1BA77022"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01858F7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BDD63CD" w14:textId="77777777" w:rsidR="00580D8F" w:rsidRDefault="00580D8F">
            <w:pPr>
              <w:rPr>
                <w:rFonts w:asciiTheme="minorHAnsi" w:hAnsiTheme="minorHAnsi" w:cstheme="minorHAnsi"/>
                <w:sz w:val="20"/>
                <w:szCs w:val="20"/>
              </w:rPr>
            </w:pPr>
          </w:p>
          <w:p w14:paraId="774AA9A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543" w:type="dxa"/>
            <w:tcBorders>
              <w:top w:val="single" w:sz="4" w:space="0" w:color="000000"/>
              <w:left w:val="single" w:sz="4" w:space="0" w:color="000000"/>
              <w:bottom w:val="single" w:sz="4" w:space="0" w:color="000000"/>
              <w:right w:val="single" w:sz="4" w:space="0" w:color="000000"/>
            </w:tcBorders>
          </w:tcPr>
          <w:p w14:paraId="065C677C"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21FAA97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844BEA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05401B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1D3720B"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7CB0DC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3DD4A5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B79AF6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64B5E1B"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4466218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D210B4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7BAE82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8690AF0" w14:textId="77777777" w:rsidR="00580D8F" w:rsidRDefault="00580D8F">
            <w:pPr>
              <w:rPr>
                <w:rFonts w:asciiTheme="minorHAnsi" w:hAnsiTheme="minorHAnsi" w:cstheme="minorHAnsi"/>
                <w:sz w:val="20"/>
                <w:szCs w:val="20"/>
              </w:rPr>
            </w:pPr>
          </w:p>
        </w:tc>
      </w:tr>
      <w:tr w:rsidR="00580D8F" w14:paraId="74899553"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4C7BCDBC"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44907B8A"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75E0399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1.1.2: Eleventh GEF Biennial International Waters Conference</w:t>
            </w:r>
          </w:p>
        </w:tc>
        <w:tc>
          <w:tcPr>
            <w:tcW w:w="534" w:type="dxa"/>
            <w:tcBorders>
              <w:top w:val="single" w:sz="4" w:space="0" w:color="000000"/>
              <w:left w:val="single" w:sz="4" w:space="0" w:color="000000"/>
              <w:bottom w:val="single" w:sz="4" w:space="0" w:color="000000"/>
              <w:right w:val="single" w:sz="4" w:space="0" w:color="000000"/>
            </w:tcBorders>
          </w:tcPr>
          <w:p w14:paraId="360E5B9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FDD05A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D2DAD6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C633AC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25D32B7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136D35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F566E0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1C89A1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7CCA5D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10242F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ED05AE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A3CCB01" w14:textId="77777777" w:rsidR="00580D8F" w:rsidRDefault="00580D8F">
            <w:pPr>
              <w:rPr>
                <w:rFonts w:asciiTheme="minorHAnsi" w:hAnsiTheme="minorHAnsi" w:cstheme="minorHAnsi"/>
                <w:sz w:val="20"/>
                <w:szCs w:val="20"/>
              </w:rPr>
            </w:pPr>
          </w:p>
          <w:p w14:paraId="1944B2E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536" w:type="dxa"/>
            <w:tcBorders>
              <w:top w:val="single" w:sz="4" w:space="0" w:color="000000"/>
              <w:left w:val="single" w:sz="4" w:space="0" w:color="000000"/>
              <w:bottom w:val="single" w:sz="4" w:space="0" w:color="000000"/>
              <w:right w:val="single" w:sz="4" w:space="0" w:color="000000"/>
            </w:tcBorders>
          </w:tcPr>
          <w:p w14:paraId="7B9094C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4A83AA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4DE366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0BDB3B96" w14:textId="77777777" w:rsidR="00580D8F" w:rsidRDefault="00580D8F">
            <w:pPr>
              <w:rPr>
                <w:rFonts w:asciiTheme="minorHAnsi" w:hAnsiTheme="minorHAnsi" w:cstheme="minorHAnsi"/>
                <w:sz w:val="20"/>
                <w:szCs w:val="20"/>
              </w:rPr>
            </w:pPr>
          </w:p>
        </w:tc>
      </w:tr>
      <w:tr w:rsidR="00580D8F" w14:paraId="289C464D"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D3274F5"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73BDB2B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1.2: Regional training workshops for GEF IW projects and development partners on cross-cutting themes and key outputs from selected GEF portfolio methodology projects, delivered by partner learning network</w:t>
            </w:r>
          </w:p>
        </w:tc>
        <w:tc>
          <w:tcPr>
            <w:tcW w:w="2407" w:type="dxa"/>
            <w:tcBorders>
              <w:top w:val="single" w:sz="4" w:space="0" w:color="000000"/>
              <w:left w:val="single" w:sz="4" w:space="0" w:color="000000"/>
              <w:bottom w:val="single" w:sz="4" w:space="0" w:color="000000"/>
              <w:right w:val="single" w:sz="4" w:space="0" w:color="000000"/>
            </w:tcBorders>
            <w:hideMark/>
          </w:tcPr>
          <w:p w14:paraId="4F7F17C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1.2.1: Develop training strategy to address GEF IW portfolio learning gaps</w:t>
            </w:r>
          </w:p>
        </w:tc>
        <w:tc>
          <w:tcPr>
            <w:tcW w:w="534" w:type="dxa"/>
            <w:tcBorders>
              <w:top w:val="single" w:sz="4" w:space="0" w:color="000000"/>
              <w:left w:val="single" w:sz="4" w:space="0" w:color="000000"/>
              <w:bottom w:val="single" w:sz="4" w:space="0" w:color="000000"/>
              <w:right w:val="single" w:sz="4" w:space="0" w:color="000000"/>
            </w:tcBorders>
          </w:tcPr>
          <w:p w14:paraId="59BF6DAD"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1FDF7DE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BED207D" w14:textId="77777777" w:rsidR="00580D8F" w:rsidRDefault="00580D8F">
            <w:pPr>
              <w:rPr>
                <w:rFonts w:asciiTheme="minorHAnsi" w:hAnsiTheme="minorHAnsi" w:cstheme="minorHAnsi"/>
                <w:sz w:val="20"/>
                <w:szCs w:val="20"/>
              </w:rPr>
            </w:pPr>
          </w:p>
          <w:p w14:paraId="3304500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tcPr>
          <w:p w14:paraId="477DDBC1" w14:textId="77777777" w:rsidR="00580D8F" w:rsidRDefault="00580D8F">
            <w:pPr>
              <w:rPr>
                <w:rFonts w:asciiTheme="minorHAnsi" w:hAnsiTheme="minorHAnsi" w:cstheme="minorHAnsi"/>
                <w:sz w:val="20"/>
                <w:szCs w:val="20"/>
              </w:rPr>
            </w:pPr>
          </w:p>
          <w:p w14:paraId="42644717"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C081E3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E7CDEAD"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7778ED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0B032B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296511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BB1216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55ACAD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724D8A6"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3B982EC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8472CE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D939FD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63680532" w14:textId="77777777" w:rsidR="00580D8F" w:rsidRDefault="00580D8F">
            <w:pPr>
              <w:rPr>
                <w:rFonts w:asciiTheme="minorHAnsi" w:hAnsiTheme="minorHAnsi" w:cstheme="minorHAnsi"/>
                <w:sz w:val="20"/>
                <w:szCs w:val="20"/>
              </w:rPr>
            </w:pPr>
          </w:p>
        </w:tc>
      </w:tr>
      <w:tr w:rsidR="00580D8F" w:rsidRPr="00580D8F" w14:paraId="358F3C4E"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E41CA79"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0D0136E9"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02A44FE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1.2.2: Appropriate existing materials and new materials converted into training modules for blended learning</w:t>
            </w:r>
          </w:p>
        </w:tc>
        <w:tc>
          <w:tcPr>
            <w:tcW w:w="534" w:type="dxa"/>
            <w:tcBorders>
              <w:top w:val="single" w:sz="4" w:space="0" w:color="000000"/>
              <w:left w:val="single" w:sz="4" w:space="0" w:color="000000"/>
              <w:bottom w:val="single" w:sz="4" w:space="0" w:color="000000"/>
              <w:right w:val="single" w:sz="4" w:space="0" w:color="000000"/>
            </w:tcBorders>
          </w:tcPr>
          <w:p w14:paraId="749A20C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7E8D75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A9A6CB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14A6EB8"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F865D7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0BB6E4D"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18346E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4444F2D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242464B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339899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15F5085"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0A0FE24"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6B42A6C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70542A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FDB3EE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390951AD" w14:textId="77777777" w:rsidR="00580D8F" w:rsidRDefault="00580D8F">
            <w:pPr>
              <w:rPr>
                <w:rFonts w:asciiTheme="minorHAnsi" w:hAnsiTheme="minorHAnsi" w:cstheme="minorHAnsi"/>
                <w:sz w:val="20"/>
                <w:szCs w:val="20"/>
              </w:rPr>
            </w:pPr>
          </w:p>
        </w:tc>
      </w:tr>
      <w:tr w:rsidR="00580D8F" w14:paraId="51580A63"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30949BC"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65EA37D"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17B2C55C"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1.2.3: Work with partners and/or GEF IW projects to organize a series of global and regional trainings</w:t>
            </w:r>
          </w:p>
        </w:tc>
        <w:tc>
          <w:tcPr>
            <w:tcW w:w="534" w:type="dxa"/>
            <w:tcBorders>
              <w:top w:val="single" w:sz="4" w:space="0" w:color="000000"/>
              <w:left w:val="single" w:sz="4" w:space="0" w:color="000000"/>
              <w:bottom w:val="single" w:sz="4" w:space="0" w:color="000000"/>
              <w:right w:val="single" w:sz="4" w:space="0" w:color="000000"/>
            </w:tcBorders>
          </w:tcPr>
          <w:p w14:paraId="404A10D2"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74741D2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590663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2FAD690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2AA200D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407EC4A" w14:textId="77777777" w:rsidR="00580D8F" w:rsidRDefault="00580D8F">
            <w:pPr>
              <w:rPr>
                <w:rFonts w:asciiTheme="minorHAnsi" w:hAnsiTheme="minorHAnsi" w:cstheme="minorHAnsi"/>
                <w:sz w:val="20"/>
                <w:szCs w:val="20"/>
              </w:rPr>
            </w:pPr>
          </w:p>
          <w:p w14:paraId="5F0089B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73" w:type="dxa"/>
            <w:tcBorders>
              <w:top w:val="single" w:sz="4" w:space="0" w:color="000000"/>
              <w:left w:val="single" w:sz="4" w:space="0" w:color="000000"/>
              <w:bottom w:val="single" w:sz="4" w:space="0" w:color="000000"/>
              <w:right w:val="single" w:sz="4" w:space="0" w:color="000000"/>
            </w:tcBorders>
          </w:tcPr>
          <w:p w14:paraId="32B0A346"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D74943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C65D48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996DF6A" w14:textId="77777777" w:rsidR="00580D8F" w:rsidRDefault="00580D8F">
            <w:pPr>
              <w:rPr>
                <w:rFonts w:asciiTheme="minorHAnsi" w:hAnsiTheme="minorHAnsi" w:cstheme="minorHAnsi"/>
                <w:sz w:val="20"/>
                <w:szCs w:val="20"/>
              </w:rPr>
            </w:pPr>
          </w:p>
          <w:p w14:paraId="1C05AAF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207CAE2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A32FC7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410D493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35BD80FE" w14:textId="77777777" w:rsidR="00580D8F" w:rsidRDefault="00580D8F">
            <w:pPr>
              <w:rPr>
                <w:rFonts w:asciiTheme="minorHAnsi" w:hAnsiTheme="minorHAnsi" w:cstheme="minorHAnsi"/>
                <w:sz w:val="20"/>
                <w:szCs w:val="20"/>
              </w:rPr>
            </w:pPr>
          </w:p>
          <w:p w14:paraId="420A5FD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230BDDED"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94D9BA0" w14:textId="77777777" w:rsidR="00580D8F" w:rsidRDefault="00580D8F">
            <w:pPr>
              <w:rPr>
                <w:rFonts w:asciiTheme="minorHAnsi" w:hAnsiTheme="minorHAnsi" w:cstheme="minorHAnsi"/>
                <w:sz w:val="20"/>
                <w:szCs w:val="20"/>
              </w:rPr>
            </w:pPr>
          </w:p>
        </w:tc>
      </w:tr>
      <w:tr w:rsidR="00580D8F" w:rsidRPr="00580D8F" w14:paraId="50100985"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399359D2"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64E9AFA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1.3: Structured and iterative twinning exchange program between projects and institutions with demonstrated excellence in water and ocean</w:t>
            </w:r>
            <w:r>
              <w:rPr>
                <w:rFonts w:asciiTheme="minorHAnsi" w:hAnsiTheme="minorHAnsi" w:cstheme="minorHAnsi"/>
                <w:b/>
                <w:sz w:val="20"/>
                <w:szCs w:val="20"/>
              </w:rPr>
              <w:t xml:space="preserve"> </w:t>
            </w:r>
            <w:r>
              <w:rPr>
                <w:rFonts w:asciiTheme="minorHAnsi" w:hAnsiTheme="minorHAnsi" w:cstheme="minorHAnsi"/>
                <w:sz w:val="20"/>
                <w:szCs w:val="20"/>
              </w:rPr>
              <w:t>management</w:t>
            </w:r>
          </w:p>
        </w:tc>
        <w:tc>
          <w:tcPr>
            <w:tcW w:w="2407" w:type="dxa"/>
            <w:tcBorders>
              <w:top w:val="single" w:sz="4" w:space="0" w:color="000000"/>
              <w:left w:val="single" w:sz="4" w:space="0" w:color="000000"/>
              <w:bottom w:val="single" w:sz="4" w:space="0" w:color="000000"/>
              <w:right w:val="single" w:sz="4" w:space="0" w:color="000000"/>
            </w:tcBorders>
            <w:hideMark/>
          </w:tcPr>
          <w:p w14:paraId="74051FE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1.3.1: Support a program of iterative twinning exchanges between GEF IW projects and their identified partners</w:t>
            </w:r>
          </w:p>
        </w:tc>
        <w:tc>
          <w:tcPr>
            <w:tcW w:w="534" w:type="dxa"/>
            <w:tcBorders>
              <w:top w:val="single" w:sz="4" w:space="0" w:color="000000"/>
              <w:left w:val="single" w:sz="4" w:space="0" w:color="000000"/>
              <w:bottom w:val="single" w:sz="4" w:space="0" w:color="000000"/>
              <w:right w:val="single" w:sz="4" w:space="0" w:color="000000"/>
            </w:tcBorders>
          </w:tcPr>
          <w:p w14:paraId="03A64A53"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1D7DFE7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596CF9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5A61FC9"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11E0C4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8C9EAB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53E500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291562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CA279F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02EFA1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53D15A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3748494"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80F0499"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33302B7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A002B7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38FD5F5" w14:textId="77777777" w:rsidR="00580D8F" w:rsidRDefault="00580D8F">
            <w:pPr>
              <w:rPr>
                <w:rFonts w:asciiTheme="minorHAnsi" w:hAnsiTheme="minorHAnsi" w:cstheme="minorHAnsi"/>
                <w:sz w:val="20"/>
                <w:szCs w:val="20"/>
              </w:rPr>
            </w:pPr>
          </w:p>
        </w:tc>
      </w:tr>
      <w:tr w:rsidR="00580D8F" w:rsidRPr="00580D8F" w14:paraId="6EE44471"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24A1447"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3EF89CEB"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62A8B4E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1.3.2: Organize ad-hoc twinning exchanges based on proposals submitted from the GEF IW portfolio of projects</w:t>
            </w:r>
          </w:p>
        </w:tc>
        <w:tc>
          <w:tcPr>
            <w:tcW w:w="534" w:type="dxa"/>
            <w:tcBorders>
              <w:top w:val="single" w:sz="4" w:space="0" w:color="000000"/>
              <w:left w:val="single" w:sz="4" w:space="0" w:color="000000"/>
              <w:bottom w:val="single" w:sz="4" w:space="0" w:color="000000"/>
              <w:right w:val="single" w:sz="4" w:space="0" w:color="000000"/>
            </w:tcBorders>
          </w:tcPr>
          <w:p w14:paraId="7D3080A4"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48C4106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4B6574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23FDF9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770992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5B0B1C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6A1281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F8CADF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42F99C0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CE3186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F2BDDD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0E96FF8"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56795D2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8F775C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86D967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3F31A719" w14:textId="77777777" w:rsidR="00580D8F" w:rsidRDefault="00580D8F">
            <w:pPr>
              <w:rPr>
                <w:rFonts w:asciiTheme="minorHAnsi" w:hAnsiTheme="minorHAnsi" w:cstheme="minorHAnsi"/>
                <w:sz w:val="20"/>
                <w:szCs w:val="20"/>
              </w:rPr>
            </w:pPr>
          </w:p>
        </w:tc>
      </w:tr>
      <w:tr w:rsidR="00580D8F" w14:paraId="63B7CCCA"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4622A580"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3A34027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1.4: Participation in key global and regional dialogue processes to showcase GEF IW results, build partnerships and facilitate cooperation</w:t>
            </w:r>
          </w:p>
        </w:tc>
        <w:tc>
          <w:tcPr>
            <w:tcW w:w="2407" w:type="dxa"/>
            <w:tcBorders>
              <w:top w:val="single" w:sz="4" w:space="0" w:color="000000"/>
              <w:left w:val="single" w:sz="4" w:space="0" w:color="000000"/>
              <w:bottom w:val="single" w:sz="4" w:space="0" w:color="000000"/>
              <w:right w:val="single" w:sz="4" w:space="0" w:color="000000"/>
            </w:tcBorders>
            <w:hideMark/>
          </w:tcPr>
          <w:p w14:paraId="7850007F"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1.4.1: Active Engagement of the GEF IW Portfolio in key global and regional events</w:t>
            </w:r>
          </w:p>
        </w:tc>
        <w:tc>
          <w:tcPr>
            <w:tcW w:w="534" w:type="dxa"/>
            <w:tcBorders>
              <w:top w:val="single" w:sz="4" w:space="0" w:color="000000"/>
              <w:left w:val="single" w:sz="4" w:space="0" w:color="000000"/>
              <w:bottom w:val="single" w:sz="4" w:space="0" w:color="000000"/>
              <w:right w:val="single" w:sz="4" w:space="0" w:color="000000"/>
            </w:tcBorders>
          </w:tcPr>
          <w:p w14:paraId="303003D8"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3D104B1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351E629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543" w:type="dxa"/>
            <w:tcBorders>
              <w:top w:val="single" w:sz="4" w:space="0" w:color="000000"/>
              <w:left w:val="single" w:sz="4" w:space="0" w:color="000000"/>
              <w:bottom w:val="single" w:sz="4" w:space="0" w:color="000000"/>
              <w:right w:val="single" w:sz="4" w:space="0" w:color="000000"/>
            </w:tcBorders>
            <w:shd w:val="clear" w:color="auto" w:fill="D0CECE"/>
            <w:hideMark/>
          </w:tcPr>
          <w:p w14:paraId="69B9FB0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35" w:type="dxa"/>
            <w:tcBorders>
              <w:top w:val="single" w:sz="4" w:space="0" w:color="000000"/>
              <w:left w:val="single" w:sz="4" w:space="0" w:color="000000"/>
              <w:bottom w:val="single" w:sz="4" w:space="0" w:color="000000"/>
              <w:right w:val="single" w:sz="4" w:space="0" w:color="000000"/>
            </w:tcBorders>
          </w:tcPr>
          <w:p w14:paraId="1EDFF4C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0BEBA89"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hideMark/>
          </w:tcPr>
          <w:p w14:paraId="0006C26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1E5BEE5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47D23C3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75C161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52C7641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46579EFF"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2A7B71E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CCD9FE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577B695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73" w:type="dxa"/>
            <w:tcBorders>
              <w:top w:val="single" w:sz="4" w:space="0" w:color="000000"/>
              <w:left w:val="single" w:sz="4" w:space="0" w:color="000000"/>
              <w:bottom w:val="single" w:sz="4" w:space="0" w:color="000000"/>
              <w:right w:val="single" w:sz="4" w:space="0" w:color="000000"/>
            </w:tcBorders>
          </w:tcPr>
          <w:p w14:paraId="3484BF9D" w14:textId="77777777" w:rsidR="00580D8F" w:rsidRDefault="00580D8F">
            <w:pPr>
              <w:rPr>
                <w:rFonts w:asciiTheme="minorHAnsi" w:hAnsiTheme="minorHAnsi" w:cstheme="minorHAnsi"/>
                <w:sz w:val="20"/>
                <w:szCs w:val="20"/>
              </w:rPr>
            </w:pPr>
          </w:p>
        </w:tc>
      </w:tr>
      <w:tr w:rsidR="00580D8F" w14:paraId="45399BD2"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D384AA9"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1394F0BE"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53E4571A"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1.4.2:  Supporting cooperation on shared water resources through regional and thematic transboundary dialogues</w:t>
            </w:r>
          </w:p>
        </w:tc>
        <w:tc>
          <w:tcPr>
            <w:tcW w:w="534" w:type="dxa"/>
            <w:tcBorders>
              <w:top w:val="single" w:sz="4" w:space="0" w:color="000000"/>
              <w:left w:val="single" w:sz="4" w:space="0" w:color="000000"/>
              <w:bottom w:val="single" w:sz="4" w:space="0" w:color="000000"/>
              <w:right w:val="single" w:sz="4" w:space="0" w:color="000000"/>
            </w:tcBorders>
            <w:shd w:val="clear" w:color="auto" w:fill="D0CECE"/>
          </w:tcPr>
          <w:p w14:paraId="79EE757B"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4C1DE53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1F07B94" w14:textId="77777777" w:rsidR="00580D8F" w:rsidRDefault="00580D8F">
            <w:pPr>
              <w:rPr>
                <w:rFonts w:asciiTheme="minorHAnsi" w:hAnsiTheme="minorHAnsi" w:cstheme="minorHAnsi"/>
                <w:sz w:val="20"/>
                <w:szCs w:val="20"/>
              </w:rPr>
            </w:pPr>
          </w:p>
          <w:p w14:paraId="71C1A080"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C37302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C3E55E7" w14:textId="77777777" w:rsidR="00580D8F" w:rsidRDefault="00580D8F">
            <w:pPr>
              <w:rPr>
                <w:rFonts w:asciiTheme="minorHAnsi" w:hAnsiTheme="minorHAnsi" w:cstheme="minorHAnsi"/>
                <w:sz w:val="20"/>
                <w:szCs w:val="20"/>
              </w:rPr>
            </w:pPr>
          </w:p>
          <w:p w14:paraId="5E7258A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3C0FC47" w14:textId="77777777" w:rsidR="00580D8F" w:rsidRDefault="00580D8F">
            <w:pPr>
              <w:rPr>
                <w:rFonts w:asciiTheme="minorHAnsi" w:hAnsiTheme="minorHAnsi" w:cstheme="minorHAnsi"/>
                <w:sz w:val="20"/>
                <w:szCs w:val="20"/>
              </w:rPr>
            </w:pPr>
          </w:p>
          <w:p w14:paraId="7D9B0D4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05A3730" w14:textId="77777777" w:rsidR="00580D8F" w:rsidRDefault="00580D8F">
            <w:pPr>
              <w:rPr>
                <w:rFonts w:asciiTheme="minorHAnsi" w:hAnsiTheme="minorHAnsi" w:cstheme="minorHAnsi"/>
                <w:sz w:val="20"/>
                <w:szCs w:val="20"/>
              </w:rPr>
            </w:pPr>
          </w:p>
          <w:p w14:paraId="6003FBC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3DF3593" w14:textId="77777777" w:rsidR="00580D8F" w:rsidRDefault="00580D8F">
            <w:pPr>
              <w:rPr>
                <w:rFonts w:asciiTheme="minorHAnsi" w:hAnsiTheme="minorHAnsi" w:cstheme="minorHAnsi"/>
                <w:sz w:val="20"/>
                <w:szCs w:val="20"/>
              </w:rPr>
            </w:pPr>
          </w:p>
          <w:p w14:paraId="7516FCE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GD</w:t>
            </w: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DF1F69A" w14:textId="77777777" w:rsidR="00580D8F" w:rsidRDefault="00580D8F">
            <w:pPr>
              <w:rPr>
                <w:rFonts w:asciiTheme="minorHAnsi" w:hAnsiTheme="minorHAnsi" w:cstheme="minorHAnsi"/>
                <w:sz w:val="20"/>
                <w:szCs w:val="20"/>
              </w:rPr>
            </w:pPr>
          </w:p>
          <w:p w14:paraId="168E380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90751D5" w14:textId="77777777" w:rsidR="00580D8F" w:rsidRDefault="00580D8F">
            <w:pPr>
              <w:rPr>
                <w:rFonts w:asciiTheme="minorHAnsi" w:hAnsiTheme="minorHAnsi" w:cstheme="minorHAnsi"/>
                <w:sz w:val="20"/>
                <w:szCs w:val="20"/>
              </w:rPr>
            </w:pPr>
          </w:p>
          <w:p w14:paraId="58DB3F8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E2208FE" w14:textId="77777777" w:rsidR="00580D8F" w:rsidRDefault="00580D8F">
            <w:pPr>
              <w:rPr>
                <w:rFonts w:asciiTheme="minorHAnsi" w:hAnsiTheme="minorHAnsi" w:cstheme="minorHAnsi"/>
                <w:sz w:val="20"/>
                <w:szCs w:val="20"/>
              </w:rPr>
            </w:pPr>
          </w:p>
          <w:p w14:paraId="2ABFF362"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0E8BADD" w14:textId="77777777" w:rsidR="00580D8F" w:rsidRDefault="00580D8F">
            <w:pPr>
              <w:rPr>
                <w:rFonts w:asciiTheme="minorHAnsi" w:hAnsiTheme="minorHAnsi" w:cstheme="minorHAnsi"/>
                <w:sz w:val="20"/>
                <w:szCs w:val="20"/>
              </w:rPr>
            </w:pPr>
          </w:p>
          <w:p w14:paraId="1B5575F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GD</w:t>
            </w: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89B821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0DA5B69" w14:textId="77777777" w:rsidR="00580D8F" w:rsidRDefault="00580D8F">
            <w:pPr>
              <w:rPr>
                <w:rFonts w:asciiTheme="minorHAnsi" w:hAnsiTheme="minorHAnsi" w:cstheme="minorHAnsi"/>
                <w:sz w:val="20"/>
                <w:szCs w:val="20"/>
              </w:rPr>
            </w:pPr>
          </w:p>
          <w:p w14:paraId="13F1A7A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8BAA49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B4806CB" w14:textId="77777777" w:rsidR="00580D8F" w:rsidRDefault="00580D8F">
            <w:pPr>
              <w:rPr>
                <w:rFonts w:asciiTheme="minorHAnsi" w:hAnsiTheme="minorHAnsi" w:cstheme="minorHAnsi"/>
                <w:sz w:val="20"/>
                <w:szCs w:val="20"/>
              </w:rPr>
            </w:pPr>
          </w:p>
        </w:tc>
      </w:tr>
      <w:tr w:rsidR="00580D8F" w:rsidRPr="00580D8F" w14:paraId="670CE323" w14:textId="77777777" w:rsidTr="00580D8F">
        <w:tc>
          <w:tcPr>
            <w:tcW w:w="1623" w:type="dxa"/>
            <w:vMerge w:val="restart"/>
            <w:tcBorders>
              <w:top w:val="single" w:sz="4" w:space="0" w:color="000000"/>
              <w:left w:val="single" w:sz="4" w:space="0" w:color="000000"/>
              <w:bottom w:val="single" w:sz="4" w:space="0" w:color="000000"/>
              <w:right w:val="single" w:sz="4" w:space="0" w:color="000000"/>
            </w:tcBorders>
          </w:tcPr>
          <w:p w14:paraId="4E1BADB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2: Support the Communication and Replication of Portfolio Results and Experiences</w:t>
            </w:r>
          </w:p>
          <w:p w14:paraId="16E42AF0"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4A4FEA6A"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2.1: GEF IW:LEARN website supporting improved GEF IW project snapshots and a searchable knowledge bank of project experience</w:t>
            </w:r>
          </w:p>
        </w:tc>
        <w:tc>
          <w:tcPr>
            <w:tcW w:w="2407" w:type="dxa"/>
            <w:tcBorders>
              <w:top w:val="single" w:sz="4" w:space="0" w:color="000000"/>
              <w:left w:val="single" w:sz="4" w:space="0" w:color="000000"/>
              <w:bottom w:val="single" w:sz="4" w:space="0" w:color="000000"/>
              <w:right w:val="single" w:sz="4" w:space="0" w:color="000000"/>
            </w:tcBorders>
            <w:hideMark/>
          </w:tcPr>
          <w:p w14:paraId="76E0CB4E"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2.1.1: Upgrade existing system and functionalities</w:t>
            </w:r>
          </w:p>
        </w:tc>
        <w:tc>
          <w:tcPr>
            <w:tcW w:w="534" w:type="dxa"/>
            <w:tcBorders>
              <w:top w:val="single" w:sz="4" w:space="0" w:color="000000"/>
              <w:left w:val="single" w:sz="4" w:space="0" w:color="000000"/>
              <w:bottom w:val="single" w:sz="4" w:space="0" w:color="000000"/>
              <w:right w:val="single" w:sz="4" w:space="0" w:color="000000"/>
            </w:tcBorders>
          </w:tcPr>
          <w:p w14:paraId="28E477A2"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5FCE44E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7368E4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2FD791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11B106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651A10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649B604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7CA9D94"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730BF94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D67E43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5AA61A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471176F"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319D006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6F2430D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A73DE9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A2EF8D6" w14:textId="77777777" w:rsidR="00580D8F" w:rsidRDefault="00580D8F">
            <w:pPr>
              <w:rPr>
                <w:rFonts w:asciiTheme="minorHAnsi" w:hAnsiTheme="minorHAnsi" w:cstheme="minorHAnsi"/>
                <w:sz w:val="20"/>
                <w:szCs w:val="20"/>
              </w:rPr>
            </w:pPr>
          </w:p>
        </w:tc>
      </w:tr>
      <w:tr w:rsidR="00580D8F" w:rsidRPr="00580D8F" w14:paraId="260B198C"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747294CC"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6AC34334"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tcPr>
          <w:p w14:paraId="5FF60DB6" w14:textId="77777777" w:rsidR="00580D8F" w:rsidRDefault="00580D8F">
            <w:pPr>
              <w:ind w:left="34"/>
              <w:rPr>
                <w:rFonts w:asciiTheme="minorHAnsi" w:hAnsiTheme="minorHAnsi" w:cstheme="minorHAnsi"/>
                <w:color w:val="000000"/>
                <w:sz w:val="20"/>
                <w:szCs w:val="20"/>
              </w:rPr>
            </w:pPr>
            <w:r>
              <w:rPr>
                <w:rFonts w:asciiTheme="minorHAnsi" w:hAnsiTheme="minorHAnsi" w:cstheme="minorHAnsi"/>
                <w:color w:val="000000"/>
                <w:sz w:val="20"/>
                <w:szCs w:val="20"/>
              </w:rPr>
              <w:t>2.1.2: Update existing portfolio visualization maps and creation of new thematic maps</w:t>
            </w:r>
          </w:p>
          <w:p w14:paraId="7D78E790" w14:textId="77777777" w:rsidR="00580D8F" w:rsidRDefault="00580D8F">
            <w:pPr>
              <w:rPr>
                <w:rFonts w:asciiTheme="minorHAnsi" w:hAnsiTheme="minorHAnsi"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tcPr>
          <w:p w14:paraId="22588776"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39516EF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41BD7C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B32789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A4802C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79F7DA9"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CA48F6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01EB93C"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5B529E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216887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57E4AD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90A25FF"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55608632"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3090ED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D8B56C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58CCFC2" w14:textId="77777777" w:rsidR="00580D8F" w:rsidRDefault="00580D8F">
            <w:pPr>
              <w:rPr>
                <w:rFonts w:asciiTheme="minorHAnsi" w:hAnsiTheme="minorHAnsi" w:cstheme="minorHAnsi"/>
                <w:sz w:val="20"/>
                <w:szCs w:val="20"/>
              </w:rPr>
            </w:pPr>
          </w:p>
        </w:tc>
      </w:tr>
      <w:tr w:rsidR="00580D8F" w:rsidRPr="00580D8F" w14:paraId="2C371AAF"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2DFE20F"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31F016E4"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62AB0091" w14:textId="77777777" w:rsidR="00580D8F" w:rsidRDefault="00580D8F">
            <w:pPr>
              <w:ind w:left="34"/>
              <w:rPr>
                <w:rFonts w:asciiTheme="minorHAnsi" w:hAnsiTheme="minorHAnsi" w:cstheme="minorHAnsi"/>
                <w:color w:val="000000"/>
                <w:sz w:val="20"/>
                <w:szCs w:val="20"/>
              </w:rPr>
            </w:pPr>
            <w:r>
              <w:rPr>
                <w:rFonts w:asciiTheme="minorHAnsi" w:hAnsiTheme="minorHAnsi" w:cstheme="minorHAnsi"/>
                <w:color w:val="000000"/>
                <w:sz w:val="20"/>
                <w:szCs w:val="20"/>
              </w:rPr>
              <w:t>2.1.3: Disseminate project results, experiences and stories</w:t>
            </w:r>
          </w:p>
        </w:tc>
        <w:tc>
          <w:tcPr>
            <w:tcW w:w="534" w:type="dxa"/>
            <w:tcBorders>
              <w:top w:val="single" w:sz="4" w:space="0" w:color="000000"/>
              <w:left w:val="single" w:sz="4" w:space="0" w:color="000000"/>
              <w:bottom w:val="single" w:sz="4" w:space="0" w:color="000000"/>
              <w:right w:val="single" w:sz="4" w:space="0" w:color="000000"/>
            </w:tcBorders>
            <w:shd w:val="clear" w:color="auto" w:fill="D0CECE"/>
          </w:tcPr>
          <w:p w14:paraId="5541AF6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53F34F3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8321B4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54CBAF8"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BADAFE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14336C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3A99005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AAE6B9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0612D0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B087A5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F49786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09CCE60"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AA6133E"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03CE74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B803EC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1F5C298" w14:textId="77777777" w:rsidR="00580D8F" w:rsidRDefault="00580D8F">
            <w:pPr>
              <w:rPr>
                <w:rFonts w:asciiTheme="minorHAnsi" w:hAnsiTheme="minorHAnsi" w:cstheme="minorHAnsi"/>
                <w:sz w:val="20"/>
                <w:szCs w:val="20"/>
              </w:rPr>
            </w:pPr>
          </w:p>
        </w:tc>
      </w:tr>
      <w:tr w:rsidR="00580D8F" w:rsidRPr="00580D8F" w14:paraId="3CFC1B26"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90780C4"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0FE3CD3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2.2 Support to the use of information technology platforms to establish project websites and for improved management of information by GEF projects</w:t>
            </w:r>
          </w:p>
        </w:tc>
        <w:tc>
          <w:tcPr>
            <w:tcW w:w="2407" w:type="dxa"/>
            <w:tcBorders>
              <w:top w:val="single" w:sz="4" w:space="0" w:color="000000"/>
              <w:left w:val="single" w:sz="4" w:space="0" w:color="000000"/>
              <w:bottom w:val="single" w:sz="4" w:space="0" w:color="000000"/>
              <w:right w:val="single" w:sz="4" w:space="0" w:color="000000"/>
            </w:tcBorders>
            <w:hideMark/>
          </w:tcPr>
          <w:p w14:paraId="3143E9E1"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2.2.1: Provide a comprehensive digital productivity suite to projects</w:t>
            </w:r>
          </w:p>
        </w:tc>
        <w:tc>
          <w:tcPr>
            <w:tcW w:w="534" w:type="dxa"/>
            <w:tcBorders>
              <w:top w:val="single" w:sz="4" w:space="0" w:color="000000"/>
              <w:left w:val="single" w:sz="4" w:space="0" w:color="000000"/>
              <w:bottom w:val="single" w:sz="4" w:space="0" w:color="000000"/>
              <w:right w:val="single" w:sz="4" w:space="0" w:color="000000"/>
            </w:tcBorders>
          </w:tcPr>
          <w:p w14:paraId="15703A1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0D71B75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E941BF0"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300A60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AEDF3D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5B174C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3D9A3C6"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F6CC69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B0B324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795643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932DE0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F7BE3DF"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6EE1A02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60C8DBB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4A1F17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3BA4BD6" w14:textId="77777777" w:rsidR="00580D8F" w:rsidRDefault="00580D8F">
            <w:pPr>
              <w:rPr>
                <w:rFonts w:asciiTheme="minorHAnsi" w:hAnsiTheme="minorHAnsi" w:cstheme="minorHAnsi"/>
                <w:sz w:val="20"/>
                <w:szCs w:val="20"/>
              </w:rPr>
            </w:pPr>
          </w:p>
        </w:tc>
      </w:tr>
      <w:tr w:rsidR="00580D8F" w14:paraId="446788EA"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2EAA4271"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54C3C762"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75C4EEBD"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2.2.2: Organize regional workshops and Webinars on the use of the digital productivity suite and best practices</w:t>
            </w:r>
          </w:p>
        </w:tc>
        <w:tc>
          <w:tcPr>
            <w:tcW w:w="534" w:type="dxa"/>
            <w:tcBorders>
              <w:top w:val="single" w:sz="4" w:space="0" w:color="000000"/>
              <w:left w:val="single" w:sz="4" w:space="0" w:color="000000"/>
              <w:bottom w:val="single" w:sz="4" w:space="0" w:color="000000"/>
              <w:right w:val="single" w:sz="4" w:space="0" w:color="000000"/>
            </w:tcBorders>
          </w:tcPr>
          <w:p w14:paraId="1F07B755"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610F64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3C580D9" w14:textId="77777777" w:rsidR="00580D8F" w:rsidRDefault="00580D8F">
            <w:pPr>
              <w:rPr>
                <w:rFonts w:asciiTheme="minorHAnsi" w:hAnsiTheme="minorHAnsi" w:cstheme="minorHAnsi"/>
                <w:sz w:val="20"/>
                <w:szCs w:val="20"/>
              </w:rPr>
            </w:pPr>
          </w:p>
          <w:p w14:paraId="5AECEA5C"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w:t>
            </w:r>
          </w:p>
          <w:p w14:paraId="4DE7A9F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B70E4DD" w14:textId="77777777" w:rsidR="00580D8F" w:rsidRDefault="00580D8F">
            <w:pPr>
              <w:rPr>
                <w:rFonts w:asciiTheme="minorHAnsi" w:hAnsiTheme="minorHAnsi" w:cstheme="minorHAnsi"/>
                <w:sz w:val="20"/>
                <w:szCs w:val="20"/>
              </w:rPr>
            </w:pPr>
          </w:p>
          <w:p w14:paraId="4508D49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We</w:t>
            </w: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ED08AAE" w14:textId="77777777" w:rsidR="00580D8F" w:rsidRDefault="00580D8F">
            <w:pPr>
              <w:rPr>
                <w:rFonts w:asciiTheme="minorHAnsi" w:hAnsiTheme="minorHAnsi" w:cstheme="minorHAnsi"/>
                <w:sz w:val="20"/>
                <w:szCs w:val="20"/>
              </w:rPr>
            </w:pPr>
          </w:p>
          <w:p w14:paraId="21652FA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1E19F4A" w14:textId="77777777" w:rsidR="00580D8F" w:rsidRDefault="00580D8F">
            <w:pPr>
              <w:rPr>
                <w:rFonts w:asciiTheme="minorHAnsi" w:hAnsiTheme="minorHAnsi" w:cstheme="minorHAnsi"/>
                <w:sz w:val="20"/>
                <w:szCs w:val="20"/>
              </w:rPr>
            </w:pPr>
          </w:p>
          <w:p w14:paraId="07A8A54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We</w:t>
            </w: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BD8CAD6"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6EA693A" w14:textId="77777777" w:rsidR="00580D8F" w:rsidRDefault="00580D8F">
            <w:pPr>
              <w:rPr>
                <w:rFonts w:asciiTheme="minorHAnsi" w:hAnsiTheme="minorHAnsi" w:cstheme="minorHAnsi"/>
                <w:sz w:val="20"/>
                <w:szCs w:val="20"/>
              </w:rPr>
            </w:pPr>
          </w:p>
          <w:p w14:paraId="19D3CF1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We</w:t>
            </w: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DBC199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42EA233" w14:textId="77777777" w:rsidR="00580D8F" w:rsidRDefault="00580D8F">
            <w:pPr>
              <w:rPr>
                <w:rFonts w:asciiTheme="minorHAnsi" w:hAnsiTheme="minorHAnsi" w:cstheme="minorHAnsi"/>
                <w:sz w:val="20"/>
                <w:szCs w:val="20"/>
              </w:rPr>
            </w:pPr>
          </w:p>
          <w:p w14:paraId="6C11718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We</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43DB45D" w14:textId="77777777" w:rsidR="00580D8F" w:rsidRDefault="00580D8F">
            <w:pPr>
              <w:rPr>
                <w:rFonts w:asciiTheme="minorHAnsi" w:hAnsiTheme="minorHAnsi" w:cstheme="minorHAnsi"/>
                <w:sz w:val="20"/>
                <w:szCs w:val="20"/>
              </w:rPr>
            </w:pPr>
          </w:p>
          <w:p w14:paraId="7E3D5016"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1366963" w14:textId="77777777" w:rsidR="00580D8F" w:rsidRDefault="00580D8F">
            <w:pPr>
              <w:rPr>
                <w:rFonts w:asciiTheme="minorHAnsi" w:hAnsiTheme="minorHAnsi" w:cstheme="minorHAnsi"/>
                <w:sz w:val="20"/>
                <w:szCs w:val="20"/>
              </w:rPr>
            </w:pPr>
          </w:p>
          <w:p w14:paraId="6F75A52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w:t>
            </w: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F4D86C3" w14:textId="77777777" w:rsidR="00580D8F" w:rsidRDefault="00580D8F">
            <w:pPr>
              <w:rPr>
                <w:rFonts w:asciiTheme="minorHAnsi" w:hAnsiTheme="minorHAnsi" w:cstheme="minorHAnsi"/>
                <w:sz w:val="20"/>
                <w:szCs w:val="20"/>
              </w:rPr>
            </w:pPr>
          </w:p>
          <w:p w14:paraId="2C37A64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We</w:t>
            </w: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DF3D26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DDBB1FA" w14:textId="77777777" w:rsidR="00580D8F" w:rsidRDefault="00580D8F">
            <w:pPr>
              <w:rPr>
                <w:rFonts w:asciiTheme="minorHAnsi" w:hAnsiTheme="minorHAnsi" w:cstheme="minorHAnsi"/>
                <w:sz w:val="20"/>
                <w:szCs w:val="20"/>
              </w:rPr>
            </w:pPr>
          </w:p>
          <w:p w14:paraId="3047A7B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We</w:t>
            </w:r>
          </w:p>
        </w:tc>
        <w:tc>
          <w:tcPr>
            <w:tcW w:w="473" w:type="dxa"/>
            <w:tcBorders>
              <w:top w:val="single" w:sz="4" w:space="0" w:color="000000"/>
              <w:left w:val="single" w:sz="4" w:space="0" w:color="000000"/>
              <w:bottom w:val="single" w:sz="4" w:space="0" w:color="000000"/>
              <w:right w:val="single" w:sz="4" w:space="0" w:color="000000"/>
            </w:tcBorders>
          </w:tcPr>
          <w:p w14:paraId="47F95CBD" w14:textId="77777777" w:rsidR="00580D8F" w:rsidRDefault="00580D8F">
            <w:pPr>
              <w:rPr>
                <w:rFonts w:asciiTheme="minorHAnsi" w:hAnsiTheme="minorHAnsi" w:cstheme="minorHAnsi"/>
                <w:sz w:val="20"/>
                <w:szCs w:val="20"/>
              </w:rPr>
            </w:pPr>
          </w:p>
        </w:tc>
      </w:tr>
      <w:tr w:rsidR="00580D8F" w14:paraId="496D6574"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2FC5312"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350BC01E"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1ED60BED" w14:textId="77777777" w:rsidR="00580D8F" w:rsidRDefault="00580D8F">
            <w:pPr>
              <w:rPr>
                <w:rFonts w:asciiTheme="minorHAnsi" w:hAnsiTheme="minorHAnsi" w:cstheme="minorHAnsi"/>
                <w:color w:val="000000"/>
                <w:sz w:val="20"/>
                <w:szCs w:val="20"/>
              </w:rPr>
            </w:pPr>
            <w:r>
              <w:rPr>
                <w:rFonts w:asciiTheme="minorHAnsi" w:hAnsiTheme="minorHAnsi" w:cstheme="minorHAnsi"/>
                <w:color w:val="000000"/>
                <w:sz w:val="20"/>
                <w:szCs w:val="20"/>
              </w:rPr>
              <w:t>2.2.3: Produce a practical handbook to guide projects on managing a GEF IW website for improved data and information</w:t>
            </w:r>
          </w:p>
        </w:tc>
        <w:tc>
          <w:tcPr>
            <w:tcW w:w="534" w:type="dxa"/>
            <w:tcBorders>
              <w:top w:val="single" w:sz="4" w:space="0" w:color="000000"/>
              <w:left w:val="single" w:sz="4" w:space="0" w:color="000000"/>
              <w:bottom w:val="single" w:sz="4" w:space="0" w:color="000000"/>
              <w:right w:val="single" w:sz="4" w:space="0" w:color="000000"/>
            </w:tcBorders>
          </w:tcPr>
          <w:p w14:paraId="14945273"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192BC6F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F7CCC9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1C2AFE7" w14:textId="77777777" w:rsidR="00580D8F" w:rsidRDefault="00580D8F">
            <w:pPr>
              <w:rPr>
                <w:rFonts w:asciiTheme="minorHAnsi" w:hAnsiTheme="minorHAnsi" w:cstheme="minorHAnsi"/>
                <w:sz w:val="20"/>
                <w:szCs w:val="20"/>
              </w:rPr>
            </w:pPr>
          </w:p>
          <w:p w14:paraId="14E2F6F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35" w:type="dxa"/>
            <w:tcBorders>
              <w:top w:val="single" w:sz="4" w:space="0" w:color="000000"/>
              <w:left w:val="single" w:sz="4" w:space="0" w:color="000000"/>
              <w:bottom w:val="single" w:sz="4" w:space="0" w:color="000000"/>
              <w:right w:val="single" w:sz="4" w:space="0" w:color="000000"/>
            </w:tcBorders>
          </w:tcPr>
          <w:p w14:paraId="6229A84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32A060E"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E374BD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A660BAB"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57DA634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0208C6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BB7999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D8D3DCE"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6E88E7E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53510C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FD1CBB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E80ACAF" w14:textId="77777777" w:rsidR="00580D8F" w:rsidRDefault="00580D8F">
            <w:pPr>
              <w:rPr>
                <w:rFonts w:asciiTheme="minorHAnsi" w:hAnsiTheme="minorHAnsi" w:cstheme="minorHAnsi"/>
                <w:sz w:val="20"/>
                <w:szCs w:val="20"/>
              </w:rPr>
            </w:pPr>
          </w:p>
        </w:tc>
      </w:tr>
      <w:tr w:rsidR="00580D8F" w14:paraId="6D4E3C32"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4D9EF9B"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37C9C65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2.3 Hands-on communications </w:t>
            </w:r>
            <w:r>
              <w:rPr>
                <w:rFonts w:asciiTheme="minorHAnsi" w:hAnsiTheme="minorHAnsi" w:cstheme="minorHAnsi"/>
                <w:sz w:val="20"/>
                <w:szCs w:val="20"/>
              </w:rPr>
              <w:lastRenderedPageBreak/>
              <w:t>and project visualization training, including support to the production of Experience Notes, for improved project storytelling, data packaging and focal area thematic review publications</w:t>
            </w:r>
          </w:p>
        </w:tc>
        <w:tc>
          <w:tcPr>
            <w:tcW w:w="2407" w:type="dxa"/>
            <w:tcBorders>
              <w:top w:val="single" w:sz="4" w:space="0" w:color="000000"/>
              <w:left w:val="single" w:sz="4" w:space="0" w:color="000000"/>
              <w:bottom w:val="single" w:sz="4" w:space="0" w:color="000000"/>
              <w:right w:val="single" w:sz="4" w:space="0" w:color="000000"/>
            </w:tcBorders>
            <w:hideMark/>
          </w:tcPr>
          <w:p w14:paraId="52CA671F"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lastRenderedPageBreak/>
              <w:t xml:space="preserve">2.3.1: Organize regional communications training </w:t>
            </w:r>
            <w:r>
              <w:rPr>
                <w:rFonts w:asciiTheme="minorHAnsi" w:hAnsiTheme="minorHAnsi" w:cstheme="minorHAnsi"/>
                <w:color w:val="000000"/>
                <w:sz w:val="20"/>
                <w:szCs w:val="20"/>
              </w:rPr>
              <w:lastRenderedPageBreak/>
              <w:t>workshops, events and webinars on project and data storytelling engaging both projects and journalists</w:t>
            </w:r>
          </w:p>
        </w:tc>
        <w:tc>
          <w:tcPr>
            <w:tcW w:w="534" w:type="dxa"/>
            <w:tcBorders>
              <w:top w:val="single" w:sz="4" w:space="0" w:color="000000"/>
              <w:left w:val="single" w:sz="4" w:space="0" w:color="000000"/>
              <w:bottom w:val="single" w:sz="4" w:space="0" w:color="000000"/>
              <w:right w:val="single" w:sz="4" w:space="0" w:color="000000"/>
            </w:tcBorders>
          </w:tcPr>
          <w:p w14:paraId="39E2EB9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175368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8B9D31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2BE4622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396B74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8030133" w14:textId="77777777" w:rsidR="00580D8F" w:rsidRDefault="00580D8F">
            <w:pPr>
              <w:rPr>
                <w:rFonts w:asciiTheme="minorHAnsi" w:hAnsiTheme="minorHAnsi" w:cstheme="minorHAnsi"/>
                <w:sz w:val="20"/>
                <w:szCs w:val="20"/>
              </w:rPr>
            </w:pPr>
          </w:p>
          <w:p w14:paraId="26520807" w14:textId="77777777" w:rsidR="00580D8F" w:rsidRDefault="00580D8F">
            <w:pPr>
              <w:rPr>
                <w:rFonts w:asciiTheme="minorHAnsi" w:hAnsiTheme="minorHAnsi" w:cstheme="minorHAnsi"/>
                <w:sz w:val="20"/>
                <w:szCs w:val="20"/>
              </w:rPr>
            </w:pPr>
          </w:p>
          <w:p w14:paraId="340AA9D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lastRenderedPageBreak/>
              <w:t>TC</w:t>
            </w:r>
          </w:p>
        </w:tc>
        <w:tc>
          <w:tcPr>
            <w:tcW w:w="473" w:type="dxa"/>
            <w:tcBorders>
              <w:top w:val="single" w:sz="4" w:space="0" w:color="000000"/>
              <w:left w:val="single" w:sz="4" w:space="0" w:color="000000"/>
              <w:bottom w:val="single" w:sz="4" w:space="0" w:color="000000"/>
              <w:right w:val="single" w:sz="4" w:space="0" w:color="000000"/>
            </w:tcBorders>
          </w:tcPr>
          <w:p w14:paraId="1821966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B93172D"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4ECF09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0D5AEA4" w14:textId="77777777" w:rsidR="00580D8F" w:rsidRDefault="00580D8F">
            <w:pPr>
              <w:rPr>
                <w:rFonts w:asciiTheme="minorHAnsi" w:hAnsiTheme="minorHAnsi" w:cstheme="minorHAnsi"/>
                <w:sz w:val="20"/>
                <w:szCs w:val="20"/>
              </w:rPr>
            </w:pPr>
          </w:p>
          <w:p w14:paraId="20997364" w14:textId="77777777" w:rsidR="00580D8F" w:rsidRDefault="00580D8F">
            <w:pPr>
              <w:rPr>
                <w:rFonts w:asciiTheme="minorHAnsi" w:hAnsiTheme="minorHAnsi" w:cstheme="minorHAnsi"/>
                <w:sz w:val="20"/>
                <w:szCs w:val="20"/>
              </w:rPr>
            </w:pPr>
          </w:p>
          <w:p w14:paraId="39EC847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lastRenderedPageBreak/>
              <w:t>TC</w:t>
            </w:r>
          </w:p>
        </w:tc>
        <w:tc>
          <w:tcPr>
            <w:tcW w:w="494" w:type="dxa"/>
            <w:tcBorders>
              <w:top w:val="single" w:sz="4" w:space="0" w:color="000000"/>
              <w:left w:val="single" w:sz="4" w:space="0" w:color="000000"/>
              <w:bottom w:val="single" w:sz="4" w:space="0" w:color="000000"/>
              <w:right w:val="single" w:sz="4" w:space="0" w:color="000000"/>
            </w:tcBorders>
          </w:tcPr>
          <w:p w14:paraId="41A1C27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5AE6ED3"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FDE90C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58662E4A" w14:textId="77777777" w:rsidR="00580D8F" w:rsidRDefault="00580D8F">
            <w:pPr>
              <w:rPr>
                <w:rFonts w:asciiTheme="minorHAnsi" w:hAnsiTheme="minorHAnsi" w:cstheme="minorHAnsi"/>
                <w:sz w:val="20"/>
                <w:szCs w:val="20"/>
              </w:rPr>
            </w:pPr>
          </w:p>
          <w:p w14:paraId="630AA599" w14:textId="77777777" w:rsidR="00580D8F" w:rsidRDefault="00580D8F">
            <w:pPr>
              <w:rPr>
                <w:rFonts w:asciiTheme="minorHAnsi" w:hAnsiTheme="minorHAnsi" w:cstheme="minorHAnsi"/>
                <w:sz w:val="20"/>
                <w:szCs w:val="20"/>
              </w:rPr>
            </w:pPr>
          </w:p>
          <w:p w14:paraId="2A7FBAD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lastRenderedPageBreak/>
              <w:t>TC</w:t>
            </w:r>
          </w:p>
        </w:tc>
        <w:tc>
          <w:tcPr>
            <w:tcW w:w="494" w:type="dxa"/>
            <w:tcBorders>
              <w:top w:val="single" w:sz="4" w:space="0" w:color="000000"/>
              <w:left w:val="single" w:sz="4" w:space="0" w:color="000000"/>
              <w:bottom w:val="single" w:sz="4" w:space="0" w:color="000000"/>
              <w:right w:val="single" w:sz="4" w:space="0" w:color="000000"/>
            </w:tcBorders>
          </w:tcPr>
          <w:p w14:paraId="012ED4C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CA5522B" w14:textId="77777777" w:rsidR="00580D8F" w:rsidRDefault="00580D8F">
            <w:pPr>
              <w:rPr>
                <w:rFonts w:asciiTheme="minorHAnsi" w:hAnsiTheme="minorHAnsi" w:cstheme="minorHAnsi"/>
                <w:sz w:val="20"/>
                <w:szCs w:val="20"/>
              </w:rPr>
            </w:pPr>
          </w:p>
        </w:tc>
      </w:tr>
      <w:tr w:rsidR="00580D8F" w:rsidRPr="00580D8F" w14:paraId="5DD0F9FF"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6D684A37"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54F40A27"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313662D8"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2.3.2: Establish a roster of communication specialists, environmental journalists and media networks</w:t>
            </w:r>
          </w:p>
        </w:tc>
        <w:tc>
          <w:tcPr>
            <w:tcW w:w="534" w:type="dxa"/>
            <w:tcBorders>
              <w:top w:val="single" w:sz="4" w:space="0" w:color="000000"/>
              <w:left w:val="single" w:sz="4" w:space="0" w:color="000000"/>
              <w:bottom w:val="single" w:sz="4" w:space="0" w:color="000000"/>
              <w:right w:val="single" w:sz="4" w:space="0" w:color="000000"/>
            </w:tcBorders>
          </w:tcPr>
          <w:p w14:paraId="0E7AC8CC"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1775E2C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08A77C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B22456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CCCF25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D797B0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8716E6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2A5E587"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16319A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1DCCD1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EB450D5"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68DC9A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87EEAE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78079AA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6C5E67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1275ABF" w14:textId="77777777" w:rsidR="00580D8F" w:rsidRDefault="00580D8F">
            <w:pPr>
              <w:rPr>
                <w:rFonts w:asciiTheme="minorHAnsi" w:hAnsiTheme="minorHAnsi" w:cstheme="minorHAnsi"/>
                <w:sz w:val="20"/>
                <w:szCs w:val="20"/>
              </w:rPr>
            </w:pPr>
          </w:p>
        </w:tc>
      </w:tr>
      <w:tr w:rsidR="00580D8F" w:rsidRPr="00580D8F" w14:paraId="7C0469D8"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351396B6"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4B8998B6"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78B45ABA"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2.3.3: Provide access to references (videos, links, etc.) on communication best practices and tools</w:t>
            </w:r>
          </w:p>
        </w:tc>
        <w:tc>
          <w:tcPr>
            <w:tcW w:w="534" w:type="dxa"/>
            <w:tcBorders>
              <w:top w:val="single" w:sz="4" w:space="0" w:color="000000"/>
              <w:left w:val="single" w:sz="4" w:space="0" w:color="000000"/>
              <w:bottom w:val="single" w:sz="4" w:space="0" w:color="000000"/>
              <w:right w:val="single" w:sz="4" w:space="0" w:color="000000"/>
            </w:tcBorders>
          </w:tcPr>
          <w:p w14:paraId="3A097EE4"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1955CB4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B63D2C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F993B44"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4834A9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BD04C4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10A409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15BC42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881F9D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D59B05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4CF360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C5963E4"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C5A137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76AAB7B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E57CE3E"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598FC84F" w14:textId="77777777" w:rsidR="00580D8F" w:rsidRDefault="00580D8F">
            <w:pPr>
              <w:rPr>
                <w:rFonts w:asciiTheme="minorHAnsi" w:hAnsiTheme="minorHAnsi" w:cstheme="minorHAnsi"/>
                <w:sz w:val="20"/>
                <w:szCs w:val="20"/>
              </w:rPr>
            </w:pPr>
          </w:p>
        </w:tc>
      </w:tr>
      <w:tr w:rsidR="00580D8F" w:rsidRPr="00580D8F" w14:paraId="38D9B30C"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05D79EE"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D1B800C"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130C0502"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2.3.4: Support the production of publications (print, online) drawing upon the GEF IW portfolio of work and experience in transboundary water systems and their results, and convey key messages and findings</w:t>
            </w:r>
          </w:p>
        </w:tc>
        <w:tc>
          <w:tcPr>
            <w:tcW w:w="534" w:type="dxa"/>
            <w:tcBorders>
              <w:top w:val="single" w:sz="4" w:space="0" w:color="000000"/>
              <w:left w:val="single" w:sz="4" w:space="0" w:color="000000"/>
              <w:bottom w:val="single" w:sz="4" w:space="0" w:color="000000"/>
              <w:right w:val="single" w:sz="4" w:space="0" w:color="000000"/>
            </w:tcBorders>
          </w:tcPr>
          <w:p w14:paraId="4F28DD7D"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6DC5F45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E3C08C5"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02952F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C5FDE8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4E918B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D651FD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B84016D"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237AFE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D63192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DCA271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F4AA9D9"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5E62B369"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B89AB3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B7A68A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20D71F5" w14:textId="77777777" w:rsidR="00580D8F" w:rsidRDefault="00580D8F">
            <w:pPr>
              <w:rPr>
                <w:rFonts w:asciiTheme="minorHAnsi" w:hAnsiTheme="minorHAnsi" w:cstheme="minorHAnsi"/>
                <w:sz w:val="20"/>
                <w:szCs w:val="20"/>
              </w:rPr>
            </w:pPr>
          </w:p>
        </w:tc>
      </w:tr>
      <w:tr w:rsidR="00580D8F" w:rsidRPr="00580D8F" w14:paraId="15483D8F" w14:textId="77777777" w:rsidTr="00580D8F">
        <w:tc>
          <w:tcPr>
            <w:tcW w:w="1623" w:type="dxa"/>
            <w:vMerge w:val="restart"/>
            <w:tcBorders>
              <w:top w:val="single" w:sz="4" w:space="0" w:color="000000"/>
              <w:left w:val="single" w:sz="4" w:space="0" w:color="000000"/>
              <w:bottom w:val="single" w:sz="4" w:space="0" w:color="000000"/>
              <w:right w:val="single" w:sz="4" w:space="0" w:color="000000"/>
            </w:tcBorders>
          </w:tcPr>
          <w:p w14:paraId="12B6B48B" w14:textId="77777777" w:rsidR="00580D8F" w:rsidRDefault="00580D8F">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3: Deliver Intra and Inter-Regional Knowledge Management Across Focal Areas in Small Island Developing States to Improve Portfolio Performance</w:t>
            </w:r>
          </w:p>
          <w:p w14:paraId="06390287"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5422BA33"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3.1: Twinning and dialogue activities in support of regional collaboration among SIDS via cooperation among all focal area projects and participating countries</w:t>
            </w:r>
          </w:p>
        </w:tc>
        <w:tc>
          <w:tcPr>
            <w:tcW w:w="2407" w:type="dxa"/>
            <w:tcBorders>
              <w:top w:val="single" w:sz="4" w:space="0" w:color="000000"/>
              <w:left w:val="single" w:sz="4" w:space="0" w:color="000000"/>
              <w:bottom w:val="single" w:sz="4" w:space="0" w:color="000000"/>
              <w:right w:val="single" w:sz="4" w:space="0" w:color="000000"/>
            </w:tcBorders>
            <w:hideMark/>
          </w:tcPr>
          <w:p w14:paraId="534E2977"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 xml:space="preserve">3.1.1: Support </w:t>
            </w:r>
            <w:proofErr w:type="spellStart"/>
            <w:r>
              <w:rPr>
                <w:rFonts w:asciiTheme="minorHAnsi" w:hAnsiTheme="minorHAnsi" w:cstheme="minorHAnsi"/>
                <w:color w:val="000000"/>
                <w:sz w:val="20"/>
                <w:szCs w:val="20"/>
              </w:rPr>
              <w:t>programme</w:t>
            </w:r>
            <w:proofErr w:type="spellEnd"/>
            <w:r>
              <w:rPr>
                <w:rFonts w:asciiTheme="minorHAnsi" w:hAnsiTheme="minorHAnsi" w:cstheme="minorHAnsi"/>
                <w:color w:val="000000"/>
                <w:sz w:val="20"/>
                <w:szCs w:val="20"/>
              </w:rPr>
              <w:t xml:space="preserve"> of iterative twinning between SIDS related projects sharing similar development/ecosystem characteristics</w:t>
            </w:r>
          </w:p>
        </w:tc>
        <w:tc>
          <w:tcPr>
            <w:tcW w:w="534" w:type="dxa"/>
            <w:tcBorders>
              <w:top w:val="single" w:sz="4" w:space="0" w:color="000000"/>
              <w:left w:val="single" w:sz="4" w:space="0" w:color="000000"/>
              <w:bottom w:val="single" w:sz="4" w:space="0" w:color="000000"/>
              <w:right w:val="single" w:sz="4" w:space="0" w:color="000000"/>
            </w:tcBorders>
          </w:tcPr>
          <w:p w14:paraId="7899AC7E"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3A7B5E0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9D3F15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2DF520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C5BB1B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4BC752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3CE7D05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43115D1"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A1EB5D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732B47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F41743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D147D62"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61AE7CD"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13B7D1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23A982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3CEAC304" w14:textId="77777777" w:rsidR="00580D8F" w:rsidRDefault="00580D8F">
            <w:pPr>
              <w:rPr>
                <w:rFonts w:asciiTheme="minorHAnsi" w:hAnsiTheme="minorHAnsi" w:cstheme="minorHAnsi"/>
                <w:sz w:val="20"/>
                <w:szCs w:val="20"/>
              </w:rPr>
            </w:pPr>
          </w:p>
        </w:tc>
      </w:tr>
      <w:tr w:rsidR="00580D8F" w:rsidRPr="00580D8F" w14:paraId="35532A44"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F6E46E8"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14A2EF5A"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49C50498"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 xml:space="preserve">3.1.2: </w:t>
            </w:r>
            <w:proofErr w:type="spellStart"/>
            <w:r>
              <w:rPr>
                <w:rFonts w:asciiTheme="minorHAnsi" w:hAnsiTheme="minorHAnsi" w:cstheme="minorHAnsi"/>
                <w:color w:val="000000"/>
                <w:sz w:val="20"/>
                <w:szCs w:val="20"/>
              </w:rPr>
              <w:t>Organise</w:t>
            </w:r>
            <w:proofErr w:type="spellEnd"/>
            <w:r>
              <w:rPr>
                <w:rFonts w:asciiTheme="minorHAnsi" w:hAnsiTheme="minorHAnsi" w:cstheme="minorHAnsi"/>
                <w:color w:val="000000"/>
                <w:sz w:val="20"/>
                <w:szCs w:val="20"/>
              </w:rPr>
              <w:t xml:space="preserve"> ad-hoc twinning exchanges based on proposals to solve specific technical/governance issues in SIDS</w:t>
            </w:r>
          </w:p>
        </w:tc>
        <w:tc>
          <w:tcPr>
            <w:tcW w:w="534" w:type="dxa"/>
            <w:tcBorders>
              <w:top w:val="single" w:sz="4" w:space="0" w:color="000000"/>
              <w:left w:val="single" w:sz="4" w:space="0" w:color="000000"/>
              <w:bottom w:val="single" w:sz="4" w:space="0" w:color="000000"/>
              <w:right w:val="single" w:sz="4" w:space="0" w:color="000000"/>
            </w:tcBorders>
          </w:tcPr>
          <w:p w14:paraId="264E1E33"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1DE9625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D6E9F5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7E295A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A932BF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B0A5A7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73DD98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ACFF141"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26672E3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F63F70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90795B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3084C39"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0611B6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863DE3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A516BA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09BD550" w14:textId="77777777" w:rsidR="00580D8F" w:rsidRDefault="00580D8F">
            <w:pPr>
              <w:rPr>
                <w:rFonts w:asciiTheme="minorHAnsi" w:hAnsiTheme="minorHAnsi" w:cstheme="minorHAnsi"/>
                <w:sz w:val="20"/>
                <w:szCs w:val="20"/>
              </w:rPr>
            </w:pPr>
          </w:p>
        </w:tc>
      </w:tr>
      <w:tr w:rsidR="00580D8F" w:rsidRPr="00580D8F" w14:paraId="2D0B0EB0"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2894220"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76BAB424"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739DC635"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 xml:space="preserve">3.1.3: Facilitate on-going conversation among </w:t>
            </w:r>
            <w:r>
              <w:rPr>
                <w:rFonts w:asciiTheme="minorHAnsi" w:hAnsiTheme="minorHAnsi" w:cstheme="minorHAnsi"/>
                <w:color w:val="000000"/>
                <w:sz w:val="20"/>
                <w:szCs w:val="20"/>
              </w:rPr>
              <w:lastRenderedPageBreak/>
              <w:t>partners after twinning through web-based options, such as lightning chats</w:t>
            </w:r>
          </w:p>
        </w:tc>
        <w:tc>
          <w:tcPr>
            <w:tcW w:w="534" w:type="dxa"/>
            <w:tcBorders>
              <w:top w:val="single" w:sz="4" w:space="0" w:color="000000"/>
              <w:left w:val="single" w:sz="4" w:space="0" w:color="000000"/>
              <w:bottom w:val="single" w:sz="4" w:space="0" w:color="000000"/>
              <w:right w:val="single" w:sz="4" w:space="0" w:color="000000"/>
            </w:tcBorders>
          </w:tcPr>
          <w:p w14:paraId="06C9C649"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5C888B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931455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23E26A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55D748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D4BA71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5A55437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4092117"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D473D6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10C892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8F5FE4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602989BE"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496199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7D6067F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681F5E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2C28F94" w14:textId="77777777" w:rsidR="00580D8F" w:rsidRDefault="00580D8F">
            <w:pPr>
              <w:rPr>
                <w:rFonts w:asciiTheme="minorHAnsi" w:hAnsiTheme="minorHAnsi" w:cstheme="minorHAnsi"/>
                <w:sz w:val="20"/>
                <w:szCs w:val="20"/>
              </w:rPr>
            </w:pPr>
          </w:p>
        </w:tc>
      </w:tr>
      <w:tr w:rsidR="00580D8F" w:rsidRPr="00580D8F" w14:paraId="4B78DC03"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C3F3B66"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40D67A2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3.2 Strengthened web portal and resource catalogue to facilitate information-sharing and learning across the SIDS project portfolio in support of the SAMOA Pathway</w:t>
            </w:r>
          </w:p>
        </w:tc>
        <w:tc>
          <w:tcPr>
            <w:tcW w:w="2407" w:type="dxa"/>
            <w:tcBorders>
              <w:top w:val="single" w:sz="4" w:space="0" w:color="000000"/>
              <w:left w:val="single" w:sz="4" w:space="0" w:color="000000"/>
              <w:bottom w:val="single" w:sz="4" w:space="0" w:color="000000"/>
              <w:right w:val="single" w:sz="4" w:space="0" w:color="000000"/>
            </w:tcBorders>
            <w:hideMark/>
          </w:tcPr>
          <w:p w14:paraId="7F1898DB"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3.2.1: Conduct a two-fold assessment and recommendations for development of SIDS Hub</w:t>
            </w:r>
          </w:p>
        </w:tc>
        <w:tc>
          <w:tcPr>
            <w:tcW w:w="534" w:type="dxa"/>
            <w:tcBorders>
              <w:top w:val="single" w:sz="4" w:space="0" w:color="000000"/>
              <w:left w:val="single" w:sz="4" w:space="0" w:color="000000"/>
              <w:bottom w:val="single" w:sz="4" w:space="0" w:color="000000"/>
              <w:right w:val="single" w:sz="4" w:space="0" w:color="000000"/>
            </w:tcBorders>
          </w:tcPr>
          <w:p w14:paraId="6DAD0B55"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2298ACC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629DDC2"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F2D388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24DED08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2F2FFC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0F4B06E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4C5499B1"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49909F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E2053C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93B97B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E393DA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14FFCDA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3481FF5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A2CE3B2"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7282DFC" w14:textId="77777777" w:rsidR="00580D8F" w:rsidRDefault="00580D8F">
            <w:pPr>
              <w:rPr>
                <w:rFonts w:asciiTheme="minorHAnsi" w:hAnsiTheme="minorHAnsi" w:cstheme="minorHAnsi"/>
                <w:sz w:val="20"/>
                <w:szCs w:val="20"/>
              </w:rPr>
            </w:pPr>
          </w:p>
        </w:tc>
      </w:tr>
      <w:tr w:rsidR="00580D8F" w:rsidRPr="00580D8F" w14:paraId="5AF3149D"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769D3328"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07C07E18"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7EB21C3B"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3.2.2: Development of the SIDS Hub within the IW:LEARN web site</w:t>
            </w:r>
          </w:p>
        </w:tc>
        <w:tc>
          <w:tcPr>
            <w:tcW w:w="534" w:type="dxa"/>
            <w:tcBorders>
              <w:top w:val="single" w:sz="4" w:space="0" w:color="000000"/>
              <w:left w:val="single" w:sz="4" w:space="0" w:color="000000"/>
              <w:bottom w:val="single" w:sz="4" w:space="0" w:color="000000"/>
              <w:right w:val="single" w:sz="4" w:space="0" w:color="000000"/>
            </w:tcBorders>
          </w:tcPr>
          <w:p w14:paraId="11F20882"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D3D2D7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F06A1B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C7802F7"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3168AD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2D8E3B2"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5A4071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00B0FF0F"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2135A60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22F7AF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28D36F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4E81E8F9"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68D36EB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24C156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BDD50C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471C082" w14:textId="77777777" w:rsidR="00580D8F" w:rsidRDefault="00580D8F">
            <w:pPr>
              <w:rPr>
                <w:rFonts w:asciiTheme="minorHAnsi" w:hAnsiTheme="minorHAnsi" w:cstheme="minorHAnsi"/>
                <w:sz w:val="20"/>
                <w:szCs w:val="20"/>
              </w:rPr>
            </w:pPr>
          </w:p>
        </w:tc>
      </w:tr>
      <w:tr w:rsidR="00580D8F" w:rsidRPr="00580D8F" w14:paraId="280FBFEF"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3A6ABFA0" w14:textId="77777777" w:rsidR="00580D8F" w:rsidRDefault="00580D8F">
            <w:pPr>
              <w:rPr>
                <w:rFonts w:asciiTheme="minorHAnsi" w:hAnsiTheme="minorHAnsi" w:cstheme="minorHAnsi"/>
                <w:sz w:val="20"/>
                <w:szCs w:val="20"/>
              </w:rPr>
            </w:pPr>
          </w:p>
        </w:tc>
        <w:tc>
          <w:tcPr>
            <w:tcW w:w="1839" w:type="dxa"/>
            <w:tcBorders>
              <w:top w:val="single" w:sz="4" w:space="0" w:color="000000"/>
              <w:left w:val="single" w:sz="4" w:space="0" w:color="000000"/>
              <w:bottom w:val="single" w:sz="4" w:space="0" w:color="000000"/>
              <w:right w:val="single" w:sz="4" w:space="0" w:color="000000"/>
            </w:tcBorders>
            <w:hideMark/>
          </w:tcPr>
          <w:p w14:paraId="2C4628E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3.3 Training courses and other capacity-strengthening guidance developed on cross-cutting topics of relevance to SIDS</w:t>
            </w:r>
          </w:p>
        </w:tc>
        <w:tc>
          <w:tcPr>
            <w:tcW w:w="2407" w:type="dxa"/>
            <w:tcBorders>
              <w:top w:val="single" w:sz="4" w:space="0" w:color="000000"/>
              <w:left w:val="single" w:sz="4" w:space="0" w:color="000000"/>
              <w:bottom w:val="single" w:sz="4" w:space="0" w:color="000000"/>
              <w:right w:val="single" w:sz="4" w:space="0" w:color="000000"/>
            </w:tcBorders>
            <w:hideMark/>
          </w:tcPr>
          <w:p w14:paraId="1A9B0BB8"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3.3.1: Compilation and development of training materials that can be used for online and face to face training on timely subjects identified as high priority for GEF SIDS projects</w:t>
            </w:r>
          </w:p>
        </w:tc>
        <w:tc>
          <w:tcPr>
            <w:tcW w:w="534" w:type="dxa"/>
            <w:tcBorders>
              <w:top w:val="single" w:sz="4" w:space="0" w:color="000000"/>
              <w:left w:val="single" w:sz="4" w:space="0" w:color="000000"/>
              <w:bottom w:val="single" w:sz="4" w:space="0" w:color="000000"/>
              <w:right w:val="single" w:sz="4" w:space="0" w:color="000000"/>
            </w:tcBorders>
          </w:tcPr>
          <w:p w14:paraId="491D4C5D"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407604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A0665F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283194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A6CF95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1A5EB2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539FBC6"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C7CA9E8"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58EEDF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74CF26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DFC3E0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0E52A06"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528A15F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678E91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792DAB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7DD83A3" w14:textId="77777777" w:rsidR="00580D8F" w:rsidRDefault="00580D8F">
            <w:pPr>
              <w:rPr>
                <w:rFonts w:asciiTheme="minorHAnsi" w:hAnsiTheme="minorHAnsi" w:cstheme="minorHAnsi"/>
                <w:sz w:val="20"/>
                <w:szCs w:val="20"/>
              </w:rPr>
            </w:pPr>
          </w:p>
        </w:tc>
      </w:tr>
      <w:tr w:rsidR="00580D8F" w14:paraId="2934956F"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7F4304BE"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4919F3D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3.4 Intra and inter-regional training delivered in and among SIDS regions through regional partners</w:t>
            </w:r>
          </w:p>
        </w:tc>
        <w:tc>
          <w:tcPr>
            <w:tcW w:w="2407" w:type="dxa"/>
            <w:tcBorders>
              <w:top w:val="single" w:sz="4" w:space="0" w:color="000000"/>
              <w:left w:val="single" w:sz="4" w:space="0" w:color="000000"/>
              <w:bottom w:val="single" w:sz="4" w:space="0" w:color="000000"/>
              <w:right w:val="single" w:sz="4" w:space="0" w:color="000000"/>
            </w:tcBorders>
            <w:hideMark/>
          </w:tcPr>
          <w:p w14:paraId="03AB9071"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3.4.1: Work with partners and regional bodies to organize a series of at least three intra-regional training workshops</w:t>
            </w:r>
          </w:p>
        </w:tc>
        <w:tc>
          <w:tcPr>
            <w:tcW w:w="534" w:type="dxa"/>
            <w:tcBorders>
              <w:top w:val="single" w:sz="4" w:space="0" w:color="000000"/>
              <w:left w:val="single" w:sz="4" w:space="0" w:color="000000"/>
              <w:bottom w:val="single" w:sz="4" w:space="0" w:color="000000"/>
              <w:right w:val="single" w:sz="4" w:space="0" w:color="000000"/>
            </w:tcBorders>
          </w:tcPr>
          <w:p w14:paraId="67D0E7A9"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454297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BC7A9B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5C702D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EC4A36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8BDBAB4" w14:textId="77777777" w:rsidR="00580D8F" w:rsidRDefault="00580D8F">
            <w:pPr>
              <w:rPr>
                <w:rFonts w:asciiTheme="minorHAnsi" w:hAnsiTheme="minorHAnsi" w:cstheme="minorHAnsi"/>
                <w:sz w:val="20"/>
                <w:szCs w:val="20"/>
              </w:rPr>
            </w:pPr>
          </w:p>
          <w:p w14:paraId="71B050D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141A7D49" w14:textId="77777777" w:rsidR="00580D8F" w:rsidRDefault="00580D8F">
            <w:pPr>
              <w:rPr>
                <w:rFonts w:asciiTheme="minorHAnsi" w:hAnsiTheme="minorHAnsi" w:cstheme="minorHAnsi"/>
                <w:sz w:val="20"/>
                <w:szCs w:val="20"/>
              </w:rPr>
            </w:pPr>
          </w:p>
          <w:p w14:paraId="5745151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046D658" w14:textId="77777777" w:rsidR="00580D8F" w:rsidRDefault="00580D8F">
            <w:pPr>
              <w:rPr>
                <w:rFonts w:asciiTheme="minorHAnsi" w:hAnsiTheme="minorHAnsi" w:cstheme="minorHAnsi"/>
                <w:sz w:val="20"/>
                <w:szCs w:val="20"/>
              </w:rPr>
            </w:pPr>
          </w:p>
          <w:p w14:paraId="0899B04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35" w:type="dxa"/>
            <w:tcBorders>
              <w:top w:val="single" w:sz="4" w:space="0" w:color="000000"/>
              <w:left w:val="single" w:sz="4" w:space="0" w:color="000000"/>
              <w:bottom w:val="single" w:sz="4" w:space="0" w:color="000000"/>
              <w:right w:val="single" w:sz="4" w:space="0" w:color="000000"/>
            </w:tcBorders>
          </w:tcPr>
          <w:p w14:paraId="0B0C8A7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B295FB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D4A7AF9" w14:textId="77777777" w:rsidR="00580D8F" w:rsidRDefault="00580D8F">
            <w:pPr>
              <w:rPr>
                <w:rFonts w:asciiTheme="minorHAnsi" w:hAnsiTheme="minorHAnsi" w:cstheme="minorHAnsi"/>
                <w:sz w:val="20"/>
                <w:szCs w:val="20"/>
              </w:rPr>
            </w:pPr>
          </w:p>
          <w:p w14:paraId="2D5C8DF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2BFA2D6" w14:textId="77777777" w:rsidR="00580D8F" w:rsidRDefault="00580D8F">
            <w:pPr>
              <w:rPr>
                <w:rFonts w:asciiTheme="minorHAnsi" w:hAnsiTheme="minorHAnsi" w:cstheme="minorHAnsi"/>
                <w:sz w:val="20"/>
                <w:szCs w:val="20"/>
              </w:rPr>
            </w:pPr>
          </w:p>
          <w:p w14:paraId="1CD6BE9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755B62D3" w14:textId="77777777" w:rsidR="00580D8F" w:rsidRDefault="00580D8F">
            <w:pPr>
              <w:rPr>
                <w:rFonts w:asciiTheme="minorHAnsi" w:hAnsiTheme="minorHAnsi" w:cstheme="minorHAnsi"/>
                <w:sz w:val="20"/>
                <w:szCs w:val="20"/>
              </w:rPr>
            </w:pPr>
          </w:p>
          <w:p w14:paraId="4DEB380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73" w:type="dxa"/>
            <w:tcBorders>
              <w:top w:val="single" w:sz="4" w:space="0" w:color="000000"/>
              <w:left w:val="single" w:sz="4" w:space="0" w:color="000000"/>
              <w:bottom w:val="single" w:sz="4" w:space="0" w:color="000000"/>
              <w:right w:val="single" w:sz="4" w:space="0" w:color="000000"/>
            </w:tcBorders>
          </w:tcPr>
          <w:p w14:paraId="53D15CA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1DC530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C69FDA6" w14:textId="77777777" w:rsidR="00580D8F" w:rsidRDefault="00580D8F">
            <w:pPr>
              <w:rPr>
                <w:rFonts w:asciiTheme="minorHAnsi" w:hAnsiTheme="minorHAnsi" w:cstheme="minorHAnsi"/>
                <w:sz w:val="20"/>
                <w:szCs w:val="20"/>
              </w:rPr>
            </w:pPr>
          </w:p>
        </w:tc>
      </w:tr>
      <w:tr w:rsidR="00580D8F" w14:paraId="28B897C3"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61558BC7"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9E043EF"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1B9AFE38"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3.4.2: Organize an inter-regional SIDS training workshop to follow up on the training and to share lessons learned and experience inter-regionally</w:t>
            </w:r>
          </w:p>
        </w:tc>
        <w:tc>
          <w:tcPr>
            <w:tcW w:w="534" w:type="dxa"/>
            <w:tcBorders>
              <w:top w:val="single" w:sz="4" w:space="0" w:color="000000"/>
              <w:left w:val="single" w:sz="4" w:space="0" w:color="000000"/>
              <w:bottom w:val="single" w:sz="4" w:space="0" w:color="000000"/>
              <w:right w:val="single" w:sz="4" w:space="0" w:color="000000"/>
            </w:tcBorders>
          </w:tcPr>
          <w:p w14:paraId="24176E61"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31F2566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8E8AA9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0E55D8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A4151B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6E7CAB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0559B3E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D56F5A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6C1A56D0" w14:textId="77777777" w:rsidR="00580D8F" w:rsidRDefault="00580D8F">
            <w:pPr>
              <w:rPr>
                <w:rFonts w:asciiTheme="minorHAnsi" w:hAnsiTheme="minorHAnsi" w:cstheme="minorHAnsi"/>
                <w:sz w:val="20"/>
                <w:szCs w:val="20"/>
              </w:rPr>
            </w:pPr>
          </w:p>
          <w:p w14:paraId="4981594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024AF26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0422BB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592E9B6"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01CD5B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D409FB4" w14:textId="77777777" w:rsidR="00580D8F" w:rsidRDefault="00580D8F">
            <w:pPr>
              <w:rPr>
                <w:rFonts w:asciiTheme="minorHAnsi" w:hAnsiTheme="minorHAnsi" w:cstheme="minorHAnsi"/>
                <w:sz w:val="20"/>
                <w:szCs w:val="20"/>
              </w:rPr>
            </w:pPr>
          </w:p>
          <w:p w14:paraId="633BB9B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0551B84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B16E76A" w14:textId="77777777" w:rsidR="00580D8F" w:rsidRDefault="00580D8F">
            <w:pPr>
              <w:rPr>
                <w:rFonts w:asciiTheme="minorHAnsi" w:hAnsiTheme="minorHAnsi" w:cstheme="minorHAnsi"/>
                <w:sz w:val="20"/>
                <w:szCs w:val="20"/>
              </w:rPr>
            </w:pPr>
          </w:p>
        </w:tc>
      </w:tr>
      <w:tr w:rsidR="00580D8F" w14:paraId="0B145D64"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4CA2EDE7"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18D9D7F"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50DFDE2A"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3.4.3: Organize a SIDS pre-conference training workshop at IWC11</w:t>
            </w:r>
          </w:p>
        </w:tc>
        <w:tc>
          <w:tcPr>
            <w:tcW w:w="534" w:type="dxa"/>
            <w:tcBorders>
              <w:top w:val="single" w:sz="4" w:space="0" w:color="000000"/>
              <w:left w:val="single" w:sz="4" w:space="0" w:color="000000"/>
              <w:bottom w:val="single" w:sz="4" w:space="0" w:color="000000"/>
              <w:right w:val="single" w:sz="4" w:space="0" w:color="000000"/>
            </w:tcBorders>
          </w:tcPr>
          <w:p w14:paraId="375AC09C"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2F9BE1D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A348FD0"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D7DDEB4"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0D5657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5A1C04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9591810"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9FD07B9"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2B1E27A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EE3737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6D1F24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F494BCA" w14:textId="77777777" w:rsidR="00580D8F" w:rsidRDefault="00580D8F">
            <w:pPr>
              <w:rPr>
                <w:rFonts w:asciiTheme="minorHAnsi" w:hAnsiTheme="minorHAnsi" w:cstheme="minorHAnsi"/>
                <w:sz w:val="20"/>
                <w:szCs w:val="20"/>
              </w:rPr>
            </w:pPr>
          </w:p>
          <w:p w14:paraId="29ED59B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W</w:t>
            </w:r>
          </w:p>
        </w:tc>
        <w:tc>
          <w:tcPr>
            <w:tcW w:w="536" w:type="dxa"/>
            <w:tcBorders>
              <w:top w:val="single" w:sz="4" w:space="0" w:color="000000"/>
              <w:left w:val="single" w:sz="4" w:space="0" w:color="000000"/>
              <w:bottom w:val="single" w:sz="4" w:space="0" w:color="000000"/>
              <w:right w:val="single" w:sz="4" w:space="0" w:color="000000"/>
            </w:tcBorders>
          </w:tcPr>
          <w:p w14:paraId="11980A2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0C9CB3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884CE8D"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09F4B019" w14:textId="77777777" w:rsidR="00580D8F" w:rsidRDefault="00580D8F">
            <w:pPr>
              <w:rPr>
                <w:rFonts w:asciiTheme="minorHAnsi" w:hAnsiTheme="minorHAnsi" w:cstheme="minorHAnsi"/>
                <w:sz w:val="20"/>
                <w:szCs w:val="20"/>
              </w:rPr>
            </w:pPr>
          </w:p>
        </w:tc>
      </w:tr>
      <w:tr w:rsidR="00580D8F" w:rsidRPr="00580D8F" w14:paraId="2B8798D6" w14:textId="77777777" w:rsidTr="00580D8F">
        <w:tc>
          <w:tcPr>
            <w:tcW w:w="1623" w:type="dxa"/>
            <w:vMerge w:val="restart"/>
            <w:tcBorders>
              <w:top w:val="single" w:sz="4" w:space="0" w:color="000000"/>
              <w:left w:val="single" w:sz="4" w:space="0" w:color="000000"/>
              <w:bottom w:val="single" w:sz="4" w:space="0" w:color="000000"/>
              <w:right w:val="single" w:sz="4" w:space="0" w:color="000000"/>
            </w:tcBorders>
            <w:hideMark/>
          </w:tcPr>
          <w:p w14:paraId="274F828C"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4: Deliver Support to Surface Freshwater, Groundwater and Large Marine Ecosystem Subsets in Support of Portfolio Strategic</w:t>
            </w: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304FF7B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4.1: Knowledge exchanges on Water, Food, Energy and Environmental Security in transboundary basins</w:t>
            </w:r>
          </w:p>
        </w:tc>
        <w:tc>
          <w:tcPr>
            <w:tcW w:w="2407" w:type="dxa"/>
            <w:tcBorders>
              <w:top w:val="single" w:sz="4" w:space="0" w:color="000000"/>
              <w:left w:val="single" w:sz="4" w:space="0" w:color="000000"/>
              <w:bottom w:val="single" w:sz="4" w:space="0" w:color="000000"/>
              <w:right w:val="single" w:sz="4" w:space="0" w:color="000000"/>
            </w:tcBorders>
            <w:hideMark/>
          </w:tcPr>
          <w:p w14:paraId="06DE426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4.1.1: </w:t>
            </w:r>
            <w:r>
              <w:rPr>
                <w:rFonts w:asciiTheme="minorHAnsi" w:hAnsiTheme="minorHAnsi" w:cstheme="minorHAnsi"/>
                <w:color w:val="000000"/>
                <w:sz w:val="20"/>
                <w:szCs w:val="20"/>
              </w:rPr>
              <w:t>Development of a toolbox platform identifying water-energy-food-ecosystem models, tools and case studies, including a synthesis of Nexus investments</w:t>
            </w:r>
          </w:p>
        </w:tc>
        <w:tc>
          <w:tcPr>
            <w:tcW w:w="534" w:type="dxa"/>
            <w:tcBorders>
              <w:top w:val="single" w:sz="4" w:space="0" w:color="000000"/>
              <w:left w:val="single" w:sz="4" w:space="0" w:color="000000"/>
              <w:bottom w:val="single" w:sz="4" w:space="0" w:color="000000"/>
              <w:right w:val="single" w:sz="4" w:space="0" w:color="000000"/>
            </w:tcBorders>
          </w:tcPr>
          <w:p w14:paraId="17A641FC"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603E2ED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C980D8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04CC87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CB2784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5BE3FB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6E9E857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2727B4C"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CF0E97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138CEA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B5B8E8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27829B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26E5F6D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F3ADB3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FF8894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CB80AEB" w14:textId="77777777" w:rsidR="00580D8F" w:rsidRDefault="00580D8F">
            <w:pPr>
              <w:rPr>
                <w:rFonts w:asciiTheme="minorHAnsi" w:hAnsiTheme="minorHAnsi" w:cstheme="minorHAnsi"/>
                <w:sz w:val="20"/>
                <w:szCs w:val="20"/>
              </w:rPr>
            </w:pPr>
          </w:p>
        </w:tc>
      </w:tr>
      <w:tr w:rsidR="00580D8F" w:rsidRPr="00580D8F" w14:paraId="32529330"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BFF1DD1"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552786C2"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6869A447"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4.1.2: Development of guidance on how to use Nexus investments to reinforce Strategic Action Programs, including supplemental guidance in the TDA-SAP Methodology</w:t>
            </w:r>
          </w:p>
        </w:tc>
        <w:tc>
          <w:tcPr>
            <w:tcW w:w="534" w:type="dxa"/>
            <w:tcBorders>
              <w:top w:val="single" w:sz="4" w:space="0" w:color="000000"/>
              <w:left w:val="single" w:sz="4" w:space="0" w:color="000000"/>
              <w:bottom w:val="single" w:sz="4" w:space="0" w:color="000000"/>
              <w:right w:val="single" w:sz="4" w:space="0" w:color="000000"/>
            </w:tcBorders>
          </w:tcPr>
          <w:p w14:paraId="37D035E6"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49B086E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435322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7D1C5E7"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25A2108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561BEB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1DDABD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0158C7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5BB017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233B6E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4FB9342"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24D0352"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3F85516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890DCD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875310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2E76675" w14:textId="77777777" w:rsidR="00580D8F" w:rsidRDefault="00580D8F">
            <w:pPr>
              <w:rPr>
                <w:rFonts w:asciiTheme="minorHAnsi" w:hAnsiTheme="minorHAnsi" w:cstheme="minorHAnsi"/>
                <w:sz w:val="20"/>
                <w:szCs w:val="20"/>
              </w:rPr>
            </w:pPr>
          </w:p>
        </w:tc>
      </w:tr>
      <w:tr w:rsidR="00580D8F" w14:paraId="5B92218F"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24E55582"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0D0E1121"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6FB3DB9A"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4.1.3: Dissemination of results of the ISWEL project approaches and other approaches through targeted workshops in all GEF regions and IWCs</w:t>
            </w:r>
          </w:p>
        </w:tc>
        <w:tc>
          <w:tcPr>
            <w:tcW w:w="534" w:type="dxa"/>
            <w:tcBorders>
              <w:top w:val="single" w:sz="4" w:space="0" w:color="000000"/>
              <w:left w:val="single" w:sz="4" w:space="0" w:color="000000"/>
              <w:bottom w:val="single" w:sz="4" w:space="0" w:color="000000"/>
              <w:right w:val="single" w:sz="4" w:space="0" w:color="000000"/>
            </w:tcBorders>
          </w:tcPr>
          <w:p w14:paraId="61FCA11F"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33BE1DF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F9088AA" w14:textId="77777777" w:rsidR="00580D8F" w:rsidRDefault="00580D8F">
            <w:pPr>
              <w:rPr>
                <w:rFonts w:asciiTheme="minorHAnsi" w:hAnsiTheme="minorHAnsi" w:cstheme="minorHAnsi"/>
                <w:sz w:val="20"/>
                <w:szCs w:val="20"/>
              </w:rPr>
            </w:pPr>
          </w:p>
          <w:p w14:paraId="06D7A5D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A0313C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319D8B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19B92C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185B0C9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7FF49C8"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7BE75B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0B5E0D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C7F744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09C3E95" w14:textId="77777777" w:rsidR="00580D8F" w:rsidRDefault="00580D8F">
            <w:pPr>
              <w:rPr>
                <w:rFonts w:asciiTheme="minorHAnsi" w:hAnsiTheme="minorHAnsi" w:cstheme="minorHAnsi"/>
                <w:sz w:val="20"/>
                <w:szCs w:val="20"/>
              </w:rPr>
            </w:pPr>
          </w:p>
          <w:p w14:paraId="25198BF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601B07D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80810F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880332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937C520" w14:textId="77777777" w:rsidR="00580D8F" w:rsidRDefault="00580D8F">
            <w:pPr>
              <w:rPr>
                <w:rFonts w:asciiTheme="minorHAnsi" w:hAnsiTheme="minorHAnsi" w:cstheme="minorHAnsi"/>
                <w:sz w:val="20"/>
                <w:szCs w:val="20"/>
              </w:rPr>
            </w:pPr>
          </w:p>
        </w:tc>
      </w:tr>
      <w:tr w:rsidR="00580D8F" w14:paraId="45BFBFB7"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01E48FD"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74E2C3CF"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3A7EDB5A" w14:textId="77777777" w:rsidR="00580D8F" w:rsidRDefault="00580D8F">
            <w:pPr>
              <w:ind w:left="34"/>
              <w:rPr>
                <w:rFonts w:asciiTheme="minorHAnsi" w:hAnsiTheme="minorHAnsi" w:cstheme="minorHAnsi"/>
                <w:sz w:val="20"/>
                <w:szCs w:val="20"/>
              </w:rPr>
            </w:pPr>
            <w:r>
              <w:rPr>
                <w:rFonts w:asciiTheme="minorHAnsi" w:hAnsiTheme="minorHAnsi" w:cstheme="minorHAnsi"/>
                <w:color w:val="000000"/>
                <w:sz w:val="20"/>
                <w:szCs w:val="20"/>
              </w:rPr>
              <w:t xml:space="preserve">4.1.4: Support Nexus Roundtables in 3 project contexts, involving the participation of representatives of major economic sectors and policymakers and featuring a new policy considerations simulation </w:t>
            </w:r>
          </w:p>
        </w:tc>
        <w:tc>
          <w:tcPr>
            <w:tcW w:w="534" w:type="dxa"/>
            <w:tcBorders>
              <w:top w:val="single" w:sz="4" w:space="0" w:color="000000"/>
              <w:left w:val="single" w:sz="4" w:space="0" w:color="000000"/>
              <w:bottom w:val="single" w:sz="4" w:space="0" w:color="000000"/>
              <w:right w:val="single" w:sz="4" w:space="0" w:color="000000"/>
            </w:tcBorders>
          </w:tcPr>
          <w:p w14:paraId="2FB1EEF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829BA2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3D708A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B7438D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4B4D30A" w14:textId="77777777" w:rsidR="00580D8F" w:rsidRDefault="00580D8F">
            <w:pPr>
              <w:rPr>
                <w:rFonts w:asciiTheme="minorHAnsi" w:hAnsiTheme="minorHAnsi" w:cstheme="minorHAnsi"/>
                <w:sz w:val="20"/>
                <w:szCs w:val="20"/>
              </w:rPr>
            </w:pPr>
          </w:p>
          <w:p w14:paraId="1810FF20" w14:textId="77777777" w:rsidR="00580D8F" w:rsidRDefault="00580D8F">
            <w:pPr>
              <w:rPr>
                <w:rFonts w:asciiTheme="minorHAnsi" w:hAnsiTheme="minorHAnsi" w:cstheme="minorHAnsi"/>
                <w:sz w:val="20"/>
                <w:szCs w:val="20"/>
              </w:rPr>
            </w:pPr>
          </w:p>
          <w:p w14:paraId="5F1835F5" w14:textId="77777777" w:rsidR="00580D8F" w:rsidRDefault="00580D8F">
            <w:pPr>
              <w:rPr>
                <w:rFonts w:asciiTheme="minorHAnsi" w:hAnsiTheme="minorHAnsi" w:cstheme="minorHAnsi"/>
                <w:sz w:val="20"/>
                <w:szCs w:val="20"/>
              </w:rPr>
            </w:pPr>
          </w:p>
          <w:p w14:paraId="3EDACED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94" w:type="dxa"/>
            <w:tcBorders>
              <w:top w:val="single" w:sz="4" w:space="0" w:color="000000"/>
              <w:left w:val="single" w:sz="4" w:space="0" w:color="000000"/>
              <w:bottom w:val="single" w:sz="4" w:space="0" w:color="000000"/>
              <w:right w:val="single" w:sz="4" w:space="0" w:color="000000"/>
            </w:tcBorders>
          </w:tcPr>
          <w:p w14:paraId="6B3E225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9B73BD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57F8CC9"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948C127" w14:textId="77777777" w:rsidR="00580D8F" w:rsidRDefault="00580D8F">
            <w:pPr>
              <w:rPr>
                <w:rFonts w:asciiTheme="minorHAnsi" w:hAnsiTheme="minorHAnsi" w:cstheme="minorHAnsi"/>
                <w:sz w:val="20"/>
                <w:szCs w:val="20"/>
              </w:rPr>
            </w:pPr>
          </w:p>
          <w:p w14:paraId="5726CF9B" w14:textId="77777777" w:rsidR="00580D8F" w:rsidRDefault="00580D8F">
            <w:pPr>
              <w:rPr>
                <w:rFonts w:asciiTheme="minorHAnsi" w:hAnsiTheme="minorHAnsi" w:cstheme="minorHAnsi"/>
                <w:sz w:val="20"/>
                <w:szCs w:val="20"/>
              </w:rPr>
            </w:pPr>
          </w:p>
          <w:p w14:paraId="06F7505E" w14:textId="77777777" w:rsidR="00580D8F" w:rsidRDefault="00580D8F">
            <w:pPr>
              <w:rPr>
                <w:rFonts w:asciiTheme="minorHAnsi" w:hAnsiTheme="minorHAnsi" w:cstheme="minorHAnsi"/>
                <w:sz w:val="20"/>
                <w:szCs w:val="20"/>
              </w:rPr>
            </w:pPr>
          </w:p>
          <w:p w14:paraId="58D2DE9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94" w:type="dxa"/>
            <w:tcBorders>
              <w:top w:val="single" w:sz="4" w:space="0" w:color="000000"/>
              <w:left w:val="single" w:sz="4" w:space="0" w:color="000000"/>
              <w:bottom w:val="single" w:sz="4" w:space="0" w:color="000000"/>
              <w:right w:val="single" w:sz="4" w:space="0" w:color="000000"/>
            </w:tcBorders>
          </w:tcPr>
          <w:p w14:paraId="2CB1584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A93D84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4DD291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37EE0AD" w14:textId="77777777" w:rsidR="00580D8F" w:rsidRDefault="00580D8F">
            <w:pPr>
              <w:rPr>
                <w:rFonts w:asciiTheme="minorHAnsi" w:hAnsiTheme="minorHAnsi" w:cstheme="minorHAnsi"/>
                <w:sz w:val="20"/>
                <w:szCs w:val="20"/>
              </w:rPr>
            </w:pPr>
          </w:p>
          <w:p w14:paraId="257E2DF5" w14:textId="77777777" w:rsidR="00580D8F" w:rsidRDefault="00580D8F">
            <w:pPr>
              <w:rPr>
                <w:rFonts w:asciiTheme="minorHAnsi" w:hAnsiTheme="minorHAnsi" w:cstheme="minorHAnsi"/>
                <w:sz w:val="20"/>
                <w:szCs w:val="20"/>
              </w:rPr>
            </w:pPr>
          </w:p>
          <w:p w14:paraId="74B5D310" w14:textId="77777777" w:rsidR="00580D8F" w:rsidRDefault="00580D8F">
            <w:pPr>
              <w:rPr>
                <w:rFonts w:asciiTheme="minorHAnsi" w:hAnsiTheme="minorHAnsi" w:cstheme="minorHAnsi"/>
                <w:sz w:val="20"/>
                <w:szCs w:val="20"/>
              </w:rPr>
            </w:pPr>
          </w:p>
          <w:p w14:paraId="7E6EFC7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73" w:type="dxa"/>
            <w:tcBorders>
              <w:top w:val="single" w:sz="4" w:space="0" w:color="000000"/>
              <w:left w:val="single" w:sz="4" w:space="0" w:color="000000"/>
              <w:bottom w:val="single" w:sz="4" w:space="0" w:color="000000"/>
              <w:right w:val="single" w:sz="4" w:space="0" w:color="000000"/>
            </w:tcBorders>
          </w:tcPr>
          <w:p w14:paraId="02D7E0D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EDA0EF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E7E1385" w14:textId="77777777" w:rsidR="00580D8F" w:rsidRDefault="00580D8F">
            <w:pPr>
              <w:rPr>
                <w:rFonts w:asciiTheme="minorHAnsi" w:hAnsiTheme="minorHAnsi" w:cstheme="minorHAnsi"/>
                <w:sz w:val="20"/>
                <w:szCs w:val="20"/>
              </w:rPr>
            </w:pPr>
          </w:p>
        </w:tc>
      </w:tr>
      <w:tr w:rsidR="00580D8F" w14:paraId="510E73DD"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682AA69F"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4747051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4.2: Exchanges to promote conjunctive </w:t>
            </w:r>
            <w:r>
              <w:rPr>
                <w:rFonts w:asciiTheme="minorHAnsi" w:hAnsiTheme="minorHAnsi" w:cstheme="minorHAnsi"/>
                <w:sz w:val="20"/>
                <w:szCs w:val="20"/>
              </w:rPr>
              <w:lastRenderedPageBreak/>
              <w:t>management through governance of freshwater in GEF projects, both groundwater and surface water, as well as with coastal and ocean projects</w:t>
            </w:r>
          </w:p>
        </w:tc>
        <w:tc>
          <w:tcPr>
            <w:tcW w:w="2407" w:type="dxa"/>
            <w:tcBorders>
              <w:top w:val="single" w:sz="4" w:space="0" w:color="000000"/>
              <w:left w:val="single" w:sz="4" w:space="0" w:color="000000"/>
              <w:bottom w:val="single" w:sz="4" w:space="0" w:color="000000"/>
              <w:right w:val="single" w:sz="4" w:space="0" w:color="000000"/>
            </w:tcBorders>
            <w:hideMark/>
          </w:tcPr>
          <w:p w14:paraId="0A9C243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lastRenderedPageBreak/>
              <w:t xml:space="preserve">4.2.1: Dialogues to promote conjunctive management of surface </w:t>
            </w:r>
            <w:r>
              <w:rPr>
                <w:rFonts w:asciiTheme="minorHAnsi" w:hAnsiTheme="minorHAnsi" w:cstheme="minorHAnsi"/>
                <w:sz w:val="20"/>
                <w:szCs w:val="20"/>
              </w:rPr>
              <w:lastRenderedPageBreak/>
              <w:t>water and groundwater GEF projects</w:t>
            </w:r>
          </w:p>
        </w:tc>
        <w:tc>
          <w:tcPr>
            <w:tcW w:w="534" w:type="dxa"/>
            <w:tcBorders>
              <w:top w:val="single" w:sz="4" w:space="0" w:color="000000"/>
              <w:left w:val="single" w:sz="4" w:space="0" w:color="000000"/>
              <w:bottom w:val="single" w:sz="4" w:space="0" w:color="000000"/>
              <w:right w:val="single" w:sz="4" w:space="0" w:color="000000"/>
            </w:tcBorders>
          </w:tcPr>
          <w:p w14:paraId="232552E7"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69EA3F5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A8D854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23F2BB2" w14:textId="77777777" w:rsidR="00580D8F" w:rsidRDefault="00580D8F">
            <w:pPr>
              <w:rPr>
                <w:rFonts w:asciiTheme="minorHAnsi" w:hAnsiTheme="minorHAnsi" w:cstheme="minorHAnsi"/>
                <w:sz w:val="20"/>
                <w:szCs w:val="20"/>
              </w:rPr>
            </w:pPr>
          </w:p>
          <w:p w14:paraId="4C7C0DE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GD/</w:t>
            </w:r>
          </w:p>
          <w:p w14:paraId="4E2E2046"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535" w:type="dxa"/>
            <w:tcBorders>
              <w:top w:val="single" w:sz="4" w:space="0" w:color="000000"/>
              <w:left w:val="single" w:sz="4" w:space="0" w:color="000000"/>
              <w:bottom w:val="single" w:sz="4" w:space="0" w:color="000000"/>
              <w:right w:val="single" w:sz="4" w:space="0" w:color="000000"/>
            </w:tcBorders>
          </w:tcPr>
          <w:p w14:paraId="5A99079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BC5878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3EDCF3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5334426" w14:textId="77777777" w:rsidR="00580D8F" w:rsidRDefault="00580D8F">
            <w:pPr>
              <w:rPr>
                <w:rFonts w:asciiTheme="minorHAnsi" w:hAnsiTheme="minorHAnsi" w:cstheme="minorHAnsi"/>
                <w:sz w:val="20"/>
                <w:szCs w:val="20"/>
              </w:rPr>
            </w:pPr>
          </w:p>
          <w:p w14:paraId="4ACA577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GD/</w:t>
            </w:r>
          </w:p>
          <w:p w14:paraId="4F8A859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535" w:type="dxa"/>
            <w:tcBorders>
              <w:top w:val="single" w:sz="4" w:space="0" w:color="000000"/>
              <w:left w:val="single" w:sz="4" w:space="0" w:color="000000"/>
              <w:bottom w:val="single" w:sz="4" w:space="0" w:color="000000"/>
              <w:right w:val="single" w:sz="4" w:space="0" w:color="000000"/>
            </w:tcBorders>
          </w:tcPr>
          <w:p w14:paraId="1032BF8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5EA6C3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D457EF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E240060" w14:textId="77777777" w:rsidR="00580D8F" w:rsidRDefault="00580D8F">
            <w:pPr>
              <w:rPr>
                <w:rFonts w:asciiTheme="minorHAnsi" w:hAnsiTheme="minorHAnsi" w:cstheme="minorHAnsi"/>
                <w:sz w:val="20"/>
                <w:szCs w:val="20"/>
              </w:rPr>
            </w:pPr>
          </w:p>
          <w:p w14:paraId="062F436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GD/</w:t>
            </w:r>
          </w:p>
          <w:p w14:paraId="5E38DEA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536" w:type="dxa"/>
            <w:tcBorders>
              <w:top w:val="single" w:sz="4" w:space="0" w:color="000000"/>
              <w:left w:val="single" w:sz="4" w:space="0" w:color="000000"/>
              <w:bottom w:val="single" w:sz="4" w:space="0" w:color="000000"/>
              <w:right w:val="single" w:sz="4" w:space="0" w:color="000000"/>
            </w:tcBorders>
          </w:tcPr>
          <w:p w14:paraId="46C223D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0E5453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69D60F2"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E9CD119" w14:textId="77777777" w:rsidR="00580D8F" w:rsidRDefault="00580D8F">
            <w:pPr>
              <w:rPr>
                <w:rFonts w:asciiTheme="minorHAnsi" w:hAnsiTheme="minorHAnsi" w:cstheme="minorHAnsi"/>
                <w:sz w:val="20"/>
                <w:szCs w:val="20"/>
              </w:rPr>
            </w:pPr>
          </w:p>
        </w:tc>
      </w:tr>
      <w:tr w:rsidR="00580D8F" w14:paraId="3F6FC404"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327FBF93"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69E53F85"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1AC2B85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4.2.2: </w:t>
            </w:r>
            <w:r>
              <w:rPr>
                <w:rFonts w:asciiTheme="minorHAnsi" w:hAnsiTheme="minorHAnsi" w:cstheme="minorHAnsi"/>
                <w:color w:val="000000"/>
                <w:sz w:val="20"/>
                <w:szCs w:val="20"/>
              </w:rPr>
              <w:t>Enhance the capacity of the GEF projects in groundwater governance issues</w:t>
            </w:r>
          </w:p>
        </w:tc>
        <w:tc>
          <w:tcPr>
            <w:tcW w:w="534" w:type="dxa"/>
            <w:tcBorders>
              <w:top w:val="single" w:sz="4" w:space="0" w:color="000000"/>
              <w:left w:val="single" w:sz="4" w:space="0" w:color="000000"/>
              <w:bottom w:val="single" w:sz="4" w:space="0" w:color="000000"/>
              <w:right w:val="single" w:sz="4" w:space="0" w:color="000000"/>
            </w:tcBorders>
          </w:tcPr>
          <w:p w14:paraId="3B26D871"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C4A440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820F712"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3B3334D"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CC3C89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DF25A56" w14:textId="77777777" w:rsidR="00580D8F" w:rsidRDefault="00580D8F">
            <w:pPr>
              <w:rPr>
                <w:rFonts w:asciiTheme="minorHAnsi" w:hAnsiTheme="minorHAnsi" w:cstheme="minorHAnsi"/>
                <w:sz w:val="20"/>
                <w:szCs w:val="20"/>
              </w:rPr>
            </w:pPr>
          </w:p>
          <w:p w14:paraId="3580722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73" w:type="dxa"/>
            <w:tcBorders>
              <w:top w:val="single" w:sz="4" w:space="0" w:color="000000"/>
              <w:left w:val="single" w:sz="4" w:space="0" w:color="000000"/>
              <w:bottom w:val="single" w:sz="4" w:space="0" w:color="000000"/>
              <w:right w:val="single" w:sz="4" w:space="0" w:color="000000"/>
            </w:tcBorders>
          </w:tcPr>
          <w:p w14:paraId="1BA82500"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CA03AE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49FFA75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FC2EFF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47CEE9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67DAB7B4"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4CC656D9" w14:textId="77777777" w:rsidR="00580D8F" w:rsidRDefault="00580D8F">
            <w:pPr>
              <w:rPr>
                <w:rFonts w:asciiTheme="minorHAnsi" w:hAnsiTheme="minorHAnsi" w:cstheme="minorHAnsi"/>
                <w:sz w:val="20"/>
                <w:szCs w:val="20"/>
              </w:rPr>
            </w:pPr>
          </w:p>
          <w:p w14:paraId="6FFE903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73" w:type="dxa"/>
            <w:tcBorders>
              <w:top w:val="single" w:sz="4" w:space="0" w:color="000000"/>
              <w:left w:val="single" w:sz="4" w:space="0" w:color="000000"/>
              <w:bottom w:val="single" w:sz="4" w:space="0" w:color="000000"/>
              <w:right w:val="single" w:sz="4" w:space="0" w:color="000000"/>
            </w:tcBorders>
          </w:tcPr>
          <w:p w14:paraId="13F019A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D13E21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ED4A94C" w14:textId="77777777" w:rsidR="00580D8F" w:rsidRDefault="00580D8F">
            <w:pPr>
              <w:rPr>
                <w:rFonts w:asciiTheme="minorHAnsi" w:hAnsiTheme="minorHAnsi" w:cstheme="minorHAnsi"/>
                <w:sz w:val="20"/>
                <w:szCs w:val="20"/>
              </w:rPr>
            </w:pPr>
          </w:p>
        </w:tc>
      </w:tr>
      <w:tr w:rsidR="00580D8F" w:rsidRPr="00580D8F" w14:paraId="215331E5"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3DBFAD96"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7D732F0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4.3 </w:t>
            </w:r>
            <w:r>
              <w:rPr>
                <w:rFonts w:asciiTheme="minorHAnsi" w:hAnsiTheme="minorHAnsi" w:cstheme="minorHAnsi"/>
                <w:color w:val="000000"/>
                <w:sz w:val="20"/>
                <w:szCs w:val="20"/>
              </w:rPr>
              <w:t>Training and capacity building activities in support of marine spatial planning as a tool for strengthening blue economy</w:t>
            </w:r>
            <w:r>
              <w:rPr>
                <w:rFonts w:asciiTheme="minorHAnsi" w:hAnsiTheme="minorHAnsi" w:cstheme="minorHAnsi"/>
                <w:b/>
                <w:color w:val="000000"/>
                <w:sz w:val="20"/>
                <w:szCs w:val="20"/>
              </w:rPr>
              <w:t xml:space="preserve"> </w:t>
            </w:r>
            <w:r>
              <w:rPr>
                <w:rFonts w:asciiTheme="minorHAnsi" w:hAnsiTheme="minorHAnsi" w:cstheme="minorHAnsi"/>
                <w:color w:val="000000"/>
                <w:sz w:val="20"/>
                <w:szCs w:val="20"/>
              </w:rPr>
              <w:t>opportunities</w:t>
            </w:r>
          </w:p>
        </w:tc>
        <w:tc>
          <w:tcPr>
            <w:tcW w:w="2407" w:type="dxa"/>
            <w:tcBorders>
              <w:top w:val="single" w:sz="4" w:space="0" w:color="000000"/>
              <w:left w:val="single" w:sz="4" w:space="0" w:color="000000"/>
              <w:bottom w:val="single" w:sz="4" w:space="0" w:color="000000"/>
              <w:right w:val="single" w:sz="4" w:space="0" w:color="000000"/>
            </w:tcBorders>
            <w:hideMark/>
          </w:tcPr>
          <w:p w14:paraId="46E10493"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4.3.1: Development of a practical approach to integrate MSP into the TDA-SAP process with a view to strengthening Blue Economy opportunities in Large Marine Ecosystems, and develop appropriate training material</w:t>
            </w:r>
          </w:p>
        </w:tc>
        <w:tc>
          <w:tcPr>
            <w:tcW w:w="534" w:type="dxa"/>
            <w:tcBorders>
              <w:top w:val="single" w:sz="4" w:space="0" w:color="000000"/>
              <w:left w:val="single" w:sz="4" w:space="0" w:color="000000"/>
              <w:bottom w:val="single" w:sz="4" w:space="0" w:color="000000"/>
              <w:right w:val="single" w:sz="4" w:space="0" w:color="000000"/>
            </w:tcBorders>
          </w:tcPr>
          <w:p w14:paraId="4179692C"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69C49AC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6734779"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7F89ABB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F8EA07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DAEEC9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3AB74442"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23C264E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73A6C6D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02711C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5E1D9E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4707DBB"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7A944579"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53A2B4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39BAB4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6074E49" w14:textId="77777777" w:rsidR="00580D8F" w:rsidRDefault="00580D8F">
            <w:pPr>
              <w:rPr>
                <w:rFonts w:asciiTheme="minorHAnsi" w:hAnsiTheme="minorHAnsi" w:cstheme="minorHAnsi"/>
                <w:sz w:val="20"/>
                <w:szCs w:val="20"/>
              </w:rPr>
            </w:pPr>
          </w:p>
        </w:tc>
      </w:tr>
      <w:tr w:rsidR="00580D8F" w14:paraId="4112D0FD"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FADDCD6"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1BFDAB87"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6DAA0CD8"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4.3.2: Work with partners and/or GEF IW projects to organize a series of at least three (3) regional trainings on basic concepts and specific technical issues of MSP</w:t>
            </w:r>
          </w:p>
        </w:tc>
        <w:tc>
          <w:tcPr>
            <w:tcW w:w="534" w:type="dxa"/>
            <w:tcBorders>
              <w:top w:val="single" w:sz="4" w:space="0" w:color="000000"/>
              <w:left w:val="single" w:sz="4" w:space="0" w:color="000000"/>
              <w:bottom w:val="single" w:sz="4" w:space="0" w:color="000000"/>
              <w:right w:val="single" w:sz="4" w:space="0" w:color="000000"/>
            </w:tcBorders>
          </w:tcPr>
          <w:p w14:paraId="2FBB9A27"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4B15A25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802753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158B2D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32D21B2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4169803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76882EB" w14:textId="77777777" w:rsidR="00580D8F" w:rsidRDefault="00580D8F">
            <w:pPr>
              <w:rPr>
                <w:rFonts w:asciiTheme="minorHAnsi" w:hAnsiTheme="minorHAnsi" w:cstheme="minorHAnsi"/>
                <w:sz w:val="20"/>
                <w:szCs w:val="20"/>
              </w:rPr>
            </w:pPr>
          </w:p>
          <w:p w14:paraId="4F73290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43" w:type="dxa"/>
            <w:tcBorders>
              <w:top w:val="single" w:sz="4" w:space="0" w:color="000000"/>
              <w:left w:val="single" w:sz="4" w:space="0" w:color="000000"/>
              <w:bottom w:val="single" w:sz="4" w:space="0" w:color="000000"/>
              <w:right w:val="single" w:sz="4" w:space="0" w:color="000000"/>
            </w:tcBorders>
          </w:tcPr>
          <w:p w14:paraId="0FFA6344"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3BEDA2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BC3073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3F7CF86" w14:textId="77777777" w:rsidR="00580D8F" w:rsidRDefault="00580D8F">
            <w:pPr>
              <w:rPr>
                <w:rFonts w:asciiTheme="minorHAnsi" w:hAnsiTheme="minorHAnsi" w:cstheme="minorHAnsi"/>
                <w:sz w:val="20"/>
                <w:szCs w:val="20"/>
              </w:rPr>
            </w:pPr>
          </w:p>
          <w:p w14:paraId="74E110A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43" w:type="dxa"/>
            <w:tcBorders>
              <w:top w:val="single" w:sz="4" w:space="0" w:color="000000"/>
              <w:left w:val="single" w:sz="4" w:space="0" w:color="000000"/>
              <w:bottom w:val="single" w:sz="4" w:space="0" w:color="000000"/>
              <w:right w:val="single" w:sz="4" w:space="0" w:color="000000"/>
            </w:tcBorders>
          </w:tcPr>
          <w:p w14:paraId="7948FA15"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7FAEFDF9"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77522D8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6A92F18" w14:textId="77777777" w:rsidR="00580D8F" w:rsidRDefault="00580D8F">
            <w:pPr>
              <w:rPr>
                <w:rFonts w:asciiTheme="minorHAnsi" w:hAnsiTheme="minorHAnsi" w:cstheme="minorHAnsi"/>
                <w:sz w:val="20"/>
                <w:szCs w:val="20"/>
              </w:rPr>
            </w:pPr>
          </w:p>
          <w:p w14:paraId="4380753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73" w:type="dxa"/>
            <w:tcBorders>
              <w:top w:val="single" w:sz="4" w:space="0" w:color="000000"/>
              <w:left w:val="single" w:sz="4" w:space="0" w:color="000000"/>
              <w:bottom w:val="single" w:sz="4" w:space="0" w:color="000000"/>
              <w:right w:val="single" w:sz="4" w:space="0" w:color="000000"/>
            </w:tcBorders>
          </w:tcPr>
          <w:p w14:paraId="321DECD1" w14:textId="77777777" w:rsidR="00580D8F" w:rsidRDefault="00580D8F">
            <w:pPr>
              <w:rPr>
                <w:rFonts w:asciiTheme="minorHAnsi" w:hAnsiTheme="minorHAnsi" w:cstheme="minorHAnsi"/>
                <w:sz w:val="20"/>
                <w:szCs w:val="20"/>
              </w:rPr>
            </w:pPr>
          </w:p>
        </w:tc>
      </w:tr>
      <w:tr w:rsidR="00580D8F" w14:paraId="756B3DA2"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9E84332"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E667B01"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2C89A4CA"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4.3.3: Work with partners and/or GEF IW projects to organize a series of at least three (3) regional trainings on MSP for Blue Economy in the context of the TDA-SAP process</w:t>
            </w:r>
          </w:p>
        </w:tc>
        <w:tc>
          <w:tcPr>
            <w:tcW w:w="534" w:type="dxa"/>
            <w:tcBorders>
              <w:top w:val="single" w:sz="4" w:space="0" w:color="000000"/>
              <w:left w:val="single" w:sz="4" w:space="0" w:color="000000"/>
              <w:bottom w:val="single" w:sz="4" w:space="0" w:color="000000"/>
              <w:right w:val="single" w:sz="4" w:space="0" w:color="000000"/>
            </w:tcBorders>
          </w:tcPr>
          <w:p w14:paraId="3783A18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4FD901E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32ABB6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96553DD"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2F4F0427" w14:textId="77777777" w:rsidR="00580D8F" w:rsidRDefault="00580D8F">
            <w:pPr>
              <w:rPr>
                <w:rFonts w:asciiTheme="minorHAnsi" w:hAnsiTheme="minorHAnsi" w:cstheme="minorHAnsi"/>
                <w:sz w:val="20"/>
                <w:szCs w:val="20"/>
              </w:rPr>
            </w:pPr>
          </w:p>
          <w:p w14:paraId="055F0EDC" w14:textId="77777777" w:rsidR="00580D8F" w:rsidRDefault="00580D8F">
            <w:pPr>
              <w:rPr>
                <w:rFonts w:asciiTheme="minorHAnsi" w:hAnsiTheme="minorHAnsi" w:cstheme="minorHAnsi"/>
                <w:sz w:val="20"/>
                <w:szCs w:val="20"/>
              </w:rPr>
            </w:pPr>
          </w:p>
          <w:p w14:paraId="2AC9B45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17190E3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3743BAF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C692F50"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2A48DAC5" w14:textId="77777777" w:rsidR="00580D8F" w:rsidRDefault="00580D8F">
            <w:pPr>
              <w:rPr>
                <w:rFonts w:asciiTheme="minorHAnsi" w:hAnsiTheme="minorHAnsi" w:cstheme="minorHAnsi"/>
                <w:sz w:val="20"/>
                <w:szCs w:val="20"/>
              </w:rPr>
            </w:pPr>
          </w:p>
          <w:p w14:paraId="47FD6EB7" w14:textId="77777777" w:rsidR="00580D8F" w:rsidRDefault="00580D8F">
            <w:pPr>
              <w:rPr>
                <w:rFonts w:asciiTheme="minorHAnsi" w:hAnsiTheme="minorHAnsi" w:cstheme="minorHAnsi"/>
                <w:sz w:val="20"/>
                <w:szCs w:val="20"/>
              </w:rPr>
            </w:pPr>
          </w:p>
          <w:p w14:paraId="608D305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2383FC2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96D44C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FF358C3"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5A0F09C" w14:textId="77777777" w:rsidR="00580D8F" w:rsidRDefault="00580D8F">
            <w:pPr>
              <w:rPr>
                <w:rFonts w:asciiTheme="minorHAnsi" w:hAnsiTheme="minorHAnsi" w:cstheme="minorHAnsi"/>
                <w:sz w:val="20"/>
                <w:szCs w:val="20"/>
              </w:rPr>
            </w:pPr>
          </w:p>
          <w:p w14:paraId="0A3B33E4" w14:textId="77777777" w:rsidR="00580D8F" w:rsidRDefault="00580D8F">
            <w:pPr>
              <w:rPr>
                <w:rFonts w:asciiTheme="minorHAnsi" w:hAnsiTheme="minorHAnsi" w:cstheme="minorHAnsi"/>
                <w:sz w:val="20"/>
                <w:szCs w:val="20"/>
              </w:rPr>
            </w:pPr>
          </w:p>
          <w:p w14:paraId="1C42738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73" w:type="dxa"/>
            <w:tcBorders>
              <w:top w:val="single" w:sz="4" w:space="0" w:color="000000"/>
              <w:left w:val="single" w:sz="4" w:space="0" w:color="000000"/>
              <w:bottom w:val="single" w:sz="4" w:space="0" w:color="000000"/>
              <w:right w:val="single" w:sz="4" w:space="0" w:color="000000"/>
            </w:tcBorders>
          </w:tcPr>
          <w:p w14:paraId="3C575A7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E35445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C8BACA6" w14:textId="77777777" w:rsidR="00580D8F" w:rsidRDefault="00580D8F">
            <w:pPr>
              <w:rPr>
                <w:rFonts w:asciiTheme="minorHAnsi" w:hAnsiTheme="minorHAnsi" w:cstheme="minorHAnsi"/>
                <w:sz w:val="20"/>
                <w:szCs w:val="20"/>
              </w:rPr>
            </w:pPr>
          </w:p>
        </w:tc>
      </w:tr>
      <w:tr w:rsidR="00580D8F" w14:paraId="2995411F"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2E286E2F"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6017BE2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 xml:space="preserve">4.4: Global and regional dialogue activities to promote </w:t>
            </w:r>
            <w:r>
              <w:rPr>
                <w:rFonts w:asciiTheme="minorHAnsi" w:hAnsiTheme="minorHAnsi" w:cstheme="minorHAnsi"/>
                <w:sz w:val="20"/>
                <w:szCs w:val="20"/>
              </w:rPr>
              <w:lastRenderedPageBreak/>
              <w:t>collaboration among LMEs, Regional Seas bodies and Regional Fisheries Management Organizations (RFMOs), Areas Beyond National Jurisdiction (ABNJ) and River Basin Organizations (RBOs), especially via the Annual LME Consultation</w:t>
            </w:r>
          </w:p>
        </w:tc>
        <w:tc>
          <w:tcPr>
            <w:tcW w:w="2407" w:type="dxa"/>
            <w:tcBorders>
              <w:top w:val="single" w:sz="4" w:space="0" w:color="000000"/>
              <w:left w:val="single" w:sz="4" w:space="0" w:color="000000"/>
              <w:bottom w:val="single" w:sz="4" w:space="0" w:color="000000"/>
              <w:right w:val="single" w:sz="4" w:space="0" w:color="000000"/>
            </w:tcBorders>
            <w:hideMark/>
          </w:tcPr>
          <w:p w14:paraId="09E6465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lastRenderedPageBreak/>
              <w:t xml:space="preserve">4.4.1: Strengthened Source to Sea collaboration among LMEs, Regional Seas, </w:t>
            </w:r>
            <w:r>
              <w:rPr>
                <w:rFonts w:asciiTheme="minorHAnsi" w:hAnsiTheme="minorHAnsi" w:cstheme="minorHAnsi"/>
                <w:sz w:val="20"/>
                <w:szCs w:val="20"/>
              </w:rPr>
              <w:lastRenderedPageBreak/>
              <w:t>Regional Fisheries Bodies, Areas Beyond National Jurisdiction and Freshwater Bodies through regional dialogues and simulations</w:t>
            </w:r>
          </w:p>
        </w:tc>
        <w:tc>
          <w:tcPr>
            <w:tcW w:w="534" w:type="dxa"/>
            <w:tcBorders>
              <w:top w:val="single" w:sz="4" w:space="0" w:color="000000"/>
              <w:left w:val="single" w:sz="4" w:space="0" w:color="000000"/>
              <w:bottom w:val="single" w:sz="4" w:space="0" w:color="000000"/>
              <w:right w:val="single" w:sz="4" w:space="0" w:color="000000"/>
            </w:tcBorders>
            <w:shd w:val="clear" w:color="auto" w:fill="D0CECE"/>
          </w:tcPr>
          <w:p w14:paraId="62255A95"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4E11044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DDF200A" w14:textId="77777777" w:rsidR="00580D8F" w:rsidRDefault="00580D8F">
            <w:pPr>
              <w:rPr>
                <w:rFonts w:asciiTheme="minorHAnsi" w:hAnsiTheme="minorHAnsi" w:cstheme="minorHAnsi"/>
                <w:sz w:val="20"/>
                <w:szCs w:val="20"/>
              </w:rPr>
            </w:pPr>
          </w:p>
          <w:p w14:paraId="73DD1B90" w14:textId="77777777" w:rsidR="00580D8F" w:rsidRDefault="00580D8F">
            <w:pPr>
              <w:rPr>
                <w:rFonts w:asciiTheme="minorHAnsi" w:hAnsiTheme="minorHAnsi" w:cstheme="minorHAnsi"/>
                <w:sz w:val="20"/>
                <w:szCs w:val="20"/>
              </w:rPr>
            </w:pPr>
          </w:p>
          <w:p w14:paraId="04774DF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6FF5B5F1"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4051E2E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0797CD3" w14:textId="77777777" w:rsidR="00580D8F" w:rsidRDefault="00580D8F">
            <w:pPr>
              <w:rPr>
                <w:rFonts w:asciiTheme="minorHAnsi" w:hAnsiTheme="minorHAnsi" w:cstheme="minorHAnsi"/>
                <w:sz w:val="20"/>
                <w:szCs w:val="20"/>
              </w:rPr>
            </w:pPr>
          </w:p>
          <w:p w14:paraId="6FB66F22"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4D26C4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791B70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0C27D826" w14:textId="77777777" w:rsidR="00580D8F" w:rsidRDefault="00580D8F">
            <w:pPr>
              <w:rPr>
                <w:rFonts w:asciiTheme="minorHAnsi" w:hAnsiTheme="minorHAnsi" w:cstheme="minorHAnsi"/>
                <w:sz w:val="20"/>
                <w:szCs w:val="20"/>
              </w:rPr>
            </w:pPr>
          </w:p>
          <w:p w14:paraId="6F9BD14A" w14:textId="77777777" w:rsidR="00580D8F" w:rsidRDefault="00580D8F">
            <w:pPr>
              <w:rPr>
                <w:rFonts w:asciiTheme="minorHAnsi" w:hAnsiTheme="minorHAnsi" w:cstheme="minorHAnsi"/>
                <w:sz w:val="20"/>
                <w:szCs w:val="20"/>
              </w:rPr>
            </w:pPr>
          </w:p>
          <w:p w14:paraId="47B8F98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E49440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BC46D4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39A22739" w14:textId="77777777" w:rsidR="00580D8F" w:rsidRDefault="00580D8F">
            <w:pPr>
              <w:rPr>
                <w:rFonts w:asciiTheme="minorHAnsi" w:hAnsiTheme="minorHAnsi" w:cstheme="minorHAnsi"/>
                <w:sz w:val="20"/>
                <w:szCs w:val="20"/>
              </w:rPr>
            </w:pPr>
          </w:p>
          <w:p w14:paraId="1CC7801D" w14:textId="77777777" w:rsidR="00580D8F" w:rsidRDefault="00580D8F">
            <w:pPr>
              <w:rPr>
                <w:rFonts w:asciiTheme="minorHAnsi" w:hAnsiTheme="minorHAnsi" w:cstheme="minorHAnsi"/>
                <w:sz w:val="20"/>
                <w:szCs w:val="20"/>
              </w:rPr>
            </w:pPr>
          </w:p>
          <w:p w14:paraId="2C8A9A2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5C49685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0733DF9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C1485FB" w14:textId="77777777" w:rsidR="00580D8F" w:rsidRDefault="00580D8F">
            <w:pPr>
              <w:rPr>
                <w:rFonts w:asciiTheme="minorHAnsi" w:hAnsiTheme="minorHAnsi" w:cstheme="minorHAnsi"/>
                <w:sz w:val="20"/>
                <w:szCs w:val="20"/>
              </w:rPr>
            </w:pPr>
          </w:p>
          <w:p w14:paraId="6A64D2E3" w14:textId="77777777" w:rsidR="00580D8F" w:rsidRDefault="00580D8F">
            <w:pPr>
              <w:rPr>
                <w:rFonts w:asciiTheme="minorHAnsi" w:hAnsiTheme="minorHAnsi" w:cstheme="minorHAnsi"/>
                <w:sz w:val="20"/>
                <w:szCs w:val="20"/>
              </w:rPr>
            </w:pPr>
          </w:p>
          <w:p w14:paraId="38FB2D1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16FE01BC" w14:textId="77777777" w:rsidR="00580D8F" w:rsidRDefault="00580D8F">
            <w:pPr>
              <w:rPr>
                <w:rFonts w:asciiTheme="minorHAnsi" w:hAnsiTheme="minorHAnsi" w:cstheme="minorHAnsi"/>
                <w:sz w:val="20"/>
                <w:szCs w:val="20"/>
              </w:rPr>
            </w:pPr>
          </w:p>
        </w:tc>
      </w:tr>
      <w:tr w:rsidR="00580D8F" w14:paraId="7B3B1F81"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DF00219"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5B8D6FFE"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5C0E473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4.4.2: Support to Regional Ocean Governance via the Annual Marine (LME) Consultation Process as well as other global dialogue events support</w:t>
            </w:r>
          </w:p>
        </w:tc>
        <w:tc>
          <w:tcPr>
            <w:tcW w:w="534" w:type="dxa"/>
            <w:tcBorders>
              <w:top w:val="single" w:sz="4" w:space="0" w:color="000000"/>
              <w:left w:val="single" w:sz="4" w:space="0" w:color="000000"/>
              <w:bottom w:val="single" w:sz="4" w:space="0" w:color="000000"/>
              <w:right w:val="single" w:sz="4" w:space="0" w:color="000000"/>
            </w:tcBorders>
          </w:tcPr>
          <w:p w14:paraId="2ACF61C0"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70E5C8E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A58608A" w14:textId="77777777" w:rsidR="00580D8F" w:rsidRDefault="00580D8F">
            <w:pPr>
              <w:rPr>
                <w:rFonts w:asciiTheme="minorHAnsi" w:hAnsiTheme="minorHAnsi" w:cstheme="minorHAnsi"/>
                <w:sz w:val="20"/>
                <w:szCs w:val="20"/>
              </w:rPr>
            </w:pPr>
          </w:p>
          <w:p w14:paraId="6B7C714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2011FD18"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D274EF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80D645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54CF85AB" w14:textId="77777777" w:rsidR="00580D8F" w:rsidRDefault="00580D8F">
            <w:pPr>
              <w:rPr>
                <w:rFonts w:asciiTheme="minorHAnsi" w:hAnsiTheme="minorHAnsi" w:cstheme="minorHAnsi"/>
                <w:sz w:val="20"/>
                <w:szCs w:val="20"/>
              </w:rPr>
            </w:pPr>
          </w:p>
          <w:p w14:paraId="3847DB1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37AC153C"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5FB77483"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BFDBE0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06EDBDD" w14:textId="77777777" w:rsidR="00580D8F" w:rsidRDefault="00580D8F">
            <w:pPr>
              <w:rPr>
                <w:rFonts w:asciiTheme="minorHAnsi" w:hAnsiTheme="minorHAnsi" w:cstheme="minorHAnsi"/>
                <w:sz w:val="20"/>
                <w:szCs w:val="20"/>
              </w:rPr>
            </w:pPr>
          </w:p>
          <w:p w14:paraId="67F5B3A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57F91B8D"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0AA2D7ED"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442619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1A58936" w14:textId="77777777" w:rsidR="00580D8F" w:rsidRDefault="00580D8F">
            <w:pPr>
              <w:rPr>
                <w:rFonts w:asciiTheme="minorHAnsi" w:hAnsiTheme="minorHAnsi" w:cstheme="minorHAnsi"/>
                <w:sz w:val="20"/>
                <w:szCs w:val="20"/>
              </w:rPr>
            </w:pPr>
          </w:p>
          <w:p w14:paraId="668DA36C"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73" w:type="dxa"/>
            <w:tcBorders>
              <w:top w:val="single" w:sz="4" w:space="0" w:color="000000"/>
              <w:left w:val="single" w:sz="4" w:space="0" w:color="000000"/>
              <w:bottom w:val="single" w:sz="4" w:space="0" w:color="000000"/>
              <w:right w:val="single" w:sz="4" w:space="0" w:color="000000"/>
            </w:tcBorders>
          </w:tcPr>
          <w:p w14:paraId="62C35906" w14:textId="77777777" w:rsidR="00580D8F" w:rsidRDefault="00580D8F">
            <w:pPr>
              <w:rPr>
                <w:rFonts w:asciiTheme="minorHAnsi" w:hAnsiTheme="minorHAnsi" w:cstheme="minorHAnsi"/>
                <w:sz w:val="20"/>
                <w:szCs w:val="20"/>
              </w:rPr>
            </w:pPr>
          </w:p>
        </w:tc>
      </w:tr>
      <w:tr w:rsidR="00580D8F" w14:paraId="0956A6E1"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2634A062"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4BF9A7A4"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43A128D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4.4.3 Enhancement of the TDA-SAP Methodology to integrate source-to-sea management considerations as well as gender mainstreaming</w:t>
            </w:r>
          </w:p>
        </w:tc>
        <w:tc>
          <w:tcPr>
            <w:tcW w:w="534" w:type="dxa"/>
            <w:tcBorders>
              <w:top w:val="single" w:sz="4" w:space="0" w:color="000000"/>
              <w:left w:val="single" w:sz="4" w:space="0" w:color="000000"/>
              <w:bottom w:val="single" w:sz="4" w:space="0" w:color="000000"/>
              <w:right w:val="single" w:sz="4" w:space="0" w:color="000000"/>
            </w:tcBorders>
          </w:tcPr>
          <w:p w14:paraId="18A81639"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3694DF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9DFEA1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E2488D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AA360B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8C27C43" w14:textId="77777777" w:rsidR="00580D8F" w:rsidRDefault="00580D8F">
            <w:pPr>
              <w:rPr>
                <w:rFonts w:asciiTheme="minorHAnsi" w:hAnsiTheme="minorHAnsi" w:cstheme="minorHAnsi"/>
                <w:sz w:val="20"/>
                <w:szCs w:val="20"/>
              </w:rPr>
            </w:pPr>
          </w:p>
          <w:p w14:paraId="0825F547" w14:textId="77777777" w:rsidR="00580D8F" w:rsidRDefault="00580D8F">
            <w:pPr>
              <w:rPr>
                <w:rFonts w:asciiTheme="minorHAnsi" w:hAnsiTheme="minorHAnsi" w:cstheme="minorHAnsi"/>
                <w:sz w:val="20"/>
                <w:szCs w:val="20"/>
              </w:rPr>
            </w:pPr>
          </w:p>
          <w:p w14:paraId="333F5D97"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0F6378F" w14:textId="77777777" w:rsidR="00580D8F" w:rsidRDefault="00580D8F">
            <w:pPr>
              <w:rPr>
                <w:rFonts w:asciiTheme="minorHAnsi" w:hAnsiTheme="minorHAnsi" w:cstheme="minorHAnsi"/>
                <w:sz w:val="20"/>
                <w:szCs w:val="20"/>
              </w:rPr>
            </w:pPr>
          </w:p>
          <w:p w14:paraId="20BE2A4A" w14:textId="77777777" w:rsidR="00580D8F" w:rsidRDefault="00580D8F">
            <w:pPr>
              <w:rPr>
                <w:rFonts w:asciiTheme="minorHAnsi" w:hAnsiTheme="minorHAnsi" w:cstheme="minorHAnsi"/>
                <w:sz w:val="20"/>
                <w:szCs w:val="20"/>
              </w:rPr>
            </w:pPr>
          </w:p>
          <w:p w14:paraId="3A691B5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543" w:type="dxa"/>
            <w:tcBorders>
              <w:top w:val="single" w:sz="4" w:space="0" w:color="000000"/>
              <w:left w:val="single" w:sz="4" w:space="0" w:color="000000"/>
              <w:bottom w:val="single" w:sz="4" w:space="0" w:color="000000"/>
              <w:right w:val="single" w:sz="4" w:space="0" w:color="000000"/>
            </w:tcBorders>
          </w:tcPr>
          <w:p w14:paraId="6D4ADD3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C15E73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F55020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B3B8B8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665853A"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0FB4D63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78AD52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41FCC21"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2E6BFBE" w14:textId="77777777" w:rsidR="00580D8F" w:rsidRDefault="00580D8F">
            <w:pPr>
              <w:rPr>
                <w:rFonts w:asciiTheme="minorHAnsi" w:hAnsiTheme="minorHAnsi" w:cstheme="minorHAnsi"/>
                <w:sz w:val="20"/>
                <w:szCs w:val="20"/>
              </w:rPr>
            </w:pPr>
          </w:p>
        </w:tc>
      </w:tr>
      <w:tr w:rsidR="00580D8F" w14:paraId="5B381240" w14:textId="77777777" w:rsidTr="00580D8F">
        <w:tc>
          <w:tcPr>
            <w:tcW w:w="1623" w:type="dxa"/>
            <w:vMerge w:val="restart"/>
            <w:tcBorders>
              <w:top w:val="single" w:sz="4" w:space="0" w:color="000000"/>
              <w:left w:val="single" w:sz="4" w:space="0" w:color="000000"/>
              <w:bottom w:val="single" w:sz="4" w:space="0" w:color="000000"/>
              <w:right w:val="single" w:sz="4" w:space="0" w:color="000000"/>
            </w:tcBorders>
            <w:hideMark/>
          </w:tcPr>
          <w:p w14:paraId="5C4CCAD2"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 Mobilize Public and Private Partnership to Enhance Long-term Sustainability of Project Interventions</w:t>
            </w: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090DC644"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5.1: Support for increased mobilization of public and private financial partnerships via global IW Partnerships Advisory Panel</w:t>
            </w:r>
          </w:p>
        </w:tc>
        <w:tc>
          <w:tcPr>
            <w:tcW w:w="2407" w:type="dxa"/>
            <w:tcBorders>
              <w:top w:val="single" w:sz="4" w:space="0" w:color="000000"/>
              <w:left w:val="single" w:sz="4" w:space="0" w:color="000000"/>
              <w:bottom w:val="single" w:sz="4" w:space="0" w:color="000000"/>
              <w:right w:val="single" w:sz="4" w:space="0" w:color="000000"/>
            </w:tcBorders>
            <w:hideMark/>
          </w:tcPr>
          <w:p w14:paraId="707BC85C"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5.1.1: Establishment of the Global IW Partnerships Advisory Panel to support increased mobilization of public and private financial partnerships</w:t>
            </w:r>
          </w:p>
        </w:tc>
        <w:tc>
          <w:tcPr>
            <w:tcW w:w="534" w:type="dxa"/>
            <w:tcBorders>
              <w:top w:val="single" w:sz="4" w:space="0" w:color="000000"/>
              <w:left w:val="single" w:sz="4" w:space="0" w:color="000000"/>
              <w:bottom w:val="single" w:sz="4" w:space="0" w:color="000000"/>
              <w:right w:val="single" w:sz="4" w:space="0" w:color="000000"/>
            </w:tcBorders>
          </w:tcPr>
          <w:p w14:paraId="57C27153"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0CECE"/>
          </w:tcPr>
          <w:p w14:paraId="59825963" w14:textId="77777777" w:rsidR="00580D8F" w:rsidRDefault="00580D8F">
            <w:pPr>
              <w:rPr>
                <w:rFonts w:asciiTheme="minorHAnsi" w:hAnsiTheme="minorHAnsi" w:cstheme="minorHAnsi"/>
                <w:sz w:val="20"/>
                <w:szCs w:val="20"/>
              </w:rPr>
            </w:pPr>
          </w:p>
          <w:p w14:paraId="78AC1BC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DB39CCD"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6E93651F" w14:textId="77777777" w:rsidR="00580D8F" w:rsidRDefault="00580D8F">
            <w:pPr>
              <w:rPr>
                <w:rFonts w:asciiTheme="minorHAnsi" w:hAnsiTheme="minorHAnsi" w:cstheme="minorHAnsi"/>
                <w:sz w:val="20"/>
                <w:szCs w:val="20"/>
              </w:rPr>
            </w:pPr>
          </w:p>
          <w:p w14:paraId="279B51D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35" w:type="dxa"/>
            <w:tcBorders>
              <w:top w:val="single" w:sz="4" w:space="0" w:color="000000"/>
              <w:left w:val="single" w:sz="4" w:space="0" w:color="000000"/>
              <w:bottom w:val="single" w:sz="4" w:space="0" w:color="000000"/>
              <w:right w:val="single" w:sz="4" w:space="0" w:color="000000"/>
            </w:tcBorders>
          </w:tcPr>
          <w:p w14:paraId="0C9EAD0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E5F85F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1A2E13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0A7EE2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569087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977A2E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DB2B0D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4B383334"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461123C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A96C45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4F6194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034F8C3" w14:textId="77777777" w:rsidR="00580D8F" w:rsidRDefault="00580D8F">
            <w:pPr>
              <w:rPr>
                <w:rFonts w:asciiTheme="minorHAnsi" w:hAnsiTheme="minorHAnsi" w:cstheme="minorHAnsi"/>
                <w:sz w:val="20"/>
                <w:szCs w:val="20"/>
              </w:rPr>
            </w:pPr>
          </w:p>
        </w:tc>
      </w:tr>
      <w:tr w:rsidR="00580D8F" w:rsidRPr="00580D8F" w14:paraId="2AB1E0FE"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121110C"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3C97AD23"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21D9DEE6"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5.1.2: Creation of the Strategy and an Action Plan for International Waters on how to engage and partner with the private and public sector through advice of the Global IW Partnerships Advisory Panel</w:t>
            </w:r>
          </w:p>
        </w:tc>
        <w:tc>
          <w:tcPr>
            <w:tcW w:w="534" w:type="dxa"/>
            <w:tcBorders>
              <w:top w:val="single" w:sz="4" w:space="0" w:color="000000"/>
              <w:left w:val="single" w:sz="4" w:space="0" w:color="000000"/>
              <w:bottom w:val="single" w:sz="4" w:space="0" w:color="000000"/>
              <w:right w:val="single" w:sz="4" w:space="0" w:color="000000"/>
            </w:tcBorders>
          </w:tcPr>
          <w:p w14:paraId="3E48E676"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DBE0C9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EF5E0E2"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9C12ABF"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291C9C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DF618A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51C9E3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15EDFB2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5C8948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AF5FF7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A555F1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282D519E"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6DA0DB9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F14E46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F8A43D0"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65875F4" w14:textId="77777777" w:rsidR="00580D8F" w:rsidRDefault="00580D8F">
            <w:pPr>
              <w:rPr>
                <w:rFonts w:asciiTheme="minorHAnsi" w:hAnsiTheme="minorHAnsi" w:cstheme="minorHAnsi"/>
                <w:sz w:val="20"/>
                <w:szCs w:val="20"/>
              </w:rPr>
            </w:pPr>
          </w:p>
        </w:tc>
      </w:tr>
      <w:tr w:rsidR="00580D8F" w14:paraId="42231260"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05113177"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7FA356C0"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 xml:space="preserve">5.2: Facilitation of partnerships with </w:t>
            </w:r>
            <w:r>
              <w:rPr>
                <w:rFonts w:asciiTheme="minorHAnsi" w:hAnsiTheme="minorHAnsi" w:cstheme="minorHAnsi"/>
                <w:color w:val="000000"/>
                <w:sz w:val="20"/>
                <w:szCs w:val="20"/>
              </w:rPr>
              <w:lastRenderedPageBreak/>
              <w:t>projects and the business community via regional-level networking</w:t>
            </w:r>
          </w:p>
        </w:tc>
        <w:tc>
          <w:tcPr>
            <w:tcW w:w="2407" w:type="dxa"/>
            <w:tcBorders>
              <w:top w:val="single" w:sz="4" w:space="0" w:color="000000"/>
              <w:left w:val="single" w:sz="4" w:space="0" w:color="000000"/>
              <w:bottom w:val="single" w:sz="4" w:space="0" w:color="000000"/>
              <w:right w:val="single" w:sz="4" w:space="0" w:color="000000"/>
            </w:tcBorders>
            <w:hideMark/>
          </w:tcPr>
          <w:p w14:paraId="3844109E"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lastRenderedPageBreak/>
              <w:t xml:space="preserve">5.2.1: Consultative processes and dialogues to </w:t>
            </w:r>
            <w:r>
              <w:rPr>
                <w:rFonts w:asciiTheme="minorHAnsi" w:hAnsiTheme="minorHAnsi" w:cstheme="minorHAnsi"/>
                <w:color w:val="000000"/>
                <w:sz w:val="20"/>
                <w:szCs w:val="20"/>
              </w:rPr>
              <w:lastRenderedPageBreak/>
              <w:t>present the projects to the business community and stimulate the interest</w:t>
            </w:r>
          </w:p>
        </w:tc>
        <w:tc>
          <w:tcPr>
            <w:tcW w:w="534" w:type="dxa"/>
            <w:tcBorders>
              <w:top w:val="single" w:sz="4" w:space="0" w:color="000000"/>
              <w:left w:val="single" w:sz="4" w:space="0" w:color="000000"/>
              <w:bottom w:val="single" w:sz="4" w:space="0" w:color="000000"/>
              <w:right w:val="single" w:sz="4" w:space="0" w:color="000000"/>
            </w:tcBorders>
          </w:tcPr>
          <w:p w14:paraId="263E4375"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3DAEB2F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7214E1A1"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620E243"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694F915" w14:textId="77777777" w:rsidR="00580D8F" w:rsidRDefault="00580D8F">
            <w:pPr>
              <w:rPr>
                <w:rFonts w:asciiTheme="minorHAnsi" w:hAnsiTheme="minorHAnsi" w:cstheme="minorHAnsi"/>
                <w:sz w:val="20"/>
                <w:szCs w:val="20"/>
              </w:rPr>
            </w:pPr>
          </w:p>
          <w:p w14:paraId="2C24852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015F46E"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354ED4B6" w14:textId="77777777" w:rsidR="00580D8F" w:rsidRDefault="00580D8F">
            <w:pPr>
              <w:rPr>
                <w:rFonts w:asciiTheme="minorHAnsi" w:hAnsiTheme="minorHAnsi" w:cstheme="minorHAnsi"/>
                <w:sz w:val="20"/>
                <w:szCs w:val="20"/>
              </w:rPr>
            </w:pPr>
          </w:p>
          <w:p w14:paraId="2C431F2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260F47F4"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3348303C" w14:textId="77777777" w:rsidR="00580D8F" w:rsidRDefault="00580D8F">
            <w:pPr>
              <w:rPr>
                <w:rFonts w:asciiTheme="minorHAnsi" w:hAnsiTheme="minorHAnsi" w:cstheme="minorHAnsi"/>
                <w:sz w:val="20"/>
                <w:szCs w:val="20"/>
              </w:rPr>
            </w:pPr>
          </w:p>
          <w:p w14:paraId="736F4A68"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F86651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31E170E3" w14:textId="77777777" w:rsidR="00580D8F" w:rsidRDefault="00580D8F">
            <w:pPr>
              <w:rPr>
                <w:rFonts w:asciiTheme="minorHAnsi" w:hAnsiTheme="minorHAnsi" w:cstheme="minorHAnsi"/>
                <w:sz w:val="20"/>
                <w:szCs w:val="20"/>
              </w:rPr>
            </w:pPr>
          </w:p>
          <w:p w14:paraId="30B47128"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565EA52"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01DAF6A7" w14:textId="77777777" w:rsidR="00580D8F" w:rsidRDefault="00580D8F">
            <w:pPr>
              <w:rPr>
                <w:rFonts w:asciiTheme="minorHAnsi" w:hAnsiTheme="minorHAnsi" w:cstheme="minorHAnsi"/>
                <w:sz w:val="20"/>
                <w:szCs w:val="20"/>
              </w:rPr>
            </w:pPr>
          </w:p>
          <w:p w14:paraId="4835143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RD</w:t>
            </w: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37569BD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10A5679E" w14:textId="77777777" w:rsidR="00580D8F" w:rsidRDefault="00580D8F">
            <w:pPr>
              <w:rPr>
                <w:rFonts w:asciiTheme="minorHAnsi" w:hAnsiTheme="minorHAnsi" w:cstheme="minorHAnsi"/>
                <w:sz w:val="20"/>
                <w:szCs w:val="20"/>
              </w:rPr>
            </w:pPr>
          </w:p>
          <w:p w14:paraId="3484CA14"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5492526" w14:textId="77777777" w:rsidR="00580D8F" w:rsidRDefault="00580D8F">
            <w:pPr>
              <w:rPr>
                <w:rFonts w:asciiTheme="minorHAnsi" w:hAnsiTheme="minorHAnsi" w:cstheme="minorHAnsi"/>
                <w:sz w:val="20"/>
                <w:szCs w:val="20"/>
              </w:rPr>
            </w:pPr>
          </w:p>
        </w:tc>
      </w:tr>
      <w:tr w:rsidR="00580D8F" w14:paraId="6F695C94"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5684B21C"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3BB1AFB8"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2AAEEDA0"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5.2.2: Organization of regional IW Investment Forums to potentially expand investment and partnership opportunities geared towards different regions</w:t>
            </w:r>
          </w:p>
        </w:tc>
        <w:tc>
          <w:tcPr>
            <w:tcW w:w="534" w:type="dxa"/>
            <w:tcBorders>
              <w:top w:val="single" w:sz="4" w:space="0" w:color="000000"/>
              <w:left w:val="single" w:sz="4" w:space="0" w:color="000000"/>
              <w:bottom w:val="single" w:sz="4" w:space="0" w:color="000000"/>
              <w:right w:val="single" w:sz="4" w:space="0" w:color="000000"/>
            </w:tcBorders>
          </w:tcPr>
          <w:p w14:paraId="13DEED6B"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6A46D0A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9BE712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5A07B5A4"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4D0319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20A4B1C" w14:textId="77777777" w:rsidR="00580D8F" w:rsidRDefault="00580D8F">
            <w:pPr>
              <w:rPr>
                <w:rFonts w:asciiTheme="minorHAnsi" w:hAnsiTheme="minorHAnsi" w:cstheme="minorHAnsi"/>
                <w:sz w:val="20"/>
                <w:szCs w:val="20"/>
              </w:rPr>
            </w:pPr>
          </w:p>
          <w:p w14:paraId="0FF05D4C" w14:textId="77777777" w:rsidR="00580D8F" w:rsidRDefault="00580D8F">
            <w:pPr>
              <w:rPr>
                <w:rFonts w:asciiTheme="minorHAnsi" w:hAnsiTheme="minorHAnsi" w:cstheme="minorHAnsi"/>
                <w:sz w:val="20"/>
                <w:szCs w:val="20"/>
              </w:rPr>
            </w:pPr>
          </w:p>
          <w:p w14:paraId="1337E44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473" w:type="dxa"/>
            <w:tcBorders>
              <w:top w:val="single" w:sz="4" w:space="0" w:color="000000"/>
              <w:left w:val="single" w:sz="4" w:space="0" w:color="000000"/>
              <w:bottom w:val="single" w:sz="4" w:space="0" w:color="000000"/>
              <w:right w:val="single" w:sz="4" w:space="0" w:color="000000"/>
            </w:tcBorders>
          </w:tcPr>
          <w:p w14:paraId="623D766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6AF4E60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5029576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D0A3752" w14:textId="77777777" w:rsidR="00580D8F" w:rsidRDefault="00580D8F">
            <w:pPr>
              <w:rPr>
                <w:rFonts w:asciiTheme="minorHAnsi" w:hAnsiTheme="minorHAnsi" w:cstheme="minorHAnsi"/>
                <w:sz w:val="20"/>
                <w:szCs w:val="20"/>
              </w:rPr>
            </w:pPr>
          </w:p>
          <w:p w14:paraId="6BF93421" w14:textId="77777777" w:rsidR="00580D8F" w:rsidRDefault="00580D8F">
            <w:pPr>
              <w:rPr>
                <w:rFonts w:asciiTheme="minorHAnsi" w:hAnsiTheme="minorHAnsi" w:cstheme="minorHAnsi"/>
                <w:sz w:val="20"/>
                <w:szCs w:val="20"/>
              </w:rPr>
            </w:pPr>
          </w:p>
          <w:p w14:paraId="5251D30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494" w:type="dxa"/>
            <w:tcBorders>
              <w:top w:val="single" w:sz="4" w:space="0" w:color="000000"/>
              <w:left w:val="single" w:sz="4" w:space="0" w:color="000000"/>
              <w:bottom w:val="single" w:sz="4" w:space="0" w:color="000000"/>
              <w:right w:val="single" w:sz="4" w:space="0" w:color="000000"/>
            </w:tcBorders>
          </w:tcPr>
          <w:p w14:paraId="281A2CFB"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0F3C66D0"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1B40F3EF"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25DADE69" w14:textId="77777777" w:rsidR="00580D8F" w:rsidRDefault="00580D8F">
            <w:pPr>
              <w:rPr>
                <w:rFonts w:asciiTheme="minorHAnsi" w:hAnsiTheme="minorHAnsi" w:cstheme="minorHAnsi"/>
                <w:sz w:val="20"/>
                <w:szCs w:val="20"/>
              </w:rPr>
            </w:pPr>
          </w:p>
          <w:p w14:paraId="589319AA" w14:textId="77777777" w:rsidR="00580D8F" w:rsidRDefault="00580D8F">
            <w:pPr>
              <w:rPr>
                <w:rFonts w:asciiTheme="minorHAnsi" w:hAnsiTheme="minorHAnsi" w:cstheme="minorHAnsi"/>
                <w:sz w:val="20"/>
                <w:szCs w:val="20"/>
              </w:rPr>
            </w:pPr>
          </w:p>
          <w:p w14:paraId="1E4C7F7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C</w:t>
            </w:r>
          </w:p>
        </w:tc>
        <w:tc>
          <w:tcPr>
            <w:tcW w:w="494" w:type="dxa"/>
            <w:tcBorders>
              <w:top w:val="single" w:sz="4" w:space="0" w:color="000000"/>
              <w:left w:val="single" w:sz="4" w:space="0" w:color="000000"/>
              <w:bottom w:val="single" w:sz="4" w:space="0" w:color="000000"/>
              <w:right w:val="single" w:sz="4" w:space="0" w:color="000000"/>
            </w:tcBorders>
          </w:tcPr>
          <w:p w14:paraId="77C23FCE"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216CAA7" w14:textId="77777777" w:rsidR="00580D8F" w:rsidRDefault="00580D8F">
            <w:pPr>
              <w:rPr>
                <w:rFonts w:asciiTheme="minorHAnsi" w:hAnsiTheme="minorHAnsi" w:cstheme="minorHAnsi"/>
                <w:sz w:val="20"/>
                <w:szCs w:val="20"/>
              </w:rPr>
            </w:pPr>
          </w:p>
        </w:tc>
      </w:tr>
      <w:tr w:rsidR="00580D8F" w:rsidRPr="00580D8F" w14:paraId="46ABCAEA"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381199F8" w14:textId="77777777" w:rsidR="00580D8F" w:rsidRDefault="00580D8F">
            <w:pPr>
              <w:rPr>
                <w:rFonts w:asciiTheme="minorHAnsi" w:hAnsiTheme="minorHAnsi" w:cstheme="minorHAnsi"/>
                <w:sz w:val="20"/>
                <w:szCs w:val="20"/>
              </w:rPr>
            </w:pPr>
          </w:p>
        </w:tc>
        <w:tc>
          <w:tcPr>
            <w:tcW w:w="1839" w:type="dxa"/>
            <w:vMerge w:val="restart"/>
            <w:tcBorders>
              <w:top w:val="single" w:sz="4" w:space="0" w:color="000000"/>
              <w:left w:val="single" w:sz="4" w:space="0" w:color="000000"/>
              <w:bottom w:val="single" w:sz="4" w:space="0" w:color="000000"/>
              <w:right w:val="single" w:sz="4" w:space="0" w:color="000000"/>
            </w:tcBorders>
            <w:hideMark/>
          </w:tcPr>
          <w:p w14:paraId="164C90D8"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5.3: Training support to portfolio on attracting sustainable financing to address SAP investment priorities</w:t>
            </w:r>
          </w:p>
        </w:tc>
        <w:tc>
          <w:tcPr>
            <w:tcW w:w="2407" w:type="dxa"/>
            <w:tcBorders>
              <w:top w:val="single" w:sz="4" w:space="0" w:color="000000"/>
              <w:left w:val="single" w:sz="4" w:space="0" w:color="000000"/>
              <w:bottom w:val="single" w:sz="4" w:space="0" w:color="000000"/>
              <w:right w:val="single" w:sz="4" w:space="0" w:color="000000"/>
            </w:tcBorders>
            <w:hideMark/>
          </w:tcPr>
          <w:p w14:paraId="125D6877"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 xml:space="preserve">5.3.1: Facilitated interactions between GEF IW SAP implementation projects and the private sector to strengthen the sustainability of the SAP priority actions  </w:t>
            </w:r>
          </w:p>
        </w:tc>
        <w:tc>
          <w:tcPr>
            <w:tcW w:w="534" w:type="dxa"/>
            <w:tcBorders>
              <w:top w:val="single" w:sz="4" w:space="0" w:color="000000"/>
              <w:left w:val="single" w:sz="4" w:space="0" w:color="000000"/>
              <w:bottom w:val="single" w:sz="4" w:space="0" w:color="000000"/>
              <w:right w:val="single" w:sz="4" w:space="0" w:color="000000"/>
            </w:tcBorders>
          </w:tcPr>
          <w:p w14:paraId="247D6756"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79F21A5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7EA76F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8E2D472"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0FCF6C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393F03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D72F8C5"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6EBE7D6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CDD982F"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7C240CB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E092A9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10B4AA5F"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7DF8B01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48892BD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5162BE5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542C6858" w14:textId="77777777" w:rsidR="00580D8F" w:rsidRDefault="00580D8F">
            <w:pPr>
              <w:rPr>
                <w:rFonts w:asciiTheme="minorHAnsi" w:hAnsiTheme="minorHAnsi" w:cstheme="minorHAnsi"/>
                <w:sz w:val="20"/>
                <w:szCs w:val="20"/>
              </w:rPr>
            </w:pPr>
          </w:p>
        </w:tc>
      </w:tr>
      <w:tr w:rsidR="00580D8F" w:rsidRPr="00580D8F" w14:paraId="081B4BAB"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47944FC5"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1FC50D76"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65A239FD"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5.3.2: Analysis and tracking of the existing and proposal for a development of new learning modules to enhance capacities and expand skills and knowledge of resource mobilization of projects towards different resource partners</w:t>
            </w:r>
          </w:p>
        </w:tc>
        <w:tc>
          <w:tcPr>
            <w:tcW w:w="534" w:type="dxa"/>
            <w:tcBorders>
              <w:top w:val="single" w:sz="4" w:space="0" w:color="000000"/>
              <w:left w:val="single" w:sz="4" w:space="0" w:color="000000"/>
              <w:bottom w:val="single" w:sz="4" w:space="0" w:color="000000"/>
              <w:right w:val="single" w:sz="4" w:space="0" w:color="000000"/>
            </w:tcBorders>
          </w:tcPr>
          <w:p w14:paraId="1B977BC0"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1D732A4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6628A740"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tcPr>
          <w:p w14:paraId="40A51F7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9B4CA36"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7BE330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66B7D92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6135A1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F739D1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15E3D7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767F9D6"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AE83BCB"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7A4AA54C"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1CB44A8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B9CB31A"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58FC8E8" w14:textId="77777777" w:rsidR="00580D8F" w:rsidRDefault="00580D8F">
            <w:pPr>
              <w:rPr>
                <w:rFonts w:asciiTheme="minorHAnsi" w:hAnsiTheme="minorHAnsi" w:cstheme="minorHAnsi"/>
                <w:sz w:val="20"/>
                <w:szCs w:val="20"/>
              </w:rPr>
            </w:pPr>
          </w:p>
        </w:tc>
      </w:tr>
      <w:tr w:rsidR="00580D8F" w14:paraId="26944572" w14:textId="77777777" w:rsidTr="00580D8F">
        <w:tc>
          <w:tcPr>
            <w:tcW w:w="3462" w:type="dxa"/>
            <w:vMerge/>
            <w:tcBorders>
              <w:top w:val="single" w:sz="4" w:space="0" w:color="000000"/>
              <w:left w:val="single" w:sz="4" w:space="0" w:color="000000"/>
              <w:bottom w:val="single" w:sz="4" w:space="0" w:color="000000"/>
              <w:right w:val="single" w:sz="4" w:space="0" w:color="000000"/>
            </w:tcBorders>
            <w:vAlign w:val="center"/>
            <w:hideMark/>
          </w:tcPr>
          <w:p w14:paraId="1A329B5E" w14:textId="77777777" w:rsidR="00580D8F" w:rsidRDefault="00580D8F">
            <w:pPr>
              <w:rPr>
                <w:rFonts w:asciiTheme="minorHAnsi" w:hAnsiTheme="minorHAnsi" w:cstheme="minorHAnsi"/>
                <w:sz w:val="20"/>
                <w:szCs w:val="20"/>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14:paraId="227F1A20"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011A0137" w14:textId="77777777" w:rsidR="00580D8F" w:rsidRDefault="00580D8F">
            <w:pPr>
              <w:rPr>
                <w:rFonts w:asciiTheme="minorHAnsi" w:hAnsiTheme="minorHAnsi" w:cstheme="minorHAnsi"/>
                <w:sz w:val="20"/>
                <w:szCs w:val="20"/>
              </w:rPr>
            </w:pPr>
            <w:r>
              <w:rPr>
                <w:rFonts w:asciiTheme="minorHAnsi" w:hAnsiTheme="minorHAnsi" w:cstheme="minorHAnsi"/>
                <w:color w:val="000000"/>
                <w:sz w:val="20"/>
                <w:szCs w:val="20"/>
              </w:rPr>
              <w:t>5.3.3: Training on resource mobilization with a specific focus on private sector partnerships</w:t>
            </w:r>
          </w:p>
        </w:tc>
        <w:tc>
          <w:tcPr>
            <w:tcW w:w="534" w:type="dxa"/>
            <w:tcBorders>
              <w:top w:val="single" w:sz="4" w:space="0" w:color="000000"/>
              <w:left w:val="single" w:sz="4" w:space="0" w:color="000000"/>
              <w:bottom w:val="single" w:sz="4" w:space="0" w:color="000000"/>
              <w:right w:val="single" w:sz="4" w:space="0" w:color="000000"/>
            </w:tcBorders>
          </w:tcPr>
          <w:p w14:paraId="5DAD4850"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5BBBFAC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590A82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29904779"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1F12BC3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2CCC0405" w14:textId="77777777" w:rsidR="00580D8F" w:rsidRDefault="00580D8F">
            <w:pPr>
              <w:rPr>
                <w:rFonts w:asciiTheme="minorHAnsi" w:hAnsiTheme="minorHAnsi" w:cstheme="minorHAnsi"/>
                <w:sz w:val="20"/>
                <w:szCs w:val="20"/>
              </w:rPr>
            </w:pPr>
          </w:p>
          <w:p w14:paraId="29C2EC7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73" w:type="dxa"/>
            <w:tcBorders>
              <w:top w:val="single" w:sz="4" w:space="0" w:color="000000"/>
              <w:left w:val="single" w:sz="4" w:space="0" w:color="000000"/>
              <w:bottom w:val="single" w:sz="4" w:space="0" w:color="000000"/>
              <w:right w:val="single" w:sz="4" w:space="0" w:color="000000"/>
            </w:tcBorders>
          </w:tcPr>
          <w:p w14:paraId="35F650FF"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458E1037"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shd w:val="clear" w:color="auto" w:fill="D0CECE"/>
          </w:tcPr>
          <w:p w14:paraId="7610F60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tcPr>
          <w:p w14:paraId="03BC5C65" w14:textId="77777777" w:rsidR="00580D8F" w:rsidRDefault="00580D8F">
            <w:pPr>
              <w:rPr>
                <w:rFonts w:asciiTheme="minorHAnsi" w:hAnsiTheme="minorHAnsi" w:cstheme="minorHAnsi"/>
                <w:sz w:val="20"/>
                <w:szCs w:val="20"/>
              </w:rPr>
            </w:pPr>
          </w:p>
          <w:p w14:paraId="6C3131F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3657593A"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5006E767"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shd w:val="clear" w:color="auto" w:fill="D0CECE"/>
          </w:tcPr>
          <w:p w14:paraId="33E8326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tcPr>
          <w:p w14:paraId="6DE1BCE1" w14:textId="77777777" w:rsidR="00580D8F" w:rsidRDefault="00580D8F">
            <w:pPr>
              <w:rPr>
                <w:rFonts w:asciiTheme="minorHAnsi" w:hAnsiTheme="minorHAnsi" w:cstheme="minorHAnsi"/>
                <w:sz w:val="20"/>
                <w:szCs w:val="20"/>
              </w:rPr>
            </w:pPr>
          </w:p>
          <w:p w14:paraId="0817F76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TC</w:t>
            </w:r>
          </w:p>
        </w:tc>
        <w:tc>
          <w:tcPr>
            <w:tcW w:w="494" w:type="dxa"/>
            <w:tcBorders>
              <w:top w:val="single" w:sz="4" w:space="0" w:color="000000"/>
              <w:left w:val="single" w:sz="4" w:space="0" w:color="000000"/>
              <w:bottom w:val="single" w:sz="4" w:space="0" w:color="000000"/>
              <w:right w:val="single" w:sz="4" w:space="0" w:color="000000"/>
            </w:tcBorders>
          </w:tcPr>
          <w:p w14:paraId="1A7BFBD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1787E5C" w14:textId="77777777" w:rsidR="00580D8F" w:rsidRDefault="00580D8F">
            <w:pPr>
              <w:rPr>
                <w:rFonts w:asciiTheme="minorHAnsi" w:hAnsiTheme="minorHAnsi" w:cstheme="minorHAnsi"/>
                <w:sz w:val="20"/>
                <w:szCs w:val="20"/>
              </w:rPr>
            </w:pPr>
          </w:p>
        </w:tc>
      </w:tr>
      <w:tr w:rsidR="00580D8F" w14:paraId="63A43C2E" w14:textId="77777777" w:rsidTr="00580D8F">
        <w:tc>
          <w:tcPr>
            <w:tcW w:w="3462" w:type="dxa"/>
            <w:gridSpan w:val="2"/>
            <w:vMerge w:val="restart"/>
            <w:tcBorders>
              <w:top w:val="single" w:sz="4" w:space="0" w:color="000000"/>
              <w:left w:val="single" w:sz="4" w:space="0" w:color="000000"/>
              <w:bottom w:val="single" w:sz="4" w:space="0" w:color="000000"/>
              <w:right w:val="single" w:sz="4" w:space="0" w:color="000000"/>
            </w:tcBorders>
            <w:hideMark/>
          </w:tcPr>
          <w:p w14:paraId="2138FED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Project management</w:t>
            </w:r>
          </w:p>
        </w:tc>
        <w:tc>
          <w:tcPr>
            <w:tcW w:w="2407" w:type="dxa"/>
            <w:tcBorders>
              <w:top w:val="single" w:sz="4" w:space="0" w:color="000000"/>
              <w:left w:val="single" w:sz="4" w:space="0" w:color="000000"/>
              <w:bottom w:val="single" w:sz="4" w:space="0" w:color="000000"/>
              <w:right w:val="single" w:sz="4" w:space="0" w:color="000000"/>
            </w:tcBorders>
            <w:hideMark/>
          </w:tcPr>
          <w:p w14:paraId="2294F1BF" w14:textId="77777777" w:rsidR="00580D8F" w:rsidRDefault="00580D8F">
            <w:pPr>
              <w:rPr>
                <w:rFonts w:asciiTheme="minorHAnsi" w:hAnsiTheme="minorHAnsi" w:cstheme="minorHAnsi"/>
                <w:color w:val="000000"/>
                <w:sz w:val="20"/>
                <w:szCs w:val="20"/>
              </w:rPr>
            </w:pPr>
            <w:r>
              <w:rPr>
                <w:rFonts w:asciiTheme="minorHAnsi" w:hAnsiTheme="minorHAnsi" w:cstheme="minorHAnsi"/>
                <w:color w:val="000000"/>
                <w:sz w:val="20"/>
                <w:szCs w:val="20"/>
              </w:rPr>
              <w:t>Project Implementation Review</w:t>
            </w:r>
          </w:p>
        </w:tc>
        <w:tc>
          <w:tcPr>
            <w:tcW w:w="534" w:type="dxa"/>
            <w:tcBorders>
              <w:top w:val="single" w:sz="4" w:space="0" w:color="000000"/>
              <w:left w:val="single" w:sz="4" w:space="0" w:color="000000"/>
              <w:bottom w:val="single" w:sz="4" w:space="0" w:color="000000"/>
              <w:right w:val="single" w:sz="4" w:space="0" w:color="000000"/>
            </w:tcBorders>
          </w:tcPr>
          <w:p w14:paraId="470AE0FC"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07661105"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71A7AEC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tcPr>
          <w:p w14:paraId="48E7F5F5"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5D39BBD"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20A4C12"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hideMark/>
          </w:tcPr>
          <w:p w14:paraId="0015210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tcPr>
          <w:p w14:paraId="45A12F96"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53AB54C0"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EDF274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01F2033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tcPr>
          <w:p w14:paraId="3C713E26"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5F6A1F5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0541D7F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A0662B6"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7205CD5C" w14:textId="77777777" w:rsidR="00580D8F" w:rsidRDefault="00580D8F">
            <w:pPr>
              <w:rPr>
                <w:rFonts w:asciiTheme="minorHAnsi" w:hAnsiTheme="minorHAnsi" w:cstheme="minorHAnsi"/>
                <w:sz w:val="20"/>
                <w:szCs w:val="20"/>
              </w:rPr>
            </w:pPr>
          </w:p>
        </w:tc>
      </w:tr>
      <w:tr w:rsidR="00580D8F" w14:paraId="5FCE1FD6" w14:textId="77777777" w:rsidTr="00580D8F">
        <w:tc>
          <w:tcPr>
            <w:tcW w:w="5301" w:type="dxa"/>
            <w:gridSpan w:val="2"/>
            <w:vMerge/>
            <w:tcBorders>
              <w:top w:val="single" w:sz="4" w:space="0" w:color="000000"/>
              <w:left w:val="single" w:sz="4" w:space="0" w:color="000000"/>
              <w:bottom w:val="single" w:sz="4" w:space="0" w:color="000000"/>
              <w:right w:val="single" w:sz="4" w:space="0" w:color="000000"/>
            </w:tcBorders>
            <w:vAlign w:val="center"/>
            <w:hideMark/>
          </w:tcPr>
          <w:p w14:paraId="2EA590FF"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20B849C6" w14:textId="77777777" w:rsidR="00580D8F" w:rsidRDefault="00580D8F">
            <w:pPr>
              <w:rPr>
                <w:rFonts w:asciiTheme="minorHAnsi" w:hAnsiTheme="minorHAnsi" w:cstheme="minorHAnsi"/>
                <w:color w:val="000000"/>
                <w:sz w:val="20"/>
                <w:szCs w:val="20"/>
              </w:rPr>
            </w:pPr>
            <w:r>
              <w:rPr>
                <w:rFonts w:asciiTheme="minorHAnsi" w:hAnsiTheme="minorHAnsi" w:cstheme="minorHAnsi"/>
                <w:color w:val="000000"/>
                <w:sz w:val="20"/>
                <w:szCs w:val="20"/>
              </w:rPr>
              <w:t>Project quarterly reporting</w:t>
            </w:r>
          </w:p>
        </w:tc>
        <w:tc>
          <w:tcPr>
            <w:tcW w:w="534" w:type="dxa"/>
            <w:tcBorders>
              <w:top w:val="single" w:sz="4" w:space="0" w:color="000000"/>
              <w:left w:val="single" w:sz="4" w:space="0" w:color="000000"/>
              <w:bottom w:val="single" w:sz="4" w:space="0" w:color="000000"/>
              <w:right w:val="single" w:sz="4" w:space="0" w:color="000000"/>
            </w:tcBorders>
            <w:shd w:val="clear" w:color="auto" w:fill="D0CECE"/>
            <w:hideMark/>
          </w:tcPr>
          <w:p w14:paraId="58F3012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74" w:type="dxa"/>
            <w:tcBorders>
              <w:top w:val="single" w:sz="4" w:space="0" w:color="000000"/>
              <w:left w:val="single" w:sz="4" w:space="0" w:color="000000"/>
              <w:bottom w:val="single" w:sz="4" w:space="0" w:color="000000"/>
              <w:right w:val="single" w:sz="4" w:space="0" w:color="000000"/>
            </w:tcBorders>
            <w:shd w:val="clear" w:color="auto" w:fill="D0CECE"/>
            <w:hideMark/>
          </w:tcPr>
          <w:p w14:paraId="7D8109CA"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5A61808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shd w:val="clear" w:color="auto" w:fill="D0CECE"/>
            <w:hideMark/>
          </w:tcPr>
          <w:p w14:paraId="698D3F9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35" w:type="dxa"/>
            <w:tcBorders>
              <w:top w:val="single" w:sz="4" w:space="0" w:color="000000"/>
              <w:left w:val="single" w:sz="4" w:space="0" w:color="000000"/>
              <w:bottom w:val="single" w:sz="4" w:space="0" w:color="000000"/>
              <w:right w:val="single" w:sz="4" w:space="0" w:color="000000"/>
            </w:tcBorders>
            <w:shd w:val="clear" w:color="auto" w:fill="D0CECE"/>
            <w:hideMark/>
          </w:tcPr>
          <w:p w14:paraId="6ACC8D2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44508F4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73" w:type="dxa"/>
            <w:tcBorders>
              <w:top w:val="single" w:sz="4" w:space="0" w:color="000000"/>
              <w:left w:val="single" w:sz="4" w:space="0" w:color="000000"/>
              <w:bottom w:val="single" w:sz="4" w:space="0" w:color="000000"/>
              <w:right w:val="single" w:sz="4" w:space="0" w:color="000000"/>
            </w:tcBorders>
            <w:shd w:val="clear" w:color="auto" w:fill="D0CECE"/>
            <w:hideMark/>
          </w:tcPr>
          <w:p w14:paraId="619461FD"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shd w:val="clear" w:color="auto" w:fill="D0CECE"/>
            <w:hideMark/>
          </w:tcPr>
          <w:p w14:paraId="14801BA7"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35" w:type="dxa"/>
            <w:tcBorders>
              <w:top w:val="single" w:sz="4" w:space="0" w:color="000000"/>
              <w:left w:val="single" w:sz="4" w:space="0" w:color="000000"/>
              <w:bottom w:val="single" w:sz="4" w:space="0" w:color="000000"/>
              <w:right w:val="single" w:sz="4" w:space="0" w:color="000000"/>
            </w:tcBorders>
            <w:shd w:val="clear" w:color="auto" w:fill="D0CECE"/>
            <w:hideMark/>
          </w:tcPr>
          <w:p w14:paraId="11B188F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62E1625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7B87B824"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43" w:type="dxa"/>
            <w:tcBorders>
              <w:top w:val="single" w:sz="4" w:space="0" w:color="000000"/>
              <w:left w:val="single" w:sz="4" w:space="0" w:color="000000"/>
              <w:bottom w:val="single" w:sz="4" w:space="0" w:color="000000"/>
              <w:right w:val="single" w:sz="4" w:space="0" w:color="000000"/>
            </w:tcBorders>
            <w:shd w:val="clear" w:color="auto" w:fill="D0CECE"/>
            <w:hideMark/>
          </w:tcPr>
          <w:p w14:paraId="20B030EB"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536" w:type="dxa"/>
            <w:tcBorders>
              <w:top w:val="single" w:sz="4" w:space="0" w:color="000000"/>
              <w:left w:val="single" w:sz="4" w:space="0" w:color="000000"/>
              <w:bottom w:val="single" w:sz="4" w:space="0" w:color="000000"/>
              <w:right w:val="single" w:sz="4" w:space="0" w:color="000000"/>
            </w:tcBorders>
            <w:shd w:val="clear" w:color="auto" w:fill="D0CECE"/>
            <w:hideMark/>
          </w:tcPr>
          <w:p w14:paraId="22517A52"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73" w:type="dxa"/>
            <w:tcBorders>
              <w:top w:val="single" w:sz="4" w:space="0" w:color="000000"/>
              <w:left w:val="single" w:sz="4" w:space="0" w:color="000000"/>
              <w:bottom w:val="single" w:sz="4" w:space="0" w:color="000000"/>
              <w:right w:val="single" w:sz="4" w:space="0" w:color="000000"/>
            </w:tcBorders>
            <w:shd w:val="clear" w:color="auto" w:fill="D0CECE"/>
            <w:hideMark/>
          </w:tcPr>
          <w:p w14:paraId="2ACE523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4833D055"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c>
          <w:tcPr>
            <w:tcW w:w="473" w:type="dxa"/>
            <w:tcBorders>
              <w:top w:val="single" w:sz="4" w:space="0" w:color="000000"/>
              <w:left w:val="single" w:sz="4" w:space="0" w:color="000000"/>
              <w:bottom w:val="single" w:sz="4" w:space="0" w:color="000000"/>
              <w:right w:val="single" w:sz="4" w:space="0" w:color="000000"/>
            </w:tcBorders>
            <w:shd w:val="clear" w:color="auto" w:fill="D0CECE"/>
            <w:hideMark/>
          </w:tcPr>
          <w:p w14:paraId="06CC1F01"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R</w:t>
            </w:r>
          </w:p>
        </w:tc>
      </w:tr>
      <w:tr w:rsidR="00580D8F" w14:paraId="14B577DB" w14:textId="77777777" w:rsidTr="00580D8F">
        <w:tc>
          <w:tcPr>
            <w:tcW w:w="5301" w:type="dxa"/>
            <w:gridSpan w:val="2"/>
            <w:vMerge/>
            <w:tcBorders>
              <w:top w:val="single" w:sz="4" w:space="0" w:color="000000"/>
              <w:left w:val="single" w:sz="4" w:space="0" w:color="000000"/>
              <w:bottom w:val="single" w:sz="4" w:space="0" w:color="000000"/>
              <w:right w:val="single" w:sz="4" w:space="0" w:color="000000"/>
            </w:tcBorders>
            <w:vAlign w:val="center"/>
            <w:hideMark/>
          </w:tcPr>
          <w:p w14:paraId="01A8309C"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2C5D784F" w14:textId="77777777" w:rsidR="00580D8F" w:rsidRDefault="00580D8F">
            <w:pPr>
              <w:rPr>
                <w:rFonts w:asciiTheme="minorHAnsi" w:hAnsiTheme="minorHAnsi" w:cstheme="minorHAnsi"/>
                <w:color w:val="000000"/>
                <w:sz w:val="20"/>
                <w:szCs w:val="20"/>
              </w:rPr>
            </w:pPr>
            <w:r>
              <w:rPr>
                <w:rFonts w:asciiTheme="minorHAnsi" w:hAnsiTheme="minorHAnsi" w:cstheme="minorHAnsi"/>
                <w:color w:val="000000"/>
                <w:sz w:val="20"/>
                <w:szCs w:val="20"/>
              </w:rPr>
              <w:t>PSC Meeting</w:t>
            </w:r>
          </w:p>
        </w:tc>
        <w:tc>
          <w:tcPr>
            <w:tcW w:w="534" w:type="dxa"/>
            <w:tcBorders>
              <w:top w:val="single" w:sz="4" w:space="0" w:color="000000"/>
              <w:left w:val="single" w:sz="4" w:space="0" w:color="000000"/>
              <w:bottom w:val="single" w:sz="4" w:space="0" w:color="000000"/>
              <w:right w:val="single" w:sz="4" w:space="0" w:color="000000"/>
            </w:tcBorders>
          </w:tcPr>
          <w:p w14:paraId="18DD4BEA"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7CB60D7C"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6F303C73"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288C0DAD"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1FF5701B"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25DA6F83"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shd w:val="clear" w:color="auto" w:fill="D0CECE"/>
            <w:hideMark/>
          </w:tcPr>
          <w:p w14:paraId="47F4B4C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11C90FDE"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97260A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63F20E6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581F604E"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543" w:type="dxa"/>
            <w:tcBorders>
              <w:top w:val="single" w:sz="4" w:space="0" w:color="000000"/>
              <w:left w:val="single" w:sz="4" w:space="0" w:color="000000"/>
              <w:bottom w:val="single" w:sz="4" w:space="0" w:color="000000"/>
              <w:right w:val="single" w:sz="4" w:space="0" w:color="000000"/>
            </w:tcBorders>
          </w:tcPr>
          <w:p w14:paraId="46BE76D6"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13E1DC2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AC80ABA"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475068BF"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M</w:t>
            </w:r>
          </w:p>
        </w:tc>
        <w:tc>
          <w:tcPr>
            <w:tcW w:w="473" w:type="dxa"/>
            <w:tcBorders>
              <w:top w:val="single" w:sz="4" w:space="0" w:color="000000"/>
              <w:left w:val="single" w:sz="4" w:space="0" w:color="000000"/>
              <w:bottom w:val="single" w:sz="4" w:space="0" w:color="000000"/>
              <w:right w:val="single" w:sz="4" w:space="0" w:color="000000"/>
            </w:tcBorders>
          </w:tcPr>
          <w:p w14:paraId="72CF45CB" w14:textId="77777777" w:rsidR="00580D8F" w:rsidRDefault="00580D8F">
            <w:pPr>
              <w:rPr>
                <w:rFonts w:asciiTheme="minorHAnsi" w:hAnsiTheme="minorHAnsi" w:cstheme="minorHAnsi"/>
                <w:sz w:val="20"/>
                <w:szCs w:val="20"/>
              </w:rPr>
            </w:pPr>
          </w:p>
        </w:tc>
      </w:tr>
      <w:tr w:rsidR="00580D8F" w14:paraId="3E45C438" w14:textId="77777777" w:rsidTr="00580D8F">
        <w:tc>
          <w:tcPr>
            <w:tcW w:w="53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0C3D0D2"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432ECDF9" w14:textId="77777777" w:rsidR="00580D8F" w:rsidRDefault="00580D8F">
            <w:pPr>
              <w:rPr>
                <w:rFonts w:asciiTheme="minorHAnsi" w:hAnsiTheme="minorHAnsi" w:cstheme="minorHAnsi"/>
                <w:color w:val="000000"/>
                <w:sz w:val="20"/>
                <w:szCs w:val="20"/>
              </w:rPr>
            </w:pPr>
            <w:r>
              <w:rPr>
                <w:rFonts w:asciiTheme="minorHAnsi" w:hAnsiTheme="minorHAnsi" w:cstheme="minorHAnsi"/>
                <w:color w:val="000000"/>
                <w:sz w:val="20"/>
                <w:szCs w:val="20"/>
              </w:rPr>
              <w:t>Mid-term evaluation</w:t>
            </w:r>
          </w:p>
        </w:tc>
        <w:tc>
          <w:tcPr>
            <w:tcW w:w="534" w:type="dxa"/>
            <w:tcBorders>
              <w:top w:val="single" w:sz="4" w:space="0" w:color="000000"/>
              <w:left w:val="single" w:sz="4" w:space="0" w:color="000000"/>
              <w:bottom w:val="single" w:sz="4" w:space="0" w:color="000000"/>
              <w:right w:val="single" w:sz="4" w:space="0" w:color="000000"/>
            </w:tcBorders>
          </w:tcPr>
          <w:p w14:paraId="75A0A072"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2E383132"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CC427B3"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4C33E461"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7DCD3BB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57903E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E9834CC"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shd w:val="clear" w:color="auto" w:fill="D0CECE"/>
            <w:hideMark/>
          </w:tcPr>
          <w:p w14:paraId="402E5B90"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E</w:t>
            </w:r>
          </w:p>
        </w:tc>
        <w:tc>
          <w:tcPr>
            <w:tcW w:w="535" w:type="dxa"/>
            <w:tcBorders>
              <w:top w:val="single" w:sz="4" w:space="0" w:color="000000"/>
              <w:left w:val="single" w:sz="4" w:space="0" w:color="000000"/>
              <w:bottom w:val="single" w:sz="4" w:space="0" w:color="000000"/>
              <w:right w:val="single" w:sz="4" w:space="0" w:color="000000"/>
            </w:tcBorders>
          </w:tcPr>
          <w:p w14:paraId="4D7B7AE7"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1526D6B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E0832C7"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6B90BF47"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2B06EF78"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41D9EFE"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3F694C4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45A0A0CD" w14:textId="77777777" w:rsidR="00580D8F" w:rsidRDefault="00580D8F">
            <w:pPr>
              <w:rPr>
                <w:rFonts w:asciiTheme="minorHAnsi" w:hAnsiTheme="minorHAnsi" w:cstheme="minorHAnsi"/>
                <w:sz w:val="20"/>
                <w:szCs w:val="20"/>
              </w:rPr>
            </w:pPr>
          </w:p>
        </w:tc>
      </w:tr>
      <w:tr w:rsidR="00580D8F" w14:paraId="3A3B97BB" w14:textId="77777777" w:rsidTr="00580D8F">
        <w:tc>
          <w:tcPr>
            <w:tcW w:w="53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58579D4" w14:textId="77777777" w:rsidR="00580D8F" w:rsidRDefault="00580D8F">
            <w:pPr>
              <w:rPr>
                <w:rFonts w:asciiTheme="minorHAnsi" w:hAnsiTheme="minorHAnsi" w:cstheme="minorHAnsi"/>
                <w:sz w:val="20"/>
                <w:szCs w:val="20"/>
              </w:rPr>
            </w:pPr>
          </w:p>
        </w:tc>
        <w:tc>
          <w:tcPr>
            <w:tcW w:w="2407" w:type="dxa"/>
            <w:tcBorders>
              <w:top w:val="single" w:sz="4" w:space="0" w:color="000000"/>
              <w:left w:val="single" w:sz="4" w:space="0" w:color="000000"/>
              <w:bottom w:val="single" w:sz="4" w:space="0" w:color="000000"/>
              <w:right w:val="single" w:sz="4" w:space="0" w:color="000000"/>
            </w:tcBorders>
            <w:hideMark/>
          </w:tcPr>
          <w:p w14:paraId="3C9F798E" w14:textId="77777777" w:rsidR="00580D8F" w:rsidRDefault="00580D8F">
            <w:pPr>
              <w:rPr>
                <w:rFonts w:asciiTheme="minorHAnsi" w:hAnsiTheme="minorHAnsi" w:cstheme="minorHAnsi"/>
                <w:color w:val="000000"/>
                <w:sz w:val="20"/>
                <w:szCs w:val="20"/>
              </w:rPr>
            </w:pPr>
            <w:r>
              <w:rPr>
                <w:rFonts w:asciiTheme="minorHAnsi" w:hAnsiTheme="minorHAnsi" w:cstheme="minorHAnsi"/>
                <w:color w:val="000000"/>
                <w:sz w:val="20"/>
                <w:szCs w:val="20"/>
              </w:rPr>
              <w:t>Terminal evaluation</w:t>
            </w:r>
          </w:p>
        </w:tc>
        <w:tc>
          <w:tcPr>
            <w:tcW w:w="534" w:type="dxa"/>
            <w:tcBorders>
              <w:top w:val="single" w:sz="4" w:space="0" w:color="000000"/>
              <w:left w:val="single" w:sz="4" w:space="0" w:color="000000"/>
              <w:bottom w:val="single" w:sz="4" w:space="0" w:color="000000"/>
              <w:right w:val="single" w:sz="4" w:space="0" w:color="000000"/>
            </w:tcBorders>
          </w:tcPr>
          <w:p w14:paraId="4D0717A0" w14:textId="77777777" w:rsidR="00580D8F" w:rsidRDefault="00580D8F">
            <w:pPr>
              <w:rPr>
                <w:rFonts w:asciiTheme="minorHAnsi" w:hAnsiTheme="minorHAnsi" w:cstheme="minorHAnsi"/>
                <w:sz w:val="20"/>
                <w:szCs w:val="20"/>
              </w:rPr>
            </w:pPr>
          </w:p>
        </w:tc>
        <w:tc>
          <w:tcPr>
            <w:tcW w:w="474" w:type="dxa"/>
            <w:tcBorders>
              <w:top w:val="single" w:sz="4" w:space="0" w:color="000000"/>
              <w:left w:val="single" w:sz="4" w:space="0" w:color="000000"/>
              <w:bottom w:val="single" w:sz="4" w:space="0" w:color="000000"/>
              <w:right w:val="single" w:sz="4" w:space="0" w:color="000000"/>
            </w:tcBorders>
          </w:tcPr>
          <w:p w14:paraId="24222334"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4CAD3FB5"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2D71D6FA"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0350EE98"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2DDF26B"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27A9CB5E"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37EB8D1F" w14:textId="77777777" w:rsidR="00580D8F" w:rsidRDefault="00580D8F">
            <w:pPr>
              <w:rPr>
                <w:rFonts w:asciiTheme="minorHAnsi" w:hAnsiTheme="minorHAnsi" w:cstheme="minorHAnsi"/>
                <w:sz w:val="20"/>
                <w:szCs w:val="20"/>
              </w:rPr>
            </w:pPr>
          </w:p>
        </w:tc>
        <w:tc>
          <w:tcPr>
            <w:tcW w:w="535" w:type="dxa"/>
            <w:tcBorders>
              <w:top w:val="single" w:sz="4" w:space="0" w:color="000000"/>
              <w:left w:val="single" w:sz="4" w:space="0" w:color="000000"/>
              <w:bottom w:val="single" w:sz="4" w:space="0" w:color="000000"/>
              <w:right w:val="single" w:sz="4" w:space="0" w:color="000000"/>
            </w:tcBorders>
          </w:tcPr>
          <w:p w14:paraId="6291AC0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0981C3F1"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tcPr>
          <w:p w14:paraId="5246B2E4" w14:textId="77777777" w:rsidR="00580D8F" w:rsidRDefault="00580D8F">
            <w:pPr>
              <w:rPr>
                <w:rFonts w:asciiTheme="minorHAnsi" w:hAnsiTheme="minorHAnsi" w:cstheme="minorHAnsi"/>
                <w:sz w:val="20"/>
                <w:szCs w:val="20"/>
              </w:rPr>
            </w:pPr>
          </w:p>
        </w:tc>
        <w:tc>
          <w:tcPr>
            <w:tcW w:w="543" w:type="dxa"/>
            <w:tcBorders>
              <w:top w:val="single" w:sz="4" w:space="0" w:color="000000"/>
              <w:left w:val="single" w:sz="4" w:space="0" w:color="000000"/>
              <w:bottom w:val="single" w:sz="4" w:space="0" w:color="000000"/>
              <w:right w:val="single" w:sz="4" w:space="0" w:color="000000"/>
            </w:tcBorders>
          </w:tcPr>
          <w:p w14:paraId="7D49B376" w14:textId="77777777" w:rsidR="00580D8F" w:rsidRDefault="00580D8F">
            <w:pPr>
              <w:rPr>
                <w:rFonts w:asciiTheme="minorHAnsi" w:hAnsiTheme="minorHAnsi" w:cstheme="minorHAnsi"/>
                <w:sz w:val="20"/>
                <w:szCs w:val="20"/>
              </w:rPr>
            </w:pPr>
          </w:p>
        </w:tc>
        <w:tc>
          <w:tcPr>
            <w:tcW w:w="536" w:type="dxa"/>
            <w:tcBorders>
              <w:top w:val="single" w:sz="4" w:space="0" w:color="000000"/>
              <w:left w:val="single" w:sz="4" w:space="0" w:color="000000"/>
              <w:bottom w:val="single" w:sz="4" w:space="0" w:color="000000"/>
              <w:right w:val="single" w:sz="4" w:space="0" w:color="000000"/>
            </w:tcBorders>
          </w:tcPr>
          <w:p w14:paraId="0F769F85" w14:textId="77777777" w:rsidR="00580D8F" w:rsidRDefault="00580D8F">
            <w:pPr>
              <w:rPr>
                <w:rFonts w:asciiTheme="minorHAnsi" w:hAnsiTheme="minorHAnsi"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tcPr>
          <w:p w14:paraId="54D26949" w14:textId="77777777" w:rsidR="00580D8F" w:rsidRDefault="00580D8F">
            <w:pPr>
              <w:rPr>
                <w:rFonts w:asciiTheme="minorHAnsi" w:hAnsiTheme="minorHAnsi" w:cstheme="minorHAnsi"/>
                <w:sz w:val="20"/>
                <w:szCs w:val="20"/>
              </w:rPr>
            </w:pPr>
          </w:p>
        </w:tc>
        <w:tc>
          <w:tcPr>
            <w:tcW w:w="494" w:type="dxa"/>
            <w:tcBorders>
              <w:top w:val="single" w:sz="4" w:space="0" w:color="000000"/>
              <w:left w:val="single" w:sz="4" w:space="0" w:color="000000"/>
              <w:bottom w:val="single" w:sz="4" w:space="0" w:color="000000"/>
              <w:right w:val="single" w:sz="4" w:space="0" w:color="000000"/>
            </w:tcBorders>
            <w:shd w:val="clear" w:color="auto" w:fill="D0CECE"/>
            <w:hideMark/>
          </w:tcPr>
          <w:p w14:paraId="271E09A9" w14:textId="77777777" w:rsidR="00580D8F" w:rsidRDefault="00580D8F">
            <w:pPr>
              <w:rPr>
                <w:rFonts w:asciiTheme="minorHAnsi" w:hAnsiTheme="minorHAnsi" w:cstheme="minorHAnsi"/>
                <w:sz w:val="20"/>
                <w:szCs w:val="20"/>
              </w:rPr>
            </w:pPr>
            <w:r>
              <w:rPr>
                <w:rFonts w:asciiTheme="minorHAnsi" w:hAnsiTheme="minorHAnsi" w:cstheme="minorHAnsi"/>
                <w:sz w:val="20"/>
                <w:szCs w:val="20"/>
              </w:rPr>
              <w:t>E</w:t>
            </w:r>
          </w:p>
        </w:tc>
        <w:tc>
          <w:tcPr>
            <w:tcW w:w="473" w:type="dxa"/>
            <w:tcBorders>
              <w:top w:val="single" w:sz="4" w:space="0" w:color="000000"/>
              <w:left w:val="single" w:sz="4" w:space="0" w:color="000000"/>
              <w:bottom w:val="single" w:sz="4" w:space="0" w:color="000000"/>
              <w:right w:val="single" w:sz="4" w:space="0" w:color="000000"/>
            </w:tcBorders>
          </w:tcPr>
          <w:p w14:paraId="466560B3" w14:textId="77777777" w:rsidR="00580D8F" w:rsidRDefault="00580D8F">
            <w:pPr>
              <w:rPr>
                <w:rFonts w:asciiTheme="minorHAnsi" w:hAnsiTheme="minorHAnsi" w:cstheme="minorHAnsi"/>
                <w:sz w:val="20"/>
                <w:szCs w:val="20"/>
              </w:rPr>
            </w:pPr>
          </w:p>
        </w:tc>
      </w:tr>
    </w:tbl>
    <w:p w14:paraId="1B38BF92" w14:textId="77777777" w:rsidR="00580D8F" w:rsidRDefault="00580D8F" w:rsidP="00580D8F">
      <w:pPr>
        <w:rPr>
          <w:rFonts w:asciiTheme="minorHAnsi" w:hAnsiTheme="minorHAnsi" w:cstheme="minorHAnsi"/>
        </w:rPr>
      </w:pPr>
    </w:p>
    <w:p w14:paraId="6B1A0753" w14:textId="77777777" w:rsidR="00580D8F" w:rsidRDefault="00580D8F" w:rsidP="00580D8F">
      <w:pPr>
        <w:rPr>
          <w:rFonts w:asciiTheme="minorHAnsi" w:hAnsiTheme="minorHAnsi" w:cstheme="minorHAnsi"/>
          <w:sz w:val="22"/>
          <w:szCs w:val="18"/>
        </w:rPr>
      </w:pPr>
      <w:r>
        <w:rPr>
          <w:rFonts w:asciiTheme="minorHAnsi" w:hAnsiTheme="minorHAnsi" w:cstheme="minorHAnsi"/>
          <w:sz w:val="22"/>
          <w:szCs w:val="18"/>
        </w:rPr>
        <w:t xml:space="preserve">C – Conference       </w:t>
      </w:r>
      <w:r>
        <w:rPr>
          <w:rFonts w:asciiTheme="minorHAnsi" w:hAnsiTheme="minorHAnsi" w:cstheme="minorHAnsi"/>
          <w:sz w:val="22"/>
          <w:szCs w:val="18"/>
        </w:rPr>
        <w:tab/>
      </w:r>
      <w:r>
        <w:rPr>
          <w:rFonts w:asciiTheme="minorHAnsi" w:hAnsiTheme="minorHAnsi" w:cstheme="minorHAnsi"/>
          <w:sz w:val="22"/>
          <w:szCs w:val="18"/>
        </w:rPr>
        <w:tab/>
        <w:t>GD – Global Dialogue</w:t>
      </w:r>
    </w:p>
    <w:p w14:paraId="6097D956" w14:textId="77777777" w:rsidR="00580D8F" w:rsidRDefault="00580D8F" w:rsidP="00580D8F">
      <w:pPr>
        <w:rPr>
          <w:rFonts w:asciiTheme="minorHAnsi" w:hAnsiTheme="minorHAnsi" w:cstheme="minorHAnsi"/>
          <w:sz w:val="22"/>
          <w:szCs w:val="18"/>
        </w:rPr>
      </w:pPr>
      <w:r>
        <w:rPr>
          <w:rFonts w:asciiTheme="minorHAnsi" w:hAnsiTheme="minorHAnsi" w:cstheme="minorHAnsi"/>
          <w:sz w:val="22"/>
          <w:szCs w:val="18"/>
        </w:rPr>
        <w:t>M – Meeting</w:t>
      </w:r>
      <w:r>
        <w:rPr>
          <w:rFonts w:asciiTheme="minorHAnsi" w:hAnsiTheme="minorHAnsi" w:cstheme="minorHAnsi"/>
          <w:sz w:val="22"/>
          <w:szCs w:val="18"/>
        </w:rPr>
        <w:tab/>
      </w:r>
      <w:r>
        <w:rPr>
          <w:rFonts w:asciiTheme="minorHAnsi" w:hAnsiTheme="minorHAnsi" w:cstheme="minorHAnsi"/>
          <w:sz w:val="22"/>
          <w:szCs w:val="18"/>
        </w:rPr>
        <w:tab/>
      </w:r>
      <w:r>
        <w:rPr>
          <w:rFonts w:asciiTheme="minorHAnsi" w:hAnsiTheme="minorHAnsi" w:cstheme="minorHAnsi"/>
          <w:sz w:val="22"/>
          <w:szCs w:val="18"/>
        </w:rPr>
        <w:tab/>
        <w:t>RD – Regional Dialogue</w:t>
      </w:r>
    </w:p>
    <w:p w14:paraId="3C799E85" w14:textId="77777777" w:rsidR="00580D8F" w:rsidRDefault="00580D8F" w:rsidP="00580D8F">
      <w:pPr>
        <w:rPr>
          <w:rFonts w:asciiTheme="minorHAnsi" w:hAnsiTheme="minorHAnsi" w:cstheme="minorHAnsi"/>
          <w:sz w:val="22"/>
          <w:szCs w:val="18"/>
        </w:rPr>
      </w:pPr>
      <w:r>
        <w:rPr>
          <w:rFonts w:asciiTheme="minorHAnsi" w:hAnsiTheme="minorHAnsi" w:cstheme="minorHAnsi"/>
          <w:sz w:val="22"/>
          <w:szCs w:val="18"/>
        </w:rPr>
        <w:t xml:space="preserve">R – Report </w:t>
      </w:r>
      <w:r>
        <w:rPr>
          <w:rFonts w:asciiTheme="minorHAnsi" w:hAnsiTheme="minorHAnsi" w:cstheme="minorHAnsi"/>
          <w:sz w:val="22"/>
          <w:szCs w:val="18"/>
        </w:rPr>
        <w:tab/>
      </w:r>
      <w:r>
        <w:rPr>
          <w:rFonts w:asciiTheme="minorHAnsi" w:hAnsiTheme="minorHAnsi" w:cstheme="minorHAnsi"/>
          <w:sz w:val="22"/>
          <w:szCs w:val="18"/>
        </w:rPr>
        <w:tab/>
      </w:r>
      <w:r>
        <w:rPr>
          <w:rFonts w:asciiTheme="minorHAnsi" w:hAnsiTheme="minorHAnsi" w:cstheme="minorHAnsi"/>
          <w:sz w:val="22"/>
          <w:szCs w:val="18"/>
        </w:rPr>
        <w:tab/>
        <w:t>TC – Training Course</w:t>
      </w:r>
    </w:p>
    <w:p w14:paraId="20C32BD6" w14:textId="77777777" w:rsidR="00580D8F" w:rsidRDefault="00580D8F" w:rsidP="00580D8F">
      <w:pPr>
        <w:rPr>
          <w:rFonts w:asciiTheme="minorHAnsi" w:hAnsiTheme="minorHAnsi" w:cstheme="minorHAnsi"/>
          <w:sz w:val="22"/>
          <w:szCs w:val="22"/>
        </w:rPr>
      </w:pPr>
      <w:r>
        <w:rPr>
          <w:rFonts w:asciiTheme="minorHAnsi" w:hAnsiTheme="minorHAnsi" w:cstheme="minorHAnsi"/>
          <w:sz w:val="22"/>
          <w:szCs w:val="22"/>
        </w:rPr>
        <w:t>W – Workshop</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We – Webinar</w:t>
      </w:r>
    </w:p>
    <w:p w14:paraId="7A756A35" w14:textId="77777777" w:rsidR="00580D8F" w:rsidRDefault="00580D8F" w:rsidP="00580D8F">
      <w:pPr>
        <w:rPr>
          <w:sz w:val="22"/>
          <w:szCs w:val="22"/>
        </w:rPr>
      </w:pPr>
      <w:r>
        <w:rPr>
          <w:rFonts w:asciiTheme="minorHAnsi" w:hAnsiTheme="minorHAnsi" w:cstheme="minorHAnsi"/>
          <w:sz w:val="22"/>
          <w:szCs w:val="22"/>
        </w:rPr>
        <w:t>E – Evaluation</w:t>
      </w:r>
    </w:p>
    <w:p w14:paraId="274DC9DF" w14:textId="77777777" w:rsidR="00580D8F" w:rsidRDefault="00580D8F" w:rsidP="002B55C1">
      <w:pPr>
        <w:spacing w:after="160" w:line="259" w:lineRule="auto"/>
      </w:pPr>
    </w:p>
    <w:p w14:paraId="221C9827" w14:textId="01322992" w:rsidR="00580D8F" w:rsidRDefault="00580D8F" w:rsidP="002B55C1">
      <w:pPr>
        <w:spacing w:after="160" w:line="259" w:lineRule="auto"/>
        <w:sectPr w:rsidR="00580D8F" w:rsidSect="00580D8F">
          <w:pgSz w:w="16838" w:h="11906" w:orient="landscape"/>
          <w:pgMar w:top="1440" w:right="1440" w:bottom="1440" w:left="1440" w:header="706" w:footer="706" w:gutter="0"/>
          <w:cols w:space="708"/>
          <w:docGrid w:linePitch="360"/>
        </w:sectPr>
      </w:pPr>
    </w:p>
    <w:p w14:paraId="1904F2C1" w14:textId="4F4ADB00" w:rsidR="002B55C1" w:rsidRDefault="002B55C1" w:rsidP="002B55C1">
      <w:pPr>
        <w:pStyle w:val="Heading2"/>
        <w:rPr>
          <w:rFonts w:asciiTheme="minorHAnsi" w:hAnsiTheme="minorHAnsi" w:cstheme="minorHAnsi"/>
          <w:b/>
          <w:bCs/>
          <w:color w:val="000000" w:themeColor="text1"/>
          <w:sz w:val="28"/>
          <w:szCs w:val="28"/>
        </w:rPr>
      </w:pPr>
      <w:bookmarkStart w:id="59" w:name="_Toc115094396"/>
      <w:r w:rsidRPr="002B55C1">
        <w:rPr>
          <w:rFonts w:asciiTheme="minorHAnsi" w:hAnsiTheme="minorHAnsi" w:cstheme="minorHAnsi"/>
          <w:b/>
          <w:bCs/>
          <w:color w:val="000000" w:themeColor="text1"/>
          <w:sz w:val="28"/>
          <w:szCs w:val="28"/>
        </w:rPr>
        <w:lastRenderedPageBreak/>
        <w:t>Annex 3: Monitoring Plan</w:t>
      </w:r>
      <w:bookmarkEnd w:id="59"/>
    </w:p>
    <w:p w14:paraId="3610AAEA" w14:textId="77777777" w:rsidR="00796126" w:rsidRDefault="00796126" w:rsidP="00796126">
      <w:pPr>
        <w:jc w:val="both"/>
        <w:rPr>
          <w:rFonts w:asciiTheme="minorHAnsi" w:hAnsiTheme="minorHAnsi"/>
          <w:sz w:val="22"/>
          <w:szCs w:val="22"/>
        </w:rPr>
      </w:pPr>
      <w:bookmarkStart w:id="60" w:name="_Toc10449648"/>
      <w:r>
        <w:rPr>
          <w:rFonts w:asciiTheme="minorHAnsi" w:hAnsiTheme="minorHAnsi"/>
          <w:sz w:val="22"/>
          <w:szCs w:val="22"/>
        </w:rPr>
        <w:t>This Monitoring Plan and the M&amp;E Plan and Budget in Section VI of this project document will both guide monitoring and evaluation at the project level for the duration of project implementation.</w:t>
      </w:r>
      <w:bookmarkEnd w:id="60"/>
      <w:r>
        <w:rPr>
          <w:rFonts w:asciiTheme="minorHAnsi" w:hAnsiTheme="minorHAnsi"/>
          <w:sz w:val="22"/>
          <w:szCs w:val="22"/>
        </w:rPr>
        <w:t xml:space="preserve">  </w:t>
      </w:r>
    </w:p>
    <w:p w14:paraId="4AB13A2C" w14:textId="77777777" w:rsidR="00796126" w:rsidRDefault="00796126" w:rsidP="002B55C1">
      <w:pPr>
        <w:spacing w:after="160" w:line="259" w:lineRule="auto"/>
      </w:pPr>
    </w:p>
    <w:tbl>
      <w:tblPr>
        <w:tblW w:w="13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00"/>
        <w:gridCol w:w="1417"/>
        <w:gridCol w:w="1417"/>
        <w:gridCol w:w="1843"/>
        <w:gridCol w:w="1257"/>
        <w:gridCol w:w="1081"/>
        <w:gridCol w:w="1218"/>
        <w:gridCol w:w="1263"/>
        <w:gridCol w:w="2619"/>
      </w:tblGrid>
      <w:tr w:rsidR="00796126" w14:paraId="3994CA91" w14:textId="77777777" w:rsidTr="00796126">
        <w:trPr>
          <w:trHeight w:val="980"/>
          <w:tblHeader/>
        </w:trPr>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EF8E2A"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Monitoring</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62DD3D3"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Indicators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241514" w14:textId="77777777" w:rsidR="00796126" w:rsidRDefault="00796126">
            <w:pPr>
              <w:rPr>
                <w:rFonts w:asciiTheme="minorHAnsi" w:hAnsiTheme="minorHAnsi" w:cstheme="minorHAnsi"/>
                <w:b/>
                <w:sz w:val="20"/>
                <w:szCs w:val="20"/>
              </w:rPr>
            </w:pPr>
          </w:p>
          <w:p w14:paraId="4E49686C"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Targets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37CE00" w14:textId="77777777" w:rsidR="00796126" w:rsidRDefault="00796126">
            <w:pPr>
              <w:rPr>
                <w:rFonts w:asciiTheme="minorHAnsi" w:hAnsiTheme="minorHAnsi" w:cstheme="minorHAnsi"/>
                <w:b/>
                <w:sz w:val="20"/>
                <w:szCs w:val="20"/>
              </w:rPr>
            </w:pPr>
          </w:p>
          <w:p w14:paraId="04E6BCE1"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Description of indicators and targets</w:t>
            </w:r>
          </w:p>
          <w:p w14:paraId="22E8C65A" w14:textId="77777777" w:rsidR="00796126" w:rsidRDefault="00796126">
            <w:pPr>
              <w:rPr>
                <w:rFonts w:asciiTheme="minorHAnsi" w:hAnsiTheme="minorHAnsi" w:cstheme="minorHAnsi"/>
                <w:b/>
                <w:sz w:val="20"/>
                <w:szCs w:val="20"/>
              </w:rPr>
            </w:pPr>
          </w:p>
        </w:tc>
        <w:tc>
          <w:tcPr>
            <w:tcW w:w="12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0E3087"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Data source/</w:t>
            </w:r>
          </w:p>
          <w:p w14:paraId="56688FF8"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Collection Methods</w:t>
            </w:r>
          </w:p>
          <w:p w14:paraId="046810A3" w14:textId="77777777" w:rsidR="00796126" w:rsidRDefault="00796126">
            <w:pPr>
              <w:rPr>
                <w:rFonts w:asciiTheme="minorHAnsi" w:hAnsiTheme="minorHAnsi" w:cstheme="minorHAnsi"/>
                <w:b/>
                <w:sz w:val="20"/>
                <w:szCs w:val="20"/>
              </w:rPr>
            </w:pPr>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52F424"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Frequency</w:t>
            </w:r>
          </w:p>
          <w:p w14:paraId="346CC206" w14:textId="77777777" w:rsidR="00796126" w:rsidRDefault="00796126">
            <w:pPr>
              <w:rPr>
                <w:rFonts w:asciiTheme="minorHAnsi" w:hAnsiTheme="minorHAnsi" w:cstheme="minorHAnsi"/>
                <w:b/>
                <w:sz w:val="20"/>
                <w:szCs w:val="20"/>
              </w:rPr>
            </w:pPr>
          </w:p>
        </w:tc>
        <w:tc>
          <w:tcPr>
            <w:tcW w:w="12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5C3BD1"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Responsible for data collection</w:t>
            </w:r>
          </w:p>
        </w:tc>
        <w:tc>
          <w:tcPr>
            <w:tcW w:w="126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6FA063"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Means of verification</w:t>
            </w:r>
          </w:p>
        </w:tc>
        <w:tc>
          <w:tcPr>
            <w:tcW w:w="26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68B92D"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Risks/Assumptions</w:t>
            </w:r>
          </w:p>
        </w:tc>
      </w:tr>
      <w:tr w:rsidR="00796126" w:rsidRPr="00796126" w14:paraId="4810C289" w14:textId="77777777" w:rsidTr="00796126">
        <w:trPr>
          <w:trHeight w:val="1358"/>
        </w:trPr>
        <w:tc>
          <w:tcPr>
            <w:tcW w:w="1701" w:type="dxa"/>
            <w:vMerge w:val="restart"/>
            <w:tcBorders>
              <w:top w:val="single" w:sz="4" w:space="0" w:color="000000"/>
              <w:left w:val="single" w:sz="4" w:space="0" w:color="000000"/>
              <w:bottom w:val="single" w:sz="4" w:space="0" w:color="000000"/>
              <w:right w:val="single" w:sz="4" w:space="0" w:color="000000"/>
            </w:tcBorders>
            <w:hideMark/>
          </w:tcPr>
          <w:p w14:paraId="1C2BE0A3"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 xml:space="preserve">Project objective </w:t>
            </w:r>
            <w:r>
              <w:rPr>
                <w:rFonts w:asciiTheme="minorHAnsi" w:hAnsiTheme="minorHAnsi" w:cstheme="minorHAnsi"/>
                <w:sz w:val="20"/>
                <w:szCs w:val="20"/>
              </w:rPr>
              <w:t xml:space="preserve">Towards a more impactful GEF portfolio: facilitating replication of good practice across GEF International Waters projects, including projects across all focal areas in Small Island Developing States, working in collaboration with development partners, supporting the delivery of training information management, providing programmatic guidance and </w:t>
            </w:r>
            <w:r>
              <w:rPr>
                <w:rFonts w:asciiTheme="minorHAnsi" w:hAnsiTheme="minorHAnsi" w:cstheme="minorHAnsi"/>
                <w:sz w:val="20"/>
                <w:szCs w:val="20"/>
              </w:rPr>
              <w:lastRenderedPageBreak/>
              <w:t>facilitating partnership building</w:t>
            </w:r>
          </w:p>
        </w:tc>
        <w:tc>
          <w:tcPr>
            <w:tcW w:w="1418" w:type="dxa"/>
            <w:tcBorders>
              <w:top w:val="single" w:sz="4" w:space="0" w:color="000000"/>
              <w:left w:val="single" w:sz="4" w:space="0" w:color="000000"/>
              <w:bottom w:val="single" w:sz="4" w:space="0" w:color="000000"/>
              <w:right w:val="single" w:sz="4" w:space="0" w:color="000000"/>
            </w:tcBorders>
            <w:hideMark/>
          </w:tcPr>
          <w:p w14:paraId="5A559D63"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lastRenderedPageBreak/>
              <w:t xml:space="preserve">Indicator 1 </w:t>
            </w:r>
          </w:p>
          <w:p w14:paraId="2183C671" w14:textId="77777777" w:rsidR="00796126" w:rsidRDefault="00796126">
            <w:pPr>
              <w:rPr>
                <w:rFonts w:asciiTheme="minorHAnsi" w:hAnsiTheme="minorHAnsi" w:cstheme="minorHAnsi"/>
                <w:i/>
                <w:sz w:val="20"/>
                <w:szCs w:val="20"/>
              </w:rPr>
            </w:pPr>
            <w:r>
              <w:rPr>
                <w:rFonts w:asciiTheme="minorHAnsi" w:hAnsiTheme="minorHAnsi" w:cstheme="minorHAnsi"/>
                <w:sz w:val="20"/>
                <w:szCs w:val="20"/>
              </w:rPr>
              <w:t>Number of direct project beneficiaries disaggregated by gender (individual people)</w:t>
            </w:r>
          </w:p>
        </w:tc>
        <w:tc>
          <w:tcPr>
            <w:tcW w:w="1417" w:type="dxa"/>
            <w:tcBorders>
              <w:top w:val="single" w:sz="4" w:space="0" w:color="000000"/>
              <w:left w:val="single" w:sz="4" w:space="0" w:color="000000"/>
              <w:bottom w:val="single" w:sz="4" w:space="0" w:color="000000"/>
              <w:right w:val="single" w:sz="4" w:space="0" w:color="000000"/>
            </w:tcBorders>
            <w:hideMark/>
          </w:tcPr>
          <w:p w14:paraId="5760B0F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1000 (500 females, 500 males)</w:t>
            </w:r>
          </w:p>
          <w:p w14:paraId="337204B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2000 (1000 females, 1000 males)</w:t>
            </w:r>
          </w:p>
        </w:tc>
        <w:tc>
          <w:tcPr>
            <w:tcW w:w="1843" w:type="dxa"/>
            <w:tcBorders>
              <w:top w:val="single" w:sz="4" w:space="0" w:color="000000"/>
              <w:left w:val="single" w:sz="4" w:space="0" w:color="000000"/>
              <w:bottom w:val="single" w:sz="4" w:space="0" w:color="000000"/>
              <w:right w:val="single" w:sz="4" w:space="0" w:color="000000"/>
            </w:tcBorders>
            <w:hideMark/>
          </w:tcPr>
          <w:p w14:paraId="382BCC8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is focused on capacity building and stimulation of thematic dialogues which involve large number of participants</w:t>
            </w:r>
          </w:p>
        </w:tc>
        <w:tc>
          <w:tcPr>
            <w:tcW w:w="1257" w:type="dxa"/>
            <w:tcBorders>
              <w:top w:val="single" w:sz="4" w:space="0" w:color="000000"/>
              <w:left w:val="single" w:sz="4" w:space="0" w:color="000000"/>
              <w:bottom w:val="single" w:sz="4" w:space="0" w:color="000000"/>
              <w:right w:val="single" w:sz="4" w:space="0" w:color="000000"/>
            </w:tcBorders>
            <w:hideMark/>
          </w:tcPr>
          <w:p w14:paraId="03522E0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IWC, training, twinning and dialogue reports and monitoring of usage of online resources</w:t>
            </w:r>
          </w:p>
        </w:tc>
        <w:tc>
          <w:tcPr>
            <w:tcW w:w="1081" w:type="dxa"/>
            <w:tcBorders>
              <w:top w:val="single" w:sz="4" w:space="0" w:color="000000"/>
              <w:left w:val="single" w:sz="4" w:space="0" w:color="000000"/>
              <w:bottom w:val="single" w:sz="4" w:space="0" w:color="000000"/>
              <w:right w:val="single" w:sz="4" w:space="0" w:color="000000"/>
            </w:tcBorders>
            <w:hideMark/>
          </w:tcPr>
          <w:p w14:paraId="02BCE4B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tcPr>
          <w:p w14:paraId="239E107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PCU (Project Coordination Unit) </w:t>
            </w:r>
          </w:p>
          <w:p w14:paraId="01EAEF50" w14:textId="77777777" w:rsidR="00796126" w:rsidRDefault="00796126">
            <w:pPr>
              <w:rPr>
                <w:rFonts w:asciiTheme="minorHAnsi" w:hAnsiTheme="minorHAnsi" w:cstheme="minorHAnsi"/>
                <w:sz w:val="20"/>
                <w:szCs w:val="20"/>
              </w:rPr>
            </w:pPr>
          </w:p>
        </w:tc>
        <w:tc>
          <w:tcPr>
            <w:tcW w:w="1263" w:type="dxa"/>
            <w:tcBorders>
              <w:top w:val="single" w:sz="4" w:space="0" w:color="000000"/>
              <w:left w:val="single" w:sz="4" w:space="0" w:color="000000"/>
              <w:bottom w:val="single" w:sz="4" w:space="0" w:color="000000"/>
              <w:right w:val="single" w:sz="4" w:space="0" w:color="000000"/>
            </w:tcBorders>
            <w:hideMark/>
          </w:tcPr>
          <w:p w14:paraId="2CEB777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PIR</w:t>
            </w:r>
          </w:p>
          <w:p w14:paraId="60534BA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Meeting, training and conference reports</w:t>
            </w:r>
          </w:p>
        </w:tc>
        <w:tc>
          <w:tcPr>
            <w:tcW w:w="2620" w:type="dxa"/>
            <w:tcBorders>
              <w:top w:val="single" w:sz="4" w:space="0" w:color="000000"/>
              <w:left w:val="single" w:sz="4" w:space="0" w:color="000000"/>
              <w:bottom w:val="single" w:sz="4" w:space="0" w:color="000000"/>
              <w:right w:val="single" w:sz="4" w:space="0" w:color="000000"/>
            </w:tcBorders>
            <w:hideMark/>
          </w:tcPr>
          <w:p w14:paraId="768934D4"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xml:space="preserve">: Not all GEF IW projects are willing to engage in learning activities </w:t>
            </w:r>
          </w:p>
          <w:p w14:paraId="08BCA4F3"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Project stakeholders will be expressly encouraged to utilize GEF IW:LEARN services at all levels of implementation and execution</w:t>
            </w:r>
          </w:p>
        </w:tc>
      </w:tr>
      <w:tr w:rsidR="00796126" w:rsidRPr="00796126" w14:paraId="03D45223" w14:textId="77777777" w:rsidTr="00796126">
        <w:trPr>
          <w:trHeight w:val="278"/>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03EDD1" w14:textId="77777777" w:rsidR="00796126" w:rsidRDefault="00796126">
            <w:pPr>
              <w:rPr>
                <w:rFonts w:asciiTheme="minorHAnsi" w:hAnsiTheme="minorHAnsi" w:cstheme="minorHAnsi"/>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1FC741EB"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2</w:t>
            </w:r>
          </w:p>
          <w:p w14:paraId="3A38A9C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Number of shared water ecosystems (fresh or marine) under new or improved cooperative management</w:t>
            </w:r>
          </w:p>
        </w:tc>
        <w:tc>
          <w:tcPr>
            <w:tcW w:w="1417" w:type="dxa"/>
            <w:tcBorders>
              <w:top w:val="single" w:sz="4" w:space="0" w:color="000000"/>
              <w:left w:val="single" w:sz="4" w:space="0" w:color="000000"/>
              <w:bottom w:val="single" w:sz="4" w:space="0" w:color="000000"/>
              <w:right w:val="single" w:sz="4" w:space="0" w:color="000000"/>
            </w:tcBorders>
            <w:hideMark/>
          </w:tcPr>
          <w:p w14:paraId="2AD686E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10</w:t>
            </w:r>
          </w:p>
          <w:p w14:paraId="0302CBB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20</w:t>
            </w:r>
          </w:p>
        </w:tc>
        <w:tc>
          <w:tcPr>
            <w:tcW w:w="1843" w:type="dxa"/>
            <w:tcBorders>
              <w:top w:val="single" w:sz="4" w:space="0" w:color="000000"/>
              <w:left w:val="single" w:sz="4" w:space="0" w:color="000000"/>
              <w:bottom w:val="single" w:sz="4" w:space="0" w:color="000000"/>
              <w:right w:val="single" w:sz="4" w:space="0" w:color="000000"/>
            </w:tcBorders>
            <w:hideMark/>
          </w:tcPr>
          <w:p w14:paraId="1D4E56B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Application of new and/or improved cooperative management approaches is an indicator of replication of good practices. Targets are commensurate with the number of transboundary projects.</w:t>
            </w:r>
          </w:p>
        </w:tc>
        <w:tc>
          <w:tcPr>
            <w:tcW w:w="1257" w:type="dxa"/>
            <w:tcBorders>
              <w:top w:val="single" w:sz="4" w:space="0" w:color="000000"/>
              <w:left w:val="single" w:sz="4" w:space="0" w:color="000000"/>
              <w:bottom w:val="single" w:sz="4" w:space="0" w:color="000000"/>
              <w:right w:val="single" w:sz="4" w:space="0" w:color="000000"/>
            </w:tcBorders>
          </w:tcPr>
          <w:p w14:paraId="6160A003"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IW twinning activities </w:t>
            </w:r>
          </w:p>
          <w:p w14:paraId="52E79085"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18A01AB5" w14:textId="77777777" w:rsidR="00796126" w:rsidRDefault="00796126">
            <w:pPr>
              <w:rPr>
                <w:rFonts w:asciiTheme="minorHAnsi" w:hAnsiTheme="minorHAnsi" w:cstheme="minorHAnsi"/>
                <w:color w:val="000000"/>
                <w:sz w:val="20"/>
                <w:szCs w:val="20"/>
              </w:rPr>
            </w:pPr>
          </w:p>
          <w:p w14:paraId="512D43CE" w14:textId="77777777" w:rsidR="00796126" w:rsidRDefault="00796126">
            <w:pPr>
              <w:rPr>
                <w:rFonts w:asciiTheme="minorHAnsi" w:hAnsiTheme="minorHAnsi" w:cstheme="minorHAnsi"/>
                <w:color w:val="000000"/>
                <w:sz w:val="20"/>
                <w:szCs w:val="20"/>
              </w:rPr>
            </w:pPr>
          </w:p>
          <w:p w14:paraId="508F1C90" w14:textId="77777777" w:rsidR="00796126" w:rsidRDefault="00796126">
            <w:pPr>
              <w:rPr>
                <w:rFonts w:asciiTheme="minorHAnsi" w:hAnsiTheme="minorHAnsi" w:cstheme="minorHAns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1D479B4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5F1CB9E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PCU</w:t>
            </w:r>
          </w:p>
        </w:tc>
        <w:tc>
          <w:tcPr>
            <w:tcW w:w="1263" w:type="dxa"/>
            <w:tcBorders>
              <w:top w:val="single" w:sz="4" w:space="0" w:color="000000"/>
              <w:left w:val="single" w:sz="4" w:space="0" w:color="000000"/>
              <w:bottom w:val="single" w:sz="4" w:space="0" w:color="000000"/>
              <w:right w:val="single" w:sz="4" w:space="0" w:color="000000"/>
            </w:tcBorders>
            <w:hideMark/>
          </w:tcPr>
          <w:p w14:paraId="6C1494D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PIR</w:t>
            </w:r>
          </w:p>
          <w:p w14:paraId="6C9F6967" w14:textId="77777777" w:rsidR="00796126" w:rsidRDefault="00796126">
            <w:pPr>
              <w:rPr>
                <w:rFonts w:asciiTheme="minorHAnsi" w:hAnsiTheme="minorHAnsi" w:cstheme="minorHAnsi"/>
                <w:i/>
                <w:sz w:val="20"/>
                <w:szCs w:val="20"/>
              </w:rPr>
            </w:pPr>
            <w:r>
              <w:rPr>
                <w:rFonts w:asciiTheme="minorHAnsi" w:hAnsiTheme="minorHAnsi" w:cstheme="minorHAnsi"/>
                <w:sz w:val="20"/>
                <w:szCs w:val="20"/>
              </w:rPr>
              <w:t>Meeting, training and conference reports</w:t>
            </w:r>
          </w:p>
        </w:tc>
        <w:tc>
          <w:tcPr>
            <w:tcW w:w="2620" w:type="dxa"/>
            <w:tcBorders>
              <w:top w:val="single" w:sz="4" w:space="0" w:color="000000"/>
              <w:left w:val="single" w:sz="4" w:space="0" w:color="000000"/>
              <w:bottom w:val="single" w:sz="4" w:space="0" w:color="000000"/>
              <w:right w:val="single" w:sz="4" w:space="0" w:color="000000"/>
            </w:tcBorders>
            <w:hideMark/>
          </w:tcPr>
          <w:p w14:paraId="3A9B7826"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Inadequate capacity to develop/adopt new approaches</w:t>
            </w:r>
          </w:p>
          <w:p w14:paraId="795D1AA6"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xml:space="preserve">: IW projects willing to participate in the capacity building </w:t>
            </w:r>
            <w:proofErr w:type="spellStart"/>
            <w:r>
              <w:rPr>
                <w:rFonts w:asciiTheme="minorHAnsi" w:hAnsiTheme="minorHAnsi" w:cstheme="minorHAnsi"/>
                <w:sz w:val="20"/>
                <w:szCs w:val="20"/>
              </w:rPr>
              <w:t>programmes</w:t>
            </w:r>
            <w:proofErr w:type="spellEnd"/>
            <w:r>
              <w:rPr>
                <w:rFonts w:asciiTheme="minorHAnsi" w:hAnsiTheme="minorHAnsi" w:cstheme="minorHAnsi"/>
                <w:sz w:val="20"/>
                <w:szCs w:val="20"/>
              </w:rPr>
              <w:t xml:space="preserve"> </w:t>
            </w:r>
          </w:p>
        </w:tc>
      </w:tr>
      <w:tr w:rsidR="00796126" w:rsidRPr="00796126" w14:paraId="593CB1D6" w14:textId="77777777" w:rsidTr="00796126">
        <w:trPr>
          <w:trHeight w:val="424"/>
        </w:trPr>
        <w:tc>
          <w:tcPr>
            <w:tcW w:w="1701" w:type="dxa"/>
            <w:vMerge w:val="restart"/>
            <w:tcBorders>
              <w:top w:val="single" w:sz="4" w:space="0" w:color="000000"/>
              <w:left w:val="single" w:sz="4" w:space="0" w:color="000000"/>
              <w:bottom w:val="single" w:sz="4" w:space="0" w:color="000000"/>
              <w:right w:val="single" w:sz="4" w:space="0" w:color="000000"/>
            </w:tcBorders>
            <w:hideMark/>
          </w:tcPr>
          <w:p w14:paraId="035FB7B3" w14:textId="77777777" w:rsidR="00796126" w:rsidRDefault="00796126">
            <w:pPr>
              <w:rPr>
                <w:rFonts w:asciiTheme="minorHAnsi" w:hAnsiTheme="minorHAnsi" w:cstheme="minorHAnsi"/>
                <w:sz w:val="20"/>
                <w:szCs w:val="20"/>
              </w:rPr>
            </w:pPr>
            <w:r>
              <w:rPr>
                <w:rFonts w:asciiTheme="minorHAnsi" w:hAnsiTheme="minorHAnsi" w:cstheme="minorHAnsi"/>
                <w:b/>
                <w:sz w:val="20"/>
                <w:szCs w:val="20"/>
              </w:rPr>
              <w:t>Project Outcome 1</w:t>
            </w:r>
            <w:r>
              <w:rPr>
                <w:rFonts w:asciiTheme="minorHAnsi" w:hAnsiTheme="minorHAnsi" w:cstheme="minorHAnsi"/>
                <w:sz w:val="20"/>
                <w:szCs w:val="20"/>
              </w:rPr>
              <w:t xml:space="preserve"> Enhanced portfolio and development partner capacity</w:t>
            </w:r>
          </w:p>
          <w:p w14:paraId="0A16FD3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at the national, regional and global levels, and improved</w:t>
            </w:r>
          </w:p>
          <w:p w14:paraId="2EFDAAE8" w14:textId="77777777" w:rsidR="00796126" w:rsidRDefault="00796126">
            <w:pPr>
              <w:rPr>
                <w:rFonts w:asciiTheme="minorHAnsi" w:hAnsiTheme="minorHAnsi" w:cstheme="minorHAnsi"/>
                <w:b/>
                <w:sz w:val="20"/>
                <w:szCs w:val="20"/>
              </w:rPr>
            </w:pPr>
            <w:r>
              <w:rPr>
                <w:rFonts w:asciiTheme="minorHAnsi" w:hAnsiTheme="minorHAnsi" w:cstheme="minorHAnsi"/>
                <w:sz w:val="20"/>
                <w:szCs w:val="20"/>
              </w:rPr>
              <w:t>portfolio-wide project performance</w:t>
            </w:r>
          </w:p>
        </w:tc>
        <w:tc>
          <w:tcPr>
            <w:tcW w:w="1418" w:type="dxa"/>
            <w:tcBorders>
              <w:top w:val="single" w:sz="4" w:space="0" w:color="000000"/>
              <w:left w:val="single" w:sz="4" w:space="0" w:color="000000"/>
              <w:bottom w:val="single" w:sz="4" w:space="0" w:color="000000"/>
              <w:right w:val="single" w:sz="4" w:space="0" w:color="000000"/>
            </w:tcBorders>
            <w:hideMark/>
          </w:tcPr>
          <w:p w14:paraId="54926464"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3</w:t>
            </w:r>
          </w:p>
          <w:p w14:paraId="0F222F9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Number of IW projects indicate at least 1 enhanced management or governance approach following workshops / IWC / twinning</w:t>
            </w:r>
          </w:p>
        </w:tc>
        <w:tc>
          <w:tcPr>
            <w:tcW w:w="1417" w:type="dxa"/>
            <w:tcBorders>
              <w:top w:val="single" w:sz="4" w:space="0" w:color="000000"/>
              <w:left w:val="single" w:sz="4" w:space="0" w:color="000000"/>
              <w:bottom w:val="single" w:sz="4" w:space="0" w:color="000000"/>
              <w:right w:val="single" w:sz="4" w:space="0" w:color="000000"/>
            </w:tcBorders>
            <w:hideMark/>
          </w:tcPr>
          <w:p w14:paraId="2D877BF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20 IW projects indicate at least 1 enhanced management or governance approach after attending workshops/ IWC/twinning</w:t>
            </w:r>
          </w:p>
          <w:p w14:paraId="41AC2FC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60 IW projects indicate at least 1 enhanced management or governance approach after attending workshops/IWC/twinning</w:t>
            </w:r>
          </w:p>
        </w:tc>
        <w:tc>
          <w:tcPr>
            <w:tcW w:w="1843" w:type="dxa"/>
            <w:tcBorders>
              <w:top w:val="single" w:sz="4" w:space="0" w:color="000000"/>
              <w:left w:val="single" w:sz="4" w:space="0" w:color="000000"/>
              <w:bottom w:val="single" w:sz="4" w:space="0" w:color="000000"/>
              <w:right w:val="single" w:sz="4" w:space="0" w:color="000000"/>
            </w:tcBorders>
            <w:hideMark/>
          </w:tcPr>
          <w:p w14:paraId="05B1350B"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Workshops/IWC/ twinning are opportunities for IW projects to learn of new approaches implemented elsewhere and learn how to implement it in their own setting. At the end of reporting period they will have to prove that they have replicated the new approaches. Target values are based on 80-100% of current IW projects.</w:t>
            </w:r>
          </w:p>
        </w:tc>
        <w:tc>
          <w:tcPr>
            <w:tcW w:w="1257" w:type="dxa"/>
            <w:tcBorders>
              <w:top w:val="single" w:sz="4" w:space="0" w:color="000000"/>
              <w:left w:val="single" w:sz="4" w:space="0" w:color="000000"/>
              <w:bottom w:val="single" w:sz="4" w:space="0" w:color="000000"/>
              <w:right w:val="single" w:sz="4" w:space="0" w:color="000000"/>
            </w:tcBorders>
            <w:hideMark/>
          </w:tcPr>
          <w:p w14:paraId="7A4C9B5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Reports from IW twinning activities</w:t>
            </w:r>
          </w:p>
          <w:p w14:paraId="67F1641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IWC reports</w:t>
            </w:r>
          </w:p>
          <w:p w14:paraId="329921B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Training workshop reports</w:t>
            </w:r>
          </w:p>
        </w:tc>
        <w:tc>
          <w:tcPr>
            <w:tcW w:w="1081" w:type="dxa"/>
            <w:tcBorders>
              <w:top w:val="single" w:sz="4" w:space="0" w:color="000000"/>
              <w:left w:val="single" w:sz="4" w:space="0" w:color="000000"/>
              <w:bottom w:val="single" w:sz="4" w:space="0" w:color="000000"/>
              <w:right w:val="single" w:sz="4" w:space="0" w:color="000000"/>
            </w:tcBorders>
            <w:hideMark/>
          </w:tcPr>
          <w:p w14:paraId="37AF4A2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5ABC06B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7A59964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 projects’ PCU</w:t>
            </w:r>
          </w:p>
        </w:tc>
        <w:tc>
          <w:tcPr>
            <w:tcW w:w="1263" w:type="dxa"/>
            <w:tcBorders>
              <w:top w:val="single" w:sz="4" w:space="0" w:color="000000"/>
              <w:left w:val="single" w:sz="4" w:space="0" w:color="000000"/>
              <w:bottom w:val="single" w:sz="4" w:space="0" w:color="000000"/>
              <w:right w:val="single" w:sz="4" w:space="0" w:color="000000"/>
            </w:tcBorders>
            <w:hideMark/>
          </w:tcPr>
          <w:p w14:paraId="59E81EA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PIR</w:t>
            </w:r>
          </w:p>
          <w:p w14:paraId="38ECD14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Meeting, training and conference reports</w:t>
            </w:r>
          </w:p>
          <w:p w14:paraId="7026284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Project outputs </w:t>
            </w:r>
          </w:p>
        </w:tc>
        <w:tc>
          <w:tcPr>
            <w:tcW w:w="2620" w:type="dxa"/>
            <w:tcBorders>
              <w:top w:val="single" w:sz="4" w:space="0" w:color="000000"/>
              <w:left w:val="single" w:sz="4" w:space="0" w:color="000000"/>
              <w:bottom w:val="single" w:sz="4" w:space="0" w:color="000000"/>
              <w:right w:val="single" w:sz="4" w:space="0" w:color="000000"/>
            </w:tcBorders>
            <w:hideMark/>
          </w:tcPr>
          <w:p w14:paraId="02E3F334"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xml:space="preserve"> Not all GEF IW projects are willing to engage in learning activities </w:t>
            </w:r>
          </w:p>
          <w:p w14:paraId="7DF5C969"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Project stakeholders will be expressly encouraged to utilize GEF IW:LEARN services at all levels of implementation and execution</w:t>
            </w:r>
          </w:p>
        </w:tc>
      </w:tr>
      <w:tr w:rsidR="00796126" w:rsidRPr="00796126" w14:paraId="2866E944" w14:textId="77777777" w:rsidTr="00796126">
        <w:trPr>
          <w:trHeight w:val="4532"/>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7F56DB" w14:textId="77777777" w:rsidR="00796126" w:rsidRDefault="00796126">
            <w:pPr>
              <w:rPr>
                <w:rFonts w:asciiTheme="minorHAnsi" w:hAnsiTheme="minorHAnsi" w:cstheme="minorHAnsi"/>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1833C98E"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4</w:t>
            </w:r>
          </w:p>
          <w:p w14:paraId="15C816B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Basins have enhanced co-operation or thematic knowledge as a result of IWL activities</w:t>
            </w:r>
          </w:p>
        </w:tc>
        <w:tc>
          <w:tcPr>
            <w:tcW w:w="1417" w:type="dxa"/>
            <w:tcBorders>
              <w:top w:val="single" w:sz="4" w:space="0" w:color="000000"/>
              <w:left w:val="single" w:sz="4" w:space="0" w:color="000000"/>
              <w:bottom w:val="single" w:sz="4" w:space="0" w:color="000000"/>
              <w:right w:val="single" w:sz="4" w:space="0" w:color="000000"/>
            </w:tcBorders>
            <w:hideMark/>
          </w:tcPr>
          <w:p w14:paraId="381B506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2 Basins have enhanced cooperation or thematic knowledge as a result of IWL</w:t>
            </w:r>
          </w:p>
          <w:p w14:paraId="0AE9546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4 Basins have enhanced cooperation or thematic knowledge as a result of IWL</w:t>
            </w:r>
          </w:p>
        </w:tc>
        <w:tc>
          <w:tcPr>
            <w:tcW w:w="1843" w:type="dxa"/>
            <w:tcBorders>
              <w:top w:val="single" w:sz="4" w:space="0" w:color="000000"/>
              <w:left w:val="single" w:sz="4" w:space="0" w:color="000000"/>
              <w:bottom w:val="single" w:sz="4" w:space="0" w:color="000000"/>
              <w:right w:val="single" w:sz="4" w:space="0" w:color="000000"/>
            </w:tcBorders>
            <w:hideMark/>
          </w:tcPr>
          <w:p w14:paraId="3458592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Inter-basin cooperation includes replication of successful comprehensive governance and management approaches at the basin level or thematic approaches such as MSP, MPA, Source-to-Sea management etc. Target value are based on the estimate of capacity of basins to get involved in successful cooperation initiatives</w:t>
            </w:r>
          </w:p>
        </w:tc>
        <w:tc>
          <w:tcPr>
            <w:tcW w:w="1257" w:type="dxa"/>
            <w:tcBorders>
              <w:top w:val="single" w:sz="4" w:space="0" w:color="000000"/>
              <w:left w:val="single" w:sz="4" w:space="0" w:color="000000"/>
              <w:bottom w:val="single" w:sz="4" w:space="0" w:color="000000"/>
              <w:right w:val="single" w:sz="4" w:space="0" w:color="000000"/>
            </w:tcBorders>
          </w:tcPr>
          <w:p w14:paraId="3C60DD3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Reports from IW twinning activities</w:t>
            </w:r>
          </w:p>
          <w:p w14:paraId="6B12B18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IWC reports</w:t>
            </w:r>
          </w:p>
          <w:p w14:paraId="4732B87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Training workshop reports</w:t>
            </w:r>
          </w:p>
          <w:p w14:paraId="7FDB1D9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Regional dialogue participation</w:t>
            </w:r>
          </w:p>
          <w:p w14:paraId="140A454E" w14:textId="77777777" w:rsidR="00796126" w:rsidRDefault="00796126">
            <w:pPr>
              <w:rPr>
                <w:rFonts w:asciiTheme="minorHAnsi" w:hAnsiTheme="minorHAnsi" w:cstheme="minorHAnsi"/>
                <w: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69117E1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5F1F913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59121EA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 projects’ PCU</w:t>
            </w:r>
          </w:p>
        </w:tc>
        <w:tc>
          <w:tcPr>
            <w:tcW w:w="1263" w:type="dxa"/>
            <w:tcBorders>
              <w:top w:val="single" w:sz="4" w:space="0" w:color="000000"/>
              <w:left w:val="single" w:sz="4" w:space="0" w:color="000000"/>
              <w:bottom w:val="single" w:sz="4" w:space="0" w:color="000000"/>
              <w:right w:val="single" w:sz="4" w:space="0" w:color="000000"/>
            </w:tcBorders>
            <w:hideMark/>
          </w:tcPr>
          <w:p w14:paraId="272DDCCF"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IW twinning activities </w:t>
            </w:r>
          </w:p>
          <w:p w14:paraId="257CAE45"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3B3641F7"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2B8D83B6"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Thematic project reports, management plans, marine spatial plans etc.</w:t>
            </w:r>
          </w:p>
        </w:tc>
        <w:tc>
          <w:tcPr>
            <w:tcW w:w="2620" w:type="dxa"/>
            <w:tcBorders>
              <w:top w:val="single" w:sz="4" w:space="0" w:color="000000"/>
              <w:left w:val="single" w:sz="4" w:space="0" w:color="000000"/>
              <w:bottom w:val="single" w:sz="4" w:space="0" w:color="000000"/>
              <w:right w:val="single" w:sz="4" w:space="0" w:color="000000"/>
            </w:tcBorders>
            <w:hideMark/>
          </w:tcPr>
          <w:p w14:paraId="6F02B4E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Risk: Insufficient country involvement in GEF IW:LEARN activities </w:t>
            </w:r>
          </w:p>
          <w:p w14:paraId="55E40A2B"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GEF IW:LEARN and all GEF IW projects will actively engage country representatives and ensure awareness of events etc. in support of national processes</w:t>
            </w:r>
          </w:p>
        </w:tc>
      </w:tr>
      <w:tr w:rsidR="00796126" w:rsidRPr="00796126" w14:paraId="4CED6440" w14:textId="77777777" w:rsidTr="00796126">
        <w:trPr>
          <w:trHeight w:val="424"/>
        </w:trPr>
        <w:tc>
          <w:tcPr>
            <w:tcW w:w="1701" w:type="dxa"/>
            <w:tcBorders>
              <w:top w:val="single" w:sz="4" w:space="0" w:color="000000"/>
              <w:left w:val="single" w:sz="4" w:space="0" w:color="000000"/>
              <w:bottom w:val="single" w:sz="4" w:space="0" w:color="000000"/>
              <w:right w:val="single" w:sz="4" w:space="0" w:color="000000"/>
            </w:tcBorders>
            <w:hideMark/>
          </w:tcPr>
          <w:p w14:paraId="0F0FA0C9" w14:textId="77777777" w:rsidR="00796126" w:rsidRDefault="00796126">
            <w:pPr>
              <w:rPr>
                <w:rFonts w:asciiTheme="minorHAnsi" w:hAnsiTheme="minorHAnsi" w:cstheme="minorHAnsi"/>
                <w:sz w:val="20"/>
                <w:szCs w:val="20"/>
              </w:rPr>
            </w:pPr>
            <w:r>
              <w:rPr>
                <w:rFonts w:asciiTheme="minorHAnsi" w:hAnsiTheme="minorHAnsi" w:cstheme="minorHAnsi"/>
                <w:b/>
                <w:sz w:val="20"/>
                <w:szCs w:val="20"/>
              </w:rPr>
              <w:t xml:space="preserve">Project Outcome 2 </w:t>
            </w:r>
            <w:r>
              <w:rPr>
                <w:rFonts w:asciiTheme="minorHAnsi" w:hAnsiTheme="minorHAnsi" w:cstheme="minorHAnsi"/>
                <w:sz w:val="20"/>
                <w:szCs w:val="20"/>
              </w:rPr>
              <w:t>Increased global awareness of GEF results and increased GEF</w:t>
            </w:r>
          </w:p>
          <w:p w14:paraId="6597F2A5" w14:textId="77777777" w:rsidR="00796126" w:rsidRDefault="00796126">
            <w:pPr>
              <w:rPr>
                <w:rFonts w:asciiTheme="minorHAnsi" w:hAnsiTheme="minorHAnsi" w:cstheme="minorHAnsi"/>
                <w:b/>
                <w:sz w:val="20"/>
                <w:szCs w:val="20"/>
              </w:rPr>
            </w:pPr>
            <w:r>
              <w:rPr>
                <w:rFonts w:asciiTheme="minorHAnsi" w:hAnsiTheme="minorHAnsi" w:cstheme="minorHAnsi"/>
                <w:sz w:val="20"/>
                <w:szCs w:val="20"/>
              </w:rPr>
              <w:t>Partnerships beyond the portfolio</w:t>
            </w:r>
          </w:p>
        </w:tc>
        <w:tc>
          <w:tcPr>
            <w:tcW w:w="1418" w:type="dxa"/>
            <w:tcBorders>
              <w:top w:val="single" w:sz="4" w:space="0" w:color="000000"/>
              <w:left w:val="single" w:sz="4" w:space="0" w:color="000000"/>
              <w:bottom w:val="single" w:sz="4" w:space="0" w:color="000000"/>
              <w:right w:val="single" w:sz="4" w:space="0" w:color="000000"/>
            </w:tcBorders>
            <w:hideMark/>
          </w:tcPr>
          <w:p w14:paraId="1144838E"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 xml:space="preserve">Indicator 5 </w:t>
            </w:r>
          </w:p>
          <w:p w14:paraId="0C77896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GEF IW projects have increased visibility at key global dialogue events</w:t>
            </w:r>
          </w:p>
        </w:tc>
        <w:tc>
          <w:tcPr>
            <w:tcW w:w="1417" w:type="dxa"/>
            <w:tcBorders>
              <w:top w:val="single" w:sz="4" w:space="0" w:color="000000"/>
              <w:left w:val="single" w:sz="4" w:space="0" w:color="000000"/>
              <w:bottom w:val="single" w:sz="4" w:space="0" w:color="000000"/>
              <w:right w:val="single" w:sz="4" w:space="0" w:color="000000"/>
            </w:tcBorders>
            <w:hideMark/>
          </w:tcPr>
          <w:p w14:paraId="60DDD07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2 projects report new project partners as a result of global dialogue participation</w:t>
            </w:r>
          </w:p>
          <w:p w14:paraId="3894101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End: 6 projects report new project partners as a result of global dialogue participation</w:t>
            </w:r>
          </w:p>
        </w:tc>
        <w:tc>
          <w:tcPr>
            <w:tcW w:w="1843" w:type="dxa"/>
            <w:tcBorders>
              <w:top w:val="single" w:sz="4" w:space="0" w:color="000000"/>
              <w:left w:val="single" w:sz="4" w:space="0" w:color="000000"/>
              <w:bottom w:val="single" w:sz="4" w:space="0" w:color="000000"/>
              <w:right w:val="single" w:sz="4" w:space="0" w:color="000000"/>
            </w:tcBorders>
            <w:hideMark/>
          </w:tcPr>
          <w:p w14:paraId="233B3E65" w14:textId="77777777" w:rsidR="00796126" w:rsidRDefault="00796126">
            <w:pPr>
              <w:rPr>
                <w:rFonts w:asciiTheme="minorHAnsi" w:hAnsiTheme="minorHAnsi" w:cstheme="minorHAnsi"/>
                <w:i/>
                <w:sz w:val="20"/>
                <w:szCs w:val="20"/>
              </w:rPr>
            </w:pPr>
            <w:r>
              <w:rPr>
                <w:rFonts w:asciiTheme="minorHAnsi" w:hAnsiTheme="minorHAnsi" w:cstheme="minorHAnsi"/>
                <w:sz w:val="20"/>
                <w:szCs w:val="20"/>
              </w:rPr>
              <w:lastRenderedPageBreak/>
              <w:t xml:space="preserve">Besides GEF IW projects’ community, partnerships may include actors beyond that group, but who have similar thematic interests. Target </w:t>
            </w:r>
            <w:r>
              <w:rPr>
                <w:rFonts w:asciiTheme="minorHAnsi" w:hAnsiTheme="minorHAnsi" w:cstheme="minorHAnsi"/>
                <w:sz w:val="20"/>
                <w:szCs w:val="20"/>
              </w:rPr>
              <w:lastRenderedPageBreak/>
              <w:t>values are set at very modest level since this is a relatively new requirement</w:t>
            </w:r>
          </w:p>
        </w:tc>
        <w:tc>
          <w:tcPr>
            <w:tcW w:w="1257" w:type="dxa"/>
            <w:tcBorders>
              <w:top w:val="single" w:sz="4" w:space="0" w:color="000000"/>
              <w:left w:val="single" w:sz="4" w:space="0" w:color="000000"/>
              <w:bottom w:val="single" w:sz="4" w:space="0" w:color="000000"/>
              <w:right w:val="single" w:sz="4" w:space="0" w:color="000000"/>
            </w:tcBorders>
          </w:tcPr>
          <w:p w14:paraId="32D566F5"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Reports from global events (e.g. WW Forum/SWW) </w:t>
            </w:r>
          </w:p>
          <w:p w14:paraId="3FDB9CAC" w14:textId="77777777" w:rsidR="00796126" w:rsidRDefault="00796126">
            <w:pPr>
              <w:rPr>
                <w:rFonts w:asciiTheme="minorHAnsi" w:hAnsiTheme="minorHAnsi" w:cstheme="minorHAnsi"/>
                <w:color w:val="000000"/>
                <w:sz w:val="20"/>
                <w:szCs w:val="20"/>
              </w:rPr>
            </w:pPr>
          </w:p>
          <w:p w14:paraId="671639E4"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w:t>
            </w:r>
            <w:r>
              <w:rPr>
                <w:rFonts w:asciiTheme="minorHAnsi" w:hAnsiTheme="minorHAnsi" w:cstheme="minorHAnsi"/>
                <w:color w:val="000000"/>
                <w:sz w:val="20"/>
                <w:szCs w:val="20"/>
              </w:rPr>
              <w:lastRenderedPageBreak/>
              <w:t>partners’ meetings</w:t>
            </w:r>
          </w:p>
          <w:p w14:paraId="5AB7BDA3" w14:textId="77777777" w:rsidR="00796126" w:rsidRDefault="00796126">
            <w:pPr>
              <w:rPr>
                <w:rFonts w:asciiTheme="minorHAnsi" w:hAnsiTheme="minorHAnsi" w:cstheme="minorHAns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55F2FFF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66517F5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5F8F0EA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 projects’ PCU</w:t>
            </w:r>
          </w:p>
        </w:tc>
        <w:tc>
          <w:tcPr>
            <w:tcW w:w="1263" w:type="dxa"/>
            <w:tcBorders>
              <w:top w:val="single" w:sz="4" w:space="0" w:color="000000"/>
              <w:left w:val="single" w:sz="4" w:space="0" w:color="000000"/>
              <w:bottom w:val="single" w:sz="4" w:space="0" w:color="000000"/>
              <w:right w:val="single" w:sz="4" w:space="0" w:color="000000"/>
            </w:tcBorders>
          </w:tcPr>
          <w:p w14:paraId="0E3346DD"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global events (e.g. WW Forum/SWW) </w:t>
            </w:r>
          </w:p>
          <w:p w14:paraId="6032465A" w14:textId="77777777" w:rsidR="00796126" w:rsidRDefault="00796126">
            <w:pPr>
              <w:rPr>
                <w:rFonts w:asciiTheme="minorHAnsi" w:hAnsiTheme="minorHAnsi" w:cstheme="minorHAnsi"/>
                <w:sz w:val="20"/>
                <w:szCs w:val="20"/>
              </w:rPr>
            </w:pPr>
          </w:p>
        </w:tc>
        <w:tc>
          <w:tcPr>
            <w:tcW w:w="2620" w:type="dxa"/>
            <w:tcBorders>
              <w:top w:val="single" w:sz="4" w:space="0" w:color="000000"/>
              <w:left w:val="single" w:sz="4" w:space="0" w:color="000000"/>
              <w:bottom w:val="single" w:sz="4" w:space="0" w:color="000000"/>
              <w:right w:val="single" w:sz="4" w:space="0" w:color="000000"/>
            </w:tcBorders>
            <w:hideMark/>
          </w:tcPr>
          <w:p w14:paraId="03C1E223"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 xml:space="preserve">Risk: </w:t>
            </w:r>
            <w:r>
              <w:rPr>
                <w:rFonts w:asciiTheme="minorHAnsi" w:hAnsiTheme="minorHAnsi" w:cstheme="minorHAnsi"/>
                <w:sz w:val="20"/>
                <w:szCs w:val="20"/>
              </w:rPr>
              <w:t>Synergy potential (linking with other relevant initiatives/governance partners, including private sector) is not fully materialized</w:t>
            </w:r>
          </w:p>
          <w:p w14:paraId="400CFA5C"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xml:space="preserve">: Potential partners to participate in joint regional ocean </w:t>
            </w:r>
            <w:r>
              <w:rPr>
                <w:rFonts w:asciiTheme="minorHAnsi" w:hAnsiTheme="minorHAnsi" w:cstheme="minorHAnsi"/>
                <w:sz w:val="20"/>
                <w:szCs w:val="20"/>
              </w:rPr>
              <w:lastRenderedPageBreak/>
              <w:t xml:space="preserve">governance and other forms of transboundary water governance are matched with the support of IW:LEARN PCU </w:t>
            </w:r>
          </w:p>
        </w:tc>
      </w:tr>
      <w:tr w:rsidR="00796126" w:rsidRPr="00796126" w14:paraId="4C5E1362" w14:textId="77777777" w:rsidTr="00796126">
        <w:trPr>
          <w:trHeight w:val="424"/>
        </w:trPr>
        <w:tc>
          <w:tcPr>
            <w:tcW w:w="1701" w:type="dxa"/>
            <w:vMerge w:val="restart"/>
            <w:tcBorders>
              <w:top w:val="single" w:sz="4" w:space="0" w:color="000000"/>
              <w:left w:val="single" w:sz="4" w:space="0" w:color="000000"/>
              <w:bottom w:val="single" w:sz="4" w:space="0" w:color="000000"/>
              <w:right w:val="single" w:sz="4" w:space="0" w:color="000000"/>
            </w:tcBorders>
            <w:hideMark/>
          </w:tcPr>
          <w:p w14:paraId="4A2BDA5E"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lastRenderedPageBreak/>
              <w:t xml:space="preserve">Project Outcome 3 </w:t>
            </w:r>
            <w:r>
              <w:rPr>
                <w:rFonts w:asciiTheme="minorHAnsi" w:hAnsiTheme="minorHAnsi" w:cstheme="minorHAnsi"/>
                <w:sz w:val="20"/>
                <w:szCs w:val="20"/>
              </w:rPr>
              <w:t>Increased experience sharing and replication of successes within and across and beyond the IW portfolio, as well as enhanced understanding of GEF IW project interventions beyond the portfolio</w:t>
            </w:r>
          </w:p>
        </w:tc>
        <w:tc>
          <w:tcPr>
            <w:tcW w:w="1418" w:type="dxa"/>
            <w:tcBorders>
              <w:top w:val="single" w:sz="4" w:space="0" w:color="000000"/>
              <w:left w:val="single" w:sz="4" w:space="0" w:color="000000"/>
              <w:bottom w:val="single" w:sz="4" w:space="0" w:color="000000"/>
              <w:right w:val="single" w:sz="4" w:space="0" w:color="000000"/>
            </w:tcBorders>
            <w:hideMark/>
          </w:tcPr>
          <w:p w14:paraId="0F65304D"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 xml:space="preserve">Indicator 6 </w:t>
            </w:r>
          </w:p>
          <w:p w14:paraId="37FABFE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of projects offering a website consistent with IW:LEARN Website Guidelines</w:t>
            </w:r>
          </w:p>
        </w:tc>
        <w:tc>
          <w:tcPr>
            <w:tcW w:w="1417" w:type="dxa"/>
            <w:tcBorders>
              <w:top w:val="single" w:sz="4" w:space="0" w:color="000000"/>
              <w:left w:val="single" w:sz="4" w:space="0" w:color="000000"/>
              <w:bottom w:val="single" w:sz="4" w:space="0" w:color="000000"/>
              <w:right w:val="single" w:sz="4" w:space="0" w:color="000000"/>
            </w:tcBorders>
            <w:hideMark/>
          </w:tcPr>
          <w:p w14:paraId="29A006A3" w14:textId="77777777" w:rsidR="00796126" w:rsidRDefault="00796126">
            <w:pPr>
              <w:rPr>
                <w:rFonts w:asciiTheme="minorHAnsi" w:hAnsiTheme="minorHAnsi" w:cstheme="minorHAnsi"/>
                <w:color w:val="000000"/>
                <w:sz w:val="20"/>
                <w:szCs w:val="20"/>
              </w:rPr>
            </w:pPr>
            <w:r>
              <w:rPr>
                <w:rFonts w:asciiTheme="minorHAnsi" w:hAnsiTheme="minorHAnsi" w:cstheme="minorHAnsi"/>
                <w:sz w:val="20"/>
                <w:szCs w:val="20"/>
              </w:rPr>
              <w:t xml:space="preserve">Mid-term: </w:t>
            </w:r>
            <w:r>
              <w:rPr>
                <w:rFonts w:asciiTheme="minorHAnsi" w:hAnsiTheme="minorHAnsi" w:cstheme="minorHAnsi"/>
                <w:color w:val="000000"/>
                <w:sz w:val="20"/>
                <w:szCs w:val="20"/>
              </w:rPr>
              <w:t>75% of projects offering a website consistent with IW:LEARN Website Guidelines</w:t>
            </w:r>
          </w:p>
          <w:p w14:paraId="7B2B6444" w14:textId="77777777" w:rsidR="00796126" w:rsidRDefault="00796126">
            <w:pPr>
              <w:rPr>
                <w:rFonts w:asciiTheme="minorHAnsi" w:hAnsiTheme="minorHAnsi" w:cstheme="minorHAnsi"/>
                <w:sz w:val="20"/>
                <w:szCs w:val="20"/>
              </w:rPr>
            </w:pPr>
            <w:r>
              <w:rPr>
                <w:rFonts w:asciiTheme="minorHAnsi" w:hAnsiTheme="minorHAnsi" w:cstheme="minorHAnsi"/>
                <w:color w:val="000000"/>
                <w:sz w:val="20"/>
                <w:szCs w:val="20"/>
              </w:rPr>
              <w:t xml:space="preserve">End: </w:t>
            </w:r>
            <w:r>
              <w:rPr>
                <w:rFonts w:asciiTheme="minorHAnsi" w:hAnsiTheme="minorHAnsi" w:cstheme="minorHAnsi"/>
                <w:sz w:val="20"/>
                <w:szCs w:val="20"/>
              </w:rPr>
              <w:t>85</w:t>
            </w:r>
            <w:r>
              <w:rPr>
                <w:rFonts w:asciiTheme="minorHAnsi" w:hAnsiTheme="minorHAnsi" w:cstheme="minorHAnsi"/>
                <w:color w:val="000000"/>
                <w:sz w:val="20"/>
                <w:szCs w:val="20"/>
              </w:rPr>
              <w:t xml:space="preserve">% of projects utilizing the IW:LEARN </w:t>
            </w:r>
            <w:sdt>
              <w:sdtPr>
                <w:rPr>
                  <w:rFonts w:asciiTheme="minorHAnsi" w:hAnsiTheme="minorHAnsi" w:cstheme="minorHAnsi"/>
                  <w:sz w:val="20"/>
                  <w:szCs w:val="20"/>
                </w:rPr>
                <w:tag w:val="goog_rdk_1389"/>
                <w:id w:val="-434833331"/>
                <w:showingPlcHdr/>
              </w:sdtPr>
              <w:sdtEndPr/>
              <w:sdtContent>
                <w:r>
                  <w:rPr>
                    <w:rFonts w:asciiTheme="minorHAnsi" w:hAnsiTheme="minorHAnsi" w:cstheme="minorHAnsi"/>
                    <w:sz w:val="20"/>
                    <w:szCs w:val="20"/>
                  </w:rPr>
                  <w:t xml:space="preserve">     </w:t>
                </w:r>
              </w:sdtContent>
            </w:sdt>
            <w:sdt>
              <w:sdtPr>
                <w:rPr>
                  <w:rFonts w:asciiTheme="minorHAnsi" w:hAnsiTheme="minorHAnsi" w:cstheme="minorHAnsi"/>
                  <w:sz w:val="20"/>
                  <w:szCs w:val="20"/>
                </w:rPr>
                <w:tag w:val="goog_rdk_1390"/>
                <w:id w:val="414899017"/>
              </w:sdtPr>
              <w:sdtEndPr/>
              <w:sdtContent>
                <w:r>
                  <w:rPr>
                    <w:rFonts w:asciiTheme="minorHAnsi" w:hAnsiTheme="minorHAnsi" w:cstheme="minorHAnsi"/>
                    <w:color w:val="000000"/>
                    <w:sz w:val="20"/>
                    <w:szCs w:val="20"/>
                  </w:rPr>
                  <w:t>w</w:t>
                </w:r>
              </w:sdtContent>
            </w:sdt>
            <w:r>
              <w:rPr>
                <w:rFonts w:asciiTheme="minorHAnsi" w:hAnsiTheme="minorHAnsi" w:cstheme="minorHAnsi"/>
                <w:color w:val="000000"/>
                <w:sz w:val="20"/>
                <w:szCs w:val="20"/>
              </w:rPr>
              <w:t xml:space="preserve">ebsite </w:t>
            </w:r>
            <w:sdt>
              <w:sdtPr>
                <w:rPr>
                  <w:rFonts w:asciiTheme="minorHAnsi" w:hAnsiTheme="minorHAnsi" w:cstheme="minorHAnsi"/>
                  <w:sz w:val="20"/>
                  <w:szCs w:val="20"/>
                </w:rPr>
                <w:tag w:val="goog_rdk_1391"/>
                <w:id w:val="-176197760"/>
                <w:showingPlcHdr/>
              </w:sdtPr>
              <w:sdtEndPr/>
              <w:sdtContent>
                <w:r>
                  <w:rPr>
                    <w:rFonts w:asciiTheme="minorHAnsi" w:hAnsiTheme="minorHAnsi" w:cstheme="minorHAnsi"/>
                    <w:sz w:val="20"/>
                    <w:szCs w:val="20"/>
                  </w:rPr>
                  <w:t xml:space="preserve">     </w:t>
                </w:r>
              </w:sdtContent>
            </w:sdt>
            <w:sdt>
              <w:sdtPr>
                <w:rPr>
                  <w:rFonts w:asciiTheme="minorHAnsi" w:hAnsiTheme="minorHAnsi" w:cstheme="minorHAnsi"/>
                  <w:sz w:val="20"/>
                  <w:szCs w:val="20"/>
                </w:rPr>
                <w:tag w:val="goog_rdk_1392"/>
                <w:id w:val="-680432851"/>
              </w:sdtPr>
              <w:sdtEndPr/>
              <w:sdtContent>
                <w:r>
                  <w:rPr>
                    <w:rFonts w:asciiTheme="minorHAnsi" w:hAnsiTheme="minorHAnsi" w:cstheme="minorHAnsi"/>
                    <w:color w:val="000000"/>
                    <w:sz w:val="20"/>
                    <w:szCs w:val="20"/>
                  </w:rPr>
                  <w:t>solutions</w:t>
                </w:r>
              </w:sdtContent>
            </w:sdt>
            <w:r>
              <w:rPr>
                <w:rFonts w:asciiTheme="minorHAnsi" w:hAnsiTheme="minorHAnsi" w:cstheme="minorHAnsi"/>
                <w:color w:val="000000"/>
                <w:sz w:val="20"/>
                <w:szCs w:val="20"/>
              </w:rPr>
              <w:t xml:space="preserve"> or offering a website consistent with IW:LEARN </w:t>
            </w:r>
            <w:r>
              <w:rPr>
                <w:rFonts w:asciiTheme="minorHAnsi" w:hAnsiTheme="minorHAnsi" w:cstheme="minorHAnsi"/>
                <w:color w:val="000000"/>
                <w:sz w:val="20"/>
                <w:szCs w:val="20"/>
              </w:rPr>
              <w:lastRenderedPageBreak/>
              <w:t>Website Guidelines</w:t>
            </w:r>
          </w:p>
        </w:tc>
        <w:tc>
          <w:tcPr>
            <w:tcW w:w="1843" w:type="dxa"/>
            <w:tcBorders>
              <w:top w:val="single" w:sz="4" w:space="0" w:color="000000"/>
              <w:left w:val="single" w:sz="4" w:space="0" w:color="000000"/>
              <w:bottom w:val="single" w:sz="4" w:space="0" w:color="000000"/>
              <w:right w:val="single" w:sz="4" w:space="0" w:color="000000"/>
            </w:tcBorders>
            <w:hideMark/>
          </w:tcPr>
          <w:p w14:paraId="4AB288BA" w14:textId="77777777" w:rsidR="00796126" w:rsidRDefault="00F57A55">
            <w:pPr>
              <w:rPr>
                <w:rFonts w:asciiTheme="minorHAnsi" w:hAnsiTheme="minorHAnsi" w:cstheme="minorHAnsi"/>
                <w:sz w:val="20"/>
                <w:szCs w:val="20"/>
              </w:rPr>
            </w:pPr>
            <w:sdt>
              <w:sdtPr>
                <w:rPr>
                  <w:rFonts w:asciiTheme="minorHAnsi" w:hAnsiTheme="minorHAnsi" w:cstheme="minorHAnsi"/>
                  <w:sz w:val="20"/>
                  <w:szCs w:val="20"/>
                </w:rPr>
                <w:tag w:val="goog_rdk_1394"/>
                <w:id w:val="-295532566"/>
              </w:sdtPr>
              <w:sdtEndPr/>
              <w:sdtContent>
                <w:r w:rsidR="00796126">
                  <w:rPr>
                    <w:rFonts w:asciiTheme="minorHAnsi" w:hAnsiTheme="minorHAnsi" w:cstheme="minorHAnsi"/>
                    <w:sz w:val="20"/>
                    <w:szCs w:val="20"/>
                  </w:rPr>
                  <w:t xml:space="preserve">IW:LEARN </w:t>
                </w:r>
              </w:sdtContent>
            </w:sdt>
            <w:sdt>
              <w:sdtPr>
                <w:rPr>
                  <w:rFonts w:asciiTheme="minorHAnsi" w:hAnsiTheme="minorHAnsi" w:cstheme="minorHAnsi"/>
                  <w:sz w:val="20"/>
                  <w:szCs w:val="20"/>
                </w:rPr>
                <w:tag w:val="goog_rdk_1395"/>
                <w:id w:val="-1952779702"/>
                <w:showingPlcHdr/>
              </w:sdtPr>
              <w:sdtEndPr/>
              <w:sdtContent>
                <w:r w:rsidR="00796126">
                  <w:rPr>
                    <w:rFonts w:asciiTheme="minorHAnsi" w:hAnsiTheme="minorHAnsi" w:cstheme="minorHAnsi"/>
                    <w:sz w:val="20"/>
                    <w:szCs w:val="20"/>
                  </w:rPr>
                  <w:t xml:space="preserve">     </w:t>
                </w:r>
              </w:sdtContent>
            </w:sdt>
            <w:sdt>
              <w:sdtPr>
                <w:rPr>
                  <w:rFonts w:asciiTheme="minorHAnsi" w:hAnsiTheme="minorHAnsi" w:cstheme="minorHAnsi"/>
                  <w:sz w:val="20"/>
                  <w:szCs w:val="20"/>
                </w:rPr>
                <w:tag w:val="goog_rdk_1396"/>
                <w:id w:val="1676148884"/>
              </w:sdtPr>
              <w:sdtEndPr/>
              <w:sdtContent>
                <w:r w:rsidR="00796126">
                  <w:rPr>
                    <w:rFonts w:asciiTheme="minorHAnsi" w:hAnsiTheme="minorHAnsi" w:cstheme="minorHAnsi"/>
                    <w:sz w:val="20"/>
                    <w:szCs w:val="20"/>
                  </w:rPr>
                  <w:t>w</w:t>
                </w:r>
              </w:sdtContent>
            </w:sdt>
            <w:r w:rsidR="00796126">
              <w:rPr>
                <w:rFonts w:asciiTheme="minorHAnsi" w:hAnsiTheme="minorHAnsi" w:cstheme="minorHAnsi"/>
                <w:sz w:val="20"/>
                <w:szCs w:val="20"/>
              </w:rPr>
              <w:t xml:space="preserve">ebsite </w:t>
            </w:r>
            <w:sdt>
              <w:sdtPr>
                <w:rPr>
                  <w:rFonts w:asciiTheme="minorHAnsi" w:hAnsiTheme="minorHAnsi" w:cstheme="minorHAnsi"/>
                  <w:sz w:val="20"/>
                  <w:szCs w:val="20"/>
                </w:rPr>
                <w:tag w:val="goog_rdk_1397"/>
                <w:id w:val="1737659114"/>
                <w:showingPlcHdr/>
              </w:sdtPr>
              <w:sdtEndPr/>
              <w:sdtContent>
                <w:r w:rsidR="00796126">
                  <w:rPr>
                    <w:rFonts w:asciiTheme="minorHAnsi" w:hAnsiTheme="minorHAnsi" w:cstheme="minorHAnsi"/>
                    <w:sz w:val="20"/>
                    <w:szCs w:val="20"/>
                  </w:rPr>
                  <w:t xml:space="preserve">     </w:t>
                </w:r>
              </w:sdtContent>
            </w:sdt>
            <w:sdt>
              <w:sdtPr>
                <w:rPr>
                  <w:rFonts w:asciiTheme="minorHAnsi" w:hAnsiTheme="minorHAnsi" w:cstheme="minorHAnsi"/>
                  <w:sz w:val="20"/>
                  <w:szCs w:val="20"/>
                </w:rPr>
                <w:tag w:val="goog_rdk_1398"/>
                <w:id w:val="1989826336"/>
              </w:sdtPr>
              <w:sdtEndPr/>
              <w:sdtContent>
                <w:r w:rsidR="00796126">
                  <w:rPr>
                    <w:rFonts w:asciiTheme="minorHAnsi" w:hAnsiTheme="minorHAnsi" w:cstheme="minorHAnsi"/>
                    <w:sz w:val="20"/>
                    <w:szCs w:val="20"/>
                  </w:rPr>
                  <w:t>solutions are</w:t>
                </w:r>
              </w:sdtContent>
            </w:sdt>
            <w:r w:rsidR="00796126">
              <w:rPr>
                <w:rFonts w:asciiTheme="minorHAnsi" w:hAnsiTheme="minorHAnsi" w:cstheme="minorHAnsi"/>
                <w:sz w:val="20"/>
                <w:szCs w:val="20"/>
              </w:rPr>
              <w:t xml:space="preserve"> an optional IW:LEARN tool to develop project web sites, which will allow consistency of projects’ websites. Already, 50% of projects are using the GEF IW website guidelines  and the increasing target values are justifiable. </w:t>
            </w:r>
          </w:p>
        </w:tc>
        <w:tc>
          <w:tcPr>
            <w:tcW w:w="1257" w:type="dxa"/>
            <w:tcBorders>
              <w:top w:val="single" w:sz="4" w:space="0" w:color="000000"/>
              <w:left w:val="single" w:sz="4" w:space="0" w:color="000000"/>
              <w:bottom w:val="single" w:sz="4" w:space="0" w:color="000000"/>
              <w:right w:val="single" w:sz="4" w:space="0" w:color="000000"/>
            </w:tcBorders>
            <w:hideMark/>
          </w:tcPr>
          <w:p w14:paraId="3E34238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Analysis of the projects’ websites</w:t>
            </w:r>
          </w:p>
        </w:tc>
        <w:tc>
          <w:tcPr>
            <w:tcW w:w="1081" w:type="dxa"/>
            <w:tcBorders>
              <w:top w:val="single" w:sz="4" w:space="0" w:color="000000"/>
              <w:left w:val="single" w:sz="4" w:space="0" w:color="000000"/>
              <w:bottom w:val="single" w:sz="4" w:space="0" w:color="000000"/>
              <w:right w:val="single" w:sz="4" w:space="0" w:color="000000"/>
            </w:tcBorders>
            <w:hideMark/>
          </w:tcPr>
          <w:p w14:paraId="7143073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Annually</w:t>
            </w:r>
          </w:p>
        </w:tc>
        <w:tc>
          <w:tcPr>
            <w:tcW w:w="1218" w:type="dxa"/>
            <w:tcBorders>
              <w:top w:val="single" w:sz="4" w:space="0" w:color="000000"/>
              <w:left w:val="single" w:sz="4" w:space="0" w:color="000000"/>
              <w:bottom w:val="single" w:sz="4" w:space="0" w:color="000000"/>
              <w:right w:val="single" w:sz="4" w:space="0" w:color="000000"/>
            </w:tcBorders>
            <w:hideMark/>
          </w:tcPr>
          <w:p w14:paraId="3377E24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IT consultant</w:t>
            </w:r>
          </w:p>
        </w:tc>
        <w:tc>
          <w:tcPr>
            <w:tcW w:w="1263" w:type="dxa"/>
            <w:tcBorders>
              <w:top w:val="single" w:sz="4" w:space="0" w:color="000000"/>
              <w:left w:val="single" w:sz="4" w:space="0" w:color="000000"/>
              <w:bottom w:val="single" w:sz="4" w:space="0" w:color="000000"/>
              <w:right w:val="single" w:sz="4" w:space="0" w:color="000000"/>
            </w:tcBorders>
            <w:hideMark/>
          </w:tcPr>
          <w:p w14:paraId="192FB06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Analysis of the projects’ websites</w:t>
            </w:r>
          </w:p>
        </w:tc>
        <w:tc>
          <w:tcPr>
            <w:tcW w:w="2620" w:type="dxa"/>
            <w:tcBorders>
              <w:top w:val="single" w:sz="4" w:space="0" w:color="000000"/>
              <w:left w:val="single" w:sz="4" w:space="0" w:color="000000"/>
              <w:bottom w:val="single" w:sz="4" w:space="0" w:color="000000"/>
              <w:right w:val="single" w:sz="4" w:space="0" w:color="000000"/>
            </w:tcBorders>
          </w:tcPr>
          <w:p w14:paraId="558F429F"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projects do not have adequate IT capacity to utilize the toolkit.</w:t>
            </w:r>
          </w:p>
          <w:p w14:paraId="73FBBA7B"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Projects actively supported by the PCU.</w:t>
            </w:r>
          </w:p>
          <w:p w14:paraId="1B2DF008" w14:textId="77777777" w:rsidR="00796126" w:rsidRDefault="00796126">
            <w:pPr>
              <w:rPr>
                <w:rFonts w:asciiTheme="minorHAnsi" w:hAnsiTheme="minorHAnsi" w:cstheme="minorHAnsi"/>
                <w:sz w:val="20"/>
                <w:szCs w:val="20"/>
              </w:rPr>
            </w:pPr>
          </w:p>
        </w:tc>
      </w:tr>
      <w:tr w:rsidR="00796126" w:rsidRPr="00796126" w14:paraId="09F33AAC" w14:textId="77777777" w:rsidTr="00796126">
        <w:trPr>
          <w:trHeight w:val="424"/>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01A8472" w14:textId="77777777" w:rsidR="00796126" w:rsidRDefault="00796126">
            <w:pPr>
              <w:rPr>
                <w:rFonts w:asciiTheme="minorHAnsi" w:hAnsiTheme="minorHAnsi" w:cstheme="minorHAnsi"/>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2457EE32"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7</w:t>
            </w:r>
          </w:p>
          <w:p w14:paraId="5C59B36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of projects communicating results (via project profile, communications product or experience/results note) and through mainstream media</w:t>
            </w:r>
          </w:p>
        </w:tc>
        <w:tc>
          <w:tcPr>
            <w:tcW w:w="1417" w:type="dxa"/>
            <w:tcBorders>
              <w:top w:val="single" w:sz="4" w:space="0" w:color="000000"/>
              <w:left w:val="single" w:sz="4" w:space="0" w:color="000000"/>
              <w:bottom w:val="single" w:sz="4" w:space="0" w:color="000000"/>
              <w:right w:val="single" w:sz="4" w:space="0" w:color="000000"/>
            </w:tcBorders>
            <w:hideMark/>
          </w:tcPr>
          <w:p w14:paraId="78445BF1" w14:textId="77777777" w:rsidR="00796126" w:rsidRDefault="00796126">
            <w:pPr>
              <w:rPr>
                <w:rFonts w:asciiTheme="minorHAnsi" w:hAnsiTheme="minorHAnsi" w:cstheme="minorHAnsi"/>
                <w:color w:val="000000"/>
                <w:sz w:val="20"/>
                <w:szCs w:val="20"/>
              </w:rPr>
            </w:pPr>
            <w:r>
              <w:rPr>
                <w:rFonts w:asciiTheme="minorHAnsi" w:hAnsiTheme="minorHAnsi" w:cstheme="minorHAnsi"/>
                <w:sz w:val="20"/>
                <w:szCs w:val="20"/>
              </w:rPr>
              <w:t>Mid-term: At least 50% of projects communicate one experience or result via project profile, communications product or website.</w:t>
            </w:r>
          </w:p>
          <w:p w14:paraId="71883179"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One (1) story or news on the work of the portfolio featured in a mainstream media channel (TV, website, radio/podcast, print)</w:t>
            </w:r>
          </w:p>
          <w:p w14:paraId="10DED1CA" w14:textId="77777777" w:rsidR="00796126" w:rsidRDefault="00796126">
            <w:pPr>
              <w:rPr>
                <w:rFonts w:asciiTheme="minorHAnsi" w:hAnsiTheme="minorHAnsi" w:cstheme="minorHAnsi"/>
                <w:sz w:val="20"/>
                <w:szCs w:val="20"/>
              </w:rPr>
            </w:pPr>
            <w:r>
              <w:rPr>
                <w:rFonts w:asciiTheme="minorHAnsi" w:hAnsiTheme="minorHAnsi" w:cstheme="minorHAnsi"/>
                <w:color w:val="000000"/>
                <w:sz w:val="20"/>
                <w:szCs w:val="20"/>
              </w:rPr>
              <w:t xml:space="preserve">End: </w:t>
            </w:r>
            <w:r>
              <w:rPr>
                <w:rFonts w:asciiTheme="minorHAnsi" w:hAnsiTheme="minorHAnsi" w:cstheme="minorHAnsi"/>
                <w:sz w:val="20"/>
                <w:szCs w:val="20"/>
              </w:rPr>
              <w:t xml:space="preserve">At least 85% of projects communicate one experience or result via </w:t>
            </w:r>
            <w:r>
              <w:rPr>
                <w:rFonts w:asciiTheme="minorHAnsi" w:hAnsiTheme="minorHAnsi" w:cstheme="minorHAnsi"/>
                <w:sz w:val="20"/>
                <w:szCs w:val="20"/>
              </w:rPr>
              <w:lastRenderedPageBreak/>
              <w:t>project profile, communications product or website.</w:t>
            </w:r>
          </w:p>
          <w:p w14:paraId="4F22FC56" w14:textId="77777777" w:rsidR="00796126" w:rsidRDefault="00796126">
            <w:pPr>
              <w:rPr>
                <w:rFonts w:asciiTheme="minorHAnsi" w:hAnsiTheme="minorHAnsi" w:cstheme="minorHAnsi"/>
                <w:sz w:val="20"/>
                <w:szCs w:val="20"/>
              </w:rPr>
            </w:pPr>
            <w:r>
              <w:rPr>
                <w:rFonts w:asciiTheme="minorHAnsi" w:hAnsiTheme="minorHAnsi" w:cstheme="minorHAnsi"/>
                <w:color w:val="000000"/>
                <w:sz w:val="20"/>
                <w:szCs w:val="20"/>
              </w:rPr>
              <w:t>Three (3) stories or news on the work of the portfolio featured in a mainstream media channel (TV, website, radio/podcast, print)</w:t>
            </w:r>
          </w:p>
        </w:tc>
        <w:tc>
          <w:tcPr>
            <w:tcW w:w="1843" w:type="dxa"/>
            <w:tcBorders>
              <w:top w:val="single" w:sz="4" w:space="0" w:color="000000"/>
              <w:left w:val="single" w:sz="4" w:space="0" w:color="000000"/>
              <w:bottom w:val="single" w:sz="4" w:space="0" w:color="000000"/>
              <w:right w:val="single" w:sz="4" w:space="0" w:color="000000"/>
            </w:tcBorders>
            <w:hideMark/>
          </w:tcPr>
          <w:p w14:paraId="0C3753CD"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Communication of projects’ results and experiences is critical for the success of the IW:LEARN. This indicator aims to measure the frequency and reach of the communication efforts. Target values present an increase on the current level, which is quite low.</w:t>
            </w:r>
          </w:p>
        </w:tc>
        <w:tc>
          <w:tcPr>
            <w:tcW w:w="1257" w:type="dxa"/>
            <w:tcBorders>
              <w:top w:val="single" w:sz="4" w:space="0" w:color="000000"/>
              <w:left w:val="single" w:sz="4" w:space="0" w:color="000000"/>
              <w:bottom w:val="single" w:sz="4" w:space="0" w:color="000000"/>
              <w:right w:val="single" w:sz="4" w:space="0" w:color="000000"/>
            </w:tcBorders>
          </w:tcPr>
          <w:p w14:paraId="419689CF"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Experience Notes </w:t>
            </w:r>
          </w:p>
          <w:p w14:paraId="473195BA"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Achievement Notes </w:t>
            </w:r>
          </w:p>
          <w:p w14:paraId="5449DE01" w14:textId="77777777" w:rsidR="00796126" w:rsidRDefault="00796126">
            <w:pPr>
              <w:rPr>
                <w:rFonts w:asciiTheme="minorHAnsi" w:hAnsiTheme="minorHAnsi" w:cstheme="minorHAns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30D6B99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Annually</w:t>
            </w:r>
          </w:p>
        </w:tc>
        <w:tc>
          <w:tcPr>
            <w:tcW w:w="1218" w:type="dxa"/>
            <w:tcBorders>
              <w:top w:val="single" w:sz="4" w:space="0" w:color="000000"/>
              <w:left w:val="single" w:sz="4" w:space="0" w:color="000000"/>
              <w:bottom w:val="single" w:sz="4" w:space="0" w:color="000000"/>
              <w:right w:val="single" w:sz="4" w:space="0" w:color="000000"/>
            </w:tcBorders>
            <w:hideMark/>
          </w:tcPr>
          <w:p w14:paraId="389B691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IT consultant</w:t>
            </w:r>
          </w:p>
        </w:tc>
        <w:tc>
          <w:tcPr>
            <w:tcW w:w="1263" w:type="dxa"/>
            <w:tcBorders>
              <w:top w:val="single" w:sz="4" w:space="0" w:color="000000"/>
              <w:left w:val="single" w:sz="4" w:space="0" w:color="000000"/>
              <w:bottom w:val="single" w:sz="4" w:space="0" w:color="000000"/>
              <w:right w:val="single" w:sz="4" w:space="0" w:color="000000"/>
            </w:tcBorders>
          </w:tcPr>
          <w:p w14:paraId="3D1A9162"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Experience Notes </w:t>
            </w:r>
          </w:p>
          <w:p w14:paraId="3F483F22" w14:textId="77777777" w:rsidR="00796126" w:rsidRDefault="00796126">
            <w:pPr>
              <w:rPr>
                <w:rFonts w:asciiTheme="minorHAnsi" w:hAnsiTheme="minorHAnsi" w:cstheme="minorHAnsi"/>
                <w:color w:val="000000"/>
                <w:sz w:val="20"/>
                <w:szCs w:val="20"/>
              </w:rPr>
            </w:pPr>
          </w:p>
          <w:p w14:paraId="51AACFB8"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Achievement Notes </w:t>
            </w:r>
          </w:p>
          <w:p w14:paraId="20EFB3EA" w14:textId="77777777" w:rsidR="00796126" w:rsidRDefault="00796126">
            <w:pPr>
              <w:rPr>
                <w:rFonts w:asciiTheme="minorHAnsi" w:hAnsiTheme="minorHAnsi" w:cstheme="minorHAnsi"/>
                <w:color w:val="000000"/>
                <w:sz w:val="20"/>
                <w:szCs w:val="20"/>
              </w:rPr>
            </w:pPr>
          </w:p>
          <w:p w14:paraId="26D5EB54"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Online subscriptions </w:t>
            </w:r>
          </w:p>
          <w:p w14:paraId="77B1CEC1" w14:textId="77777777" w:rsidR="00796126" w:rsidRDefault="00796126">
            <w:pPr>
              <w:rPr>
                <w:rFonts w:asciiTheme="minorHAnsi" w:hAnsiTheme="minorHAnsi" w:cstheme="minorHAnsi"/>
                <w:color w:val="000000"/>
                <w:sz w:val="20"/>
                <w:szCs w:val="20"/>
              </w:rPr>
            </w:pPr>
          </w:p>
          <w:p w14:paraId="7B55A8C3"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IWL website hits </w:t>
            </w:r>
          </w:p>
          <w:p w14:paraId="20383B5A" w14:textId="77777777" w:rsidR="00796126" w:rsidRDefault="00796126">
            <w:pPr>
              <w:rPr>
                <w:rFonts w:asciiTheme="minorHAnsi" w:hAnsiTheme="minorHAnsi" w:cstheme="minorHAnsi"/>
                <w:sz w:val="20"/>
                <w:szCs w:val="20"/>
              </w:rPr>
            </w:pPr>
          </w:p>
        </w:tc>
        <w:tc>
          <w:tcPr>
            <w:tcW w:w="2620" w:type="dxa"/>
            <w:tcBorders>
              <w:top w:val="single" w:sz="4" w:space="0" w:color="000000"/>
              <w:left w:val="single" w:sz="4" w:space="0" w:color="000000"/>
              <w:bottom w:val="single" w:sz="4" w:space="0" w:color="000000"/>
              <w:right w:val="single" w:sz="4" w:space="0" w:color="000000"/>
            </w:tcBorders>
          </w:tcPr>
          <w:p w14:paraId="28499E93"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IW projects are not developing notes in adequate quantity and frequency.</w:t>
            </w:r>
          </w:p>
          <w:p w14:paraId="2B552DB1" w14:textId="77777777" w:rsidR="00796126" w:rsidRDefault="00796126">
            <w:pPr>
              <w:rPr>
                <w:rFonts w:asciiTheme="minorHAnsi" w:hAnsiTheme="minorHAnsi" w:cstheme="minorHAnsi"/>
                <w:color w:val="000000"/>
                <w:sz w:val="20"/>
                <w:szCs w:val="20"/>
                <w:u w:val="single"/>
              </w:rPr>
            </w:pPr>
          </w:p>
          <w:p w14:paraId="7DC6B34B"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u w:val="single"/>
              </w:rPr>
              <w:t>Assumption</w:t>
            </w:r>
            <w:r>
              <w:rPr>
                <w:rFonts w:asciiTheme="minorHAnsi" w:hAnsiTheme="minorHAnsi" w:cstheme="minorHAnsi"/>
                <w:color w:val="000000"/>
                <w:sz w:val="20"/>
                <w:szCs w:val="20"/>
              </w:rPr>
              <w:t xml:space="preserve">: All IW projects provide timely data, on‐ request, to IWL and these requests are supported by IWL Partners and GEF Agencies. </w:t>
            </w:r>
          </w:p>
          <w:p w14:paraId="4AD935D6" w14:textId="77777777" w:rsidR="00796126" w:rsidRDefault="00796126">
            <w:pPr>
              <w:rPr>
                <w:rFonts w:asciiTheme="minorHAnsi" w:hAnsiTheme="minorHAnsi" w:cstheme="minorHAnsi"/>
                <w:sz w:val="20"/>
                <w:szCs w:val="20"/>
              </w:rPr>
            </w:pPr>
          </w:p>
        </w:tc>
      </w:tr>
      <w:tr w:rsidR="00796126" w:rsidRPr="00796126" w14:paraId="5D99599A" w14:textId="77777777" w:rsidTr="00796126">
        <w:trPr>
          <w:trHeight w:val="424"/>
        </w:trPr>
        <w:tc>
          <w:tcPr>
            <w:tcW w:w="1701" w:type="dxa"/>
            <w:tcBorders>
              <w:top w:val="single" w:sz="4" w:space="0" w:color="000000"/>
              <w:left w:val="single" w:sz="4" w:space="0" w:color="000000"/>
              <w:bottom w:val="single" w:sz="4" w:space="0" w:color="000000"/>
              <w:right w:val="single" w:sz="4" w:space="0" w:color="000000"/>
            </w:tcBorders>
            <w:hideMark/>
          </w:tcPr>
          <w:p w14:paraId="531E897D"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Project Outcome 4</w:t>
            </w:r>
            <w:r>
              <w:rPr>
                <w:rFonts w:asciiTheme="minorHAnsi" w:hAnsiTheme="minorHAnsi" w:cstheme="minorHAnsi"/>
                <w:color w:val="000000"/>
                <w:sz w:val="20"/>
                <w:szCs w:val="20"/>
              </w:rPr>
              <w:t xml:space="preserve"> Enhanced global collaboration and communication among Small Island Developing States</w:t>
            </w:r>
          </w:p>
        </w:tc>
        <w:tc>
          <w:tcPr>
            <w:tcW w:w="1418" w:type="dxa"/>
            <w:tcBorders>
              <w:top w:val="single" w:sz="4" w:space="0" w:color="000000"/>
              <w:left w:val="single" w:sz="4" w:space="0" w:color="000000"/>
              <w:bottom w:val="single" w:sz="4" w:space="0" w:color="000000"/>
              <w:right w:val="single" w:sz="4" w:space="0" w:color="000000"/>
            </w:tcBorders>
            <w:hideMark/>
          </w:tcPr>
          <w:p w14:paraId="558D524E"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 xml:space="preserve">Indicator 8 </w:t>
            </w:r>
          </w:p>
          <w:p w14:paraId="299B68A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Number of SIDS that establish new management and governance approaches</w:t>
            </w:r>
          </w:p>
        </w:tc>
        <w:tc>
          <w:tcPr>
            <w:tcW w:w="1417" w:type="dxa"/>
            <w:tcBorders>
              <w:top w:val="single" w:sz="4" w:space="0" w:color="000000"/>
              <w:left w:val="single" w:sz="4" w:space="0" w:color="000000"/>
              <w:bottom w:val="single" w:sz="4" w:space="0" w:color="000000"/>
              <w:right w:val="single" w:sz="4" w:space="0" w:color="000000"/>
            </w:tcBorders>
            <w:hideMark/>
          </w:tcPr>
          <w:p w14:paraId="4A09D0B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5 new management and governance approaches established or replicated from one SIDS to another</w:t>
            </w:r>
          </w:p>
          <w:p w14:paraId="7598C95B"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End: 10 new management and governance approaches </w:t>
            </w:r>
            <w:r>
              <w:rPr>
                <w:rFonts w:asciiTheme="minorHAnsi" w:hAnsiTheme="minorHAnsi" w:cstheme="minorHAnsi"/>
                <w:sz w:val="20"/>
                <w:szCs w:val="20"/>
              </w:rPr>
              <w:lastRenderedPageBreak/>
              <w:t>established or replicated from one SIDS to another</w:t>
            </w:r>
          </w:p>
        </w:tc>
        <w:tc>
          <w:tcPr>
            <w:tcW w:w="1843" w:type="dxa"/>
            <w:tcBorders>
              <w:top w:val="single" w:sz="4" w:space="0" w:color="000000"/>
              <w:left w:val="single" w:sz="4" w:space="0" w:color="000000"/>
              <w:bottom w:val="single" w:sz="4" w:space="0" w:color="000000"/>
              <w:right w:val="single" w:sz="4" w:space="0" w:color="000000"/>
            </w:tcBorders>
            <w:hideMark/>
          </w:tcPr>
          <w:p w14:paraId="01718FD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 xml:space="preserve">Workshops/IWC/ twinning/SIDS dialogues are opportunities for SIDS projects to learn of new approaches implemented elsewhere and learn how to implement it in their own setting. At the end of reporting period they will have to </w:t>
            </w:r>
            <w:r>
              <w:rPr>
                <w:rFonts w:asciiTheme="minorHAnsi" w:hAnsiTheme="minorHAnsi" w:cstheme="minorHAnsi"/>
                <w:sz w:val="20"/>
                <w:szCs w:val="20"/>
              </w:rPr>
              <w:lastRenderedPageBreak/>
              <w:t>prove that they have replicated the new approaches. Target values are based on 100% of current SIDS projects.</w:t>
            </w:r>
          </w:p>
        </w:tc>
        <w:tc>
          <w:tcPr>
            <w:tcW w:w="1257" w:type="dxa"/>
            <w:tcBorders>
              <w:top w:val="single" w:sz="4" w:space="0" w:color="000000"/>
              <w:left w:val="single" w:sz="4" w:space="0" w:color="000000"/>
              <w:bottom w:val="single" w:sz="4" w:space="0" w:color="000000"/>
              <w:right w:val="single" w:sz="4" w:space="0" w:color="000000"/>
            </w:tcBorders>
            <w:hideMark/>
          </w:tcPr>
          <w:p w14:paraId="7CA7CE3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Reports from SIDS twinning activities</w:t>
            </w:r>
          </w:p>
          <w:p w14:paraId="4CA027F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IWC reports</w:t>
            </w:r>
          </w:p>
          <w:p w14:paraId="372B303D"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SIDS training workshop reports</w:t>
            </w:r>
          </w:p>
        </w:tc>
        <w:tc>
          <w:tcPr>
            <w:tcW w:w="1081" w:type="dxa"/>
            <w:tcBorders>
              <w:top w:val="single" w:sz="4" w:space="0" w:color="000000"/>
              <w:left w:val="single" w:sz="4" w:space="0" w:color="000000"/>
              <w:bottom w:val="single" w:sz="4" w:space="0" w:color="000000"/>
              <w:right w:val="single" w:sz="4" w:space="0" w:color="000000"/>
            </w:tcBorders>
            <w:hideMark/>
          </w:tcPr>
          <w:p w14:paraId="0EE65C65"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3673461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7F53B69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SIDS projects’ PCU</w:t>
            </w:r>
          </w:p>
        </w:tc>
        <w:tc>
          <w:tcPr>
            <w:tcW w:w="1263" w:type="dxa"/>
            <w:tcBorders>
              <w:top w:val="single" w:sz="4" w:space="0" w:color="000000"/>
              <w:left w:val="single" w:sz="4" w:space="0" w:color="000000"/>
              <w:bottom w:val="single" w:sz="4" w:space="0" w:color="000000"/>
              <w:right w:val="single" w:sz="4" w:space="0" w:color="000000"/>
            </w:tcBorders>
            <w:hideMark/>
          </w:tcPr>
          <w:p w14:paraId="498FC1F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PIR</w:t>
            </w:r>
          </w:p>
          <w:p w14:paraId="2B10690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Meeting, twinning, training and conference reports</w:t>
            </w:r>
          </w:p>
          <w:p w14:paraId="2F9B3FDD"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Project outputs </w:t>
            </w:r>
          </w:p>
          <w:p w14:paraId="71EDCBD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SIDS Hub</w:t>
            </w:r>
          </w:p>
        </w:tc>
        <w:tc>
          <w:tcPr>
            <w:tcW w:w="2620" w:type="dxa"/>
            <w:tcBorders>
              <w:top w:val="single" w:sz="4" w:space="0" w:color="000000"/>
              <w:left w:val="single" w:sz="4" w:space="0" w:color="000000"/>
              <w:bottom w:val="single" w:sz="4" w:space="0" w:color="000000"/>
              <w:right w:val="single" w:sz="4" w:space="0" w:color="000000"/>
            </w:tcBorders>
            <w:hideMark/>
          </w:tcPr>
          <w:p w14:paraId="4AB1C6AE"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xml:space="preserve"> Not all GEF SIDS projects are willing to engage in learning activities </w:t>
            </w:r>
          </w:p>
          <w:p w14:paraId="211FD775"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Project stakeholders will be expressly encouraged to utilize GEF IW:LEARN services at all levels of implementation and execution</w:t>
            </w:r>
          </w:p>
        </w:tc>
      </w:tr>
      <w:tr w:rsidR="00796126" w:rsidRPr="00796126" w14:paraId="5A9F2963" w14:textId="77777777" w:rsidTr="00796126">
        <w:trPr>
          <w:trHeight w:val="424"/>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F0F4854"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 xml:space="preserve">Project Outcome 5 </w:t>
            </w:r>
            <w:r>
              <w:rPr>
                <w:rFonts w:asciiTheme="minorHAnsi" w:hAnsiTheme="minorHAnsi" w:cstheme="minorHAnsi"/>
                <w:color w:val="000000"/>
                <w:sz w:val="20"/>
                <w:szCs w:val="20"/>
              </w:rPr>
              <w:t>Improved coordination of GEF projects and participating country counterparts in Small Island Developing States across all GEF focal areas and increased achievement of relevant environmental performance targets by project participating countries</w:t>
            </w:r>
          </w:p>
        </w:tc>
        <w:tc>
          <w:tcPr>
            <w:tcW w:w="1418" w:type="dxa"/>
            <w:tcBorders>
              <w:top w:val="single" w:sz="4" w:space="0" w:color="000000"/>
              <w:left w:val="single" w:sz="4" w:space="0" w:color="000000"/>
              <w:bottom w:val="single" w:sz="4" w:space="0" w:color="000000"/>
              <w:right w:val="single" w:sz="4" w:space="0" w:color="000000"/>
            </w:tcBorders>
          </w:tcPr>
          <w:p w14:paraId="6856A11E"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 xml:space="preserve">Indicator 9 </w:t>
            </w:r>
            <w:r>
              <w:rPr>
                <w:rFonts w:asciiTheme="minorHAnsi" w:hAnsiTheme="minorHAnsi" w:cstheme="minorHAnsi"/>
                <w:sz w:val="20"/>
                <w:szCs w:val="20"/>
              </w:rPr>
              <w:t>Number of projects report enhanced collaboration with a project or partner from another focal area</w:t>
            </w:r>
            <w:r>
              <w:rPr>
                <w:rFonts w:asciiTheme="minorHAnsi" w:hAnsiTheme="minorHAnsi" w:cstheme="minorHAnsi"/>
                <w:b/>
                <w:i/>
                <w:sz w:val="20"/>
                <w:szCs w:val="20"/>
              </w:rPr>
              <w:t xml:space="preserve"> </w:t>
            </w:r>
          </w:p>
          <w:p w14:paraId="5E6FFD99" w14:textId="77777777" w:rsidR="00796126" w:rsidRDefault="00796126">
            <w:pPr>
              <w:rPr>
                <w:rFonts w:asciiTheme="minorHAnsi" w:hAnsiTheme="minorHAnsi" w:cstheme="minorHAnsi"/>
                <w:b/>
                <w:i/>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0960C089"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2 projects report enhanced collaboration with a project or partner from another focal area</w:t>
            </w:r>
          </w:p>
          <w:p w14:paraId="5FC6F519"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4 projects report enhanced collaboration with a project or partner from another focal area</w:t>
            </w:r>
          </w:p>
        </w:tc>
        <w:tc>
          <w:tcPr>
            <w:tcW w:w="1843" w:type="dxa"/>
            <w:tcBorders>
              <w:top w:val="single" w:sz="4" w:space="0" w:color="000000"/>
              <w:left w:val="single" w:sz="4" w:space="0" w:color="000000"/>
              <w:bottom w:val="single" w:sz="4" w:space="0" w:color="000000"/>
              <w:right w:val="single" w:sz="4" w:space="0" w:color="000000"/>
            </w:tcBorders>
            <w:hideMark/>
          </w:tcPr>
          <w:p w14:paraId="6EB5BC29"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SIDS component is integrating all GEF focal area in that specific environmental and developmental context. The indicator should focus on the integrated collaboration. Since this is relatively novel activity. target values are modest (around 40-50% of SIDS projects).</w:t>
            </w:r>
          </w:p>
        </w:tc>
        <w:tc>
          <w:tcPr>
            <w:tcW w:w="1257" w:type="dxa"/>
            <w:tcBorders>
              <w:top w:val="single" w:sz="4" w:space="0" w:color="000000"/>
              <w:left w:val="single" w:sz="4" w:space="0" w:color="000000"/>
              <w:bottom w:val="single" w:sz="4" w:space="0" w:color="000000"/>
              <w:right w:val="single" w:sz="4" w:space="0" w:color="000000"/>
            </w:tcBorders>
          </w:tcPr>
          <w:p w14:paraId="4D00694E"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IW twinning activities </w:t>
            </w:r>
          </w:p>
          <w:p w14:paraId="23D4AB48"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30BBA9BF"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2A6BCDE5" w14:textId="77777777" w:rsidR="00796126" w:rsidRDefault="00796126">
            <w:pPr>
              <w:rPr>
                <w:rFonts w:asciiTheme="minorHAnsi" w:hAnsiTheme="minorHAnsi" w:cstheme="minorHAns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04C684F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4EE6AE3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tc>
        <w:tc>
          <w:tcPr>
            <w:tcW w:w="1263" w:type="dxa"/>
            <w:tcBorders>
              <w:top w:val="single" w:sz="4" w:space="0" w:color="000000"/>
              <w:left w:val="single" w:sz="4" w:space="0" w:color="000000"/>
              <w:bottom w:val="single" w:sz="4" w:space="0" w:color="000000"/>
              <w:right w:val="single" w:sz="4" w:space="0" w:color="000000"/>
            </w:tcBorders>
          </w:tcPr>
          <w:p w14:paraId="02B79689"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IW twinning activities </w:t>
            </w:r>
          </w:p>
          <w:p w14:paraId="5816AB9B"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78C24F18"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5161513E" w14:textId="77777777" w:rsidR="00796126" w:rsidRDefault="00796126">
            <w:pPr>
              <w:rPr>
                <w:rFonts w:asciiTheme="minorHAnsi" w:hAnsiTheme="minorHAnsi" w:cstheme="minorHAnsi"/>
                <w:sz w:val="20"/>
                <w:szCs w:val="20"/>
              </w:rPr>
            </w:pPr>
          </w:p>
        </w:tc>
        <w:tc>
          <w:tcPr>
            <w:tcW w:w="2620" w:type="dxa"/>
            <w:tcBorders>
              <w:top w:val="single" w:sz="4" w:space="0" w:color="000000"/>
              <w:left w:val="single" w:sz="4" w:space="0" w:color="000000"/>
              <w:bottom w:val="single" w:sz="4" w:space="0" w:color="000000"/>
              <w:right w:val="single" w:sz="4" w:space="0" w:color="000000"/>
            </w:tcBorders>
            <w:hideMark/>
          </w:tcPr>
          <w:p w14:paraId="1D768560"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Projects do not have sufficient time to participate or do not know how to sufficiently engage in this activity.</w:t>
            </w:r>
          </w:p>
          <w:p w14:paraId="66E78326"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IW:LEARN PCU, GEF and the implementing agencies will provide necessary support to projects and assist in transcending the inter-focal thematic obstacles.</w:t>
            </w:r>
          </w:p>
        </w:tc>
      </w:tr>
      <w:tr w:rsidR="00796126" w:rsidRPr="00796126" w14:paraId="704BC0A8" w14:textId="77777777" w:rsidTr="00796126">
        <w:trPr>
          <w:trHeight w:val="424"/>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0399FA" w14:textId="77777777" w:rsidR="00796126" w:rsidRDefault="00796126">
            <w:pPr>
              <w:rPr>
                <w:rFonts w:asciiTheme="minorHAnsi" w:hAnsiTheme="minorHAnsi" w:cstheme="minorHAnsi"/>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5036CB95" w14:textId="77777777" w:rsidR="00796126" w:rsidRDefault="00796126">
            <w:pPr>
              <w:rPr>
                <w:rFonts w:asciiTheme="minorHAnsi" w:hAnsiTheme="minorHAnsi" w:cstheme="minorHAnsi"/>
                <w:i/>
                <w:iCs/>
                <w:sz w:val="20"/>
                <w:szCs w:val="20"/>
              </w:rPr>
            </w:pPr>
            <w:r>
              <w:rPr>
                <w:rFonts w:asciiTheme="minorHAnsi" w:hAnsiTheme="minorHAnsi" w:cstheme="minorHAnsi"/>
                <w:i/>
                <w:iCs/>
                <w:sz w:val="20"/>
                <w:szCs w:val="20"/>
              </w:rPr>
              <w:t>Indicator 10:</w:t>
            </w:r>
          </w:p>
          <w:p w14:paraId="612D0312" w14:textId="77777777" w:rsidR="00796126" w:rsidRDefault="00796126">
            <w:pPr>
              <w:rPr>
                <w:rFonts w:asciiTheme="minorHAnsi" w:hAnsiTheme="minorHAnsi" w:cstheme="minorHAnsi"/>
                <w:b/>
                <w:i/>
                <w:sz w:val="20"/>
                <w:szCs w:val="20"/>
              </w:rPr>
            </w:pPr>
            <w:r>
              <w:rPr>
                <w:rFonts w:asciiTheme="minorHAnsi" w:hAnsiTheme="minorHAnsi" w:cstheme="minorHAnsi"/>
                <w:sz w:val="20"/>
                <w:szCs w:val="20"/>
              </w:rPr>
              <w:t xml:space="preserve">Number of best practices in addressing environmental performance </w:t>
            </w:r>
            <w:r>
              <w:rPr>
                <w:rFonts w:asciiTheme="minorHAnsi" w:hAnsiTheme="minorHAnsi" w:cstheme="minorHAnsi"/>
                <w:sz w:val="20"/>
                <w:szCs w:val="20"/>
              </w:rPr>
              <w:lastRenderedPageBreak/>
              <w:t>targets in SIDS generated and used as the basis for learning and replication</w:t>
            </w:r>
          </w:p>
        </w:tc>
        <w:tc>
          <w:tcPr>
            <w:tcW w:w="1417" w:type="dxa"/>
            <w:tcBorders>
              <w:top w:val="single" w:sz="4" w:space="0" w:color="000000"/>
              <w:left w:val="single" w:sz="4" w:space="0" w:color="000000"/>
              <w:bottom w:val="single" w:sz="4" w:space="0" w:color="000000"/>
              <w:right w:val="single" w:sz="4" w:space="0" w:color="000000"/>
            </w:tcBorders>
            <w:hideMark/>
          </w:tcPr>
          <w:p w14:paraId="16DBB19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 xml:space="preserve">Mid-term: 2 SIDS adopt new approaches to address environmental </w:t>
            </w:r>
            <w:r>
              <w:rPr>
                <w:rFonts w:asciiTheme="minorHAnsi" w:hAnsiTheme="minorHAnsi" w:cstheme="minorHAnsi"/>
                <w:sz w:val="20"/>
                <w:szCs w:val="20"/>
              </w:rPr>
              <w:lastRenderedPageBreak/>
              <w:t>performance targets</w:t>
            </w:r>
          </w:p>
          <w:p w14:paraId="0539B95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4 SIDS adopt new approaches to address environmental performance targets</w:t>
            </w:r>
          </w:p>
        </w:tc>
        <w:tc>
          <w:tcPr>
            <w:tcW w:w="1843" w:type="dxa"/>
            <w:tcBorders>
              <w:top w:val="single" w:sz="4" w:space="0" w:color="000000"/>
              <w:left w:val="single" w:sz="4" w:space="0" w:color="000000"/>
              <w:bottom w:val="single" w:sz="4" w:space="0" w:color="000000"/>
              <w:right w:val="single" w:sz="4" w:space="0" w:color="000000"/>
            </w:tcBorders>
            <w:hideMark/>
          </w:tcPr>
          <w:p w14:paraId="1288084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 xml:space="preserve">Workshops/IWC/ twinning/SIDS dialogues are opportunities for SIDS to learn of new approaches to </w:t>
            </w:r>
            <w:r>
              <w:rPr>
                <w:rFonts w:asciiTheme="minorHAnsi" w:hAnsiTheme="minorHAnsi" w:cstheme="minorHAnsi"/>
                <w:sz w:val="20"/>
                <w:szCs w:val="20"/>
              </w:rPr>
              <w:lastRenderedPageBreak/>
              <w:t>address environmental issues. At the end of reporting period they will have to prove that they have adopted new approaches. Target values are based on 40-50 % of SIDS.</w:t>
            </w:r>
          </w:p>
        </w:tc>
        <w:tc>
          <w:tcPr>
            <w:tcW w:w="1257" w:type="dxa"/>
            <w:tcBorders>
              <w:top w:val="single" w:sz="4" w:space="0" w:color="000000"/>
              <w:left w:val="single" w:sz="4" w:space="0" w:color="000000"/>
              <w:bottom w:val="single" w:sz="4" w:space="0" w:color="000000"/>
              <w:right w:val="single" w:sz="4" w:space="0" w:color="000000"/>
            </w:tcBorders>
          </w:tcPr>
          <w:p w14:paraId="07B1BB06"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Reports from IW twinning activities </w:t>
            </w:r>
          </w:p>
          <w:p w14:paraId="48609000"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3B811A08"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IW Projects’ PSC meeting reports </w:t>
            </w:r>
          </w:p>
          <w:p w14:paraId="62D06A10" w14:textId="77777777" w:rsidR="00796126" w:rsidRDefault="00796126">
            <w:pPr>
              <w:rPr>
                <w:rFonts w:asciiTheme="minorHAnsi" w:hAnsiTheme="minorHAnsi" w:cstheme="minorHAnsi"/>
                <w:color w:val="000000"/>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7081DAC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40B1EA0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tc>
        <w:tc>
          <w:tcPr>
            <w:tcW w:w="1263" w:type="dxa"/>
            <w:tcBorders>
              <w:top w:val="single" w:sz="4" w:space="0" w:color="000000"/>
              <w:left w:val="single" w:sz="4" w:space="0" w:color="000000"/>
              <w:bottom w:val="single" w:sz="4" w:space="0" w:color="000000"/>
              <w:right w:val="single" w:sz="4" w:space="0" w:color="000000"/>
            </w:tcBorders>
          </w:tcPr>
          <w:p w14:paraId="046B7572"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Reports from IW twinning activities </w:t>
            </w:r>
          </w:p>
          <w:p w14:paraId="29854FA9"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7A4DD78A"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IW Projects’ PSC meeting reports </w:t>
            </w:r>
          </w:p>
          <w:p w14:paraId="1752BE79" w14:textId="77777777" w:rsidR="00796126" w:rsidRDefault="00796126">
            <w:pPr>
              <w:rPr>
                <w:rFonts w:asciiTheme="minorHAnsi" w:hAnsiTheme="minorHAnsi" w:cstheme="minorHAnsi"/>
                <w:color w:val="000000"/>
                <w:sz w:val="20"/>
                <w:szCs w:val="20"/>
              </w:rPr>
            </w:pPr>
          </w:p>
        </w:tc>
        <w:tc>
          <w:tcPr>
            <w:tcW w:w="2620" w:type="dxa"/>
            <w:tcBorders>
              <w:top w:val="single" w:sz="4" w:space="0" w:color="000000"/>
              <w:left w:val="single" w:sz="4" w:space="0" w:color="000000"/>
              <w:bottom w:val="single" w:sz="4" w:space="0" w:color="000000"/>
              <w:right w:val="single" w:sz="4" w:space="0" w:color="000000"/>
            </w:tcBorders>
            <w:hideMark/>
          </w:tcPr>
          <w:p w14:paraId="5C61ECD1"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lastRenderedPageBreak/>
              <w:t>Risk</w:t>
            </w:r>
            <w:r>
              <w:rPr>
                <w:rFonts w:asciiTheme="minorHAnsi" w:hAnsiTheme="minorHAnsi" w:cstheme="minorHAnsi"/>
                <w:sz w:val="20"/>
                <w:szCs w:val="20"/>
              </w:rPr>
              <w:t>: Countries do not have sufficient time to participate or do not know how to sufficiently engage in this activity.</w:t>
            </w:r>
          </w:p>
          <w:p w14:paraId="33C6E4FE" w14:textId="77777777" w:rsidR="00796126" w:rsidRDefault="00796126">
            <w:pPr>
              <w:rPr>
                <w:rFonts w:asciiTheme="minorHAnsi" w:hAnsiTheme="minorHAnsi" w:cstheme="minorHAnsi"/>
                <w:sz w:val="20"/>
                <w:szCs w:val="20"/>
                <w:u w:val="single"/>
              </w:rPr>
            </w:pPr>
            <w:r>
              <w:rPr>
                <w:rFonts w:asciiTheme="minorHAnsi" w:hAnsiTheme="minorHAnsi" w:cstheme="minorHAnsi"/>
                <w:sz w:val="20"/>
                <w:szCs w:val="20"/>
                <w:u w:val="single"/>
              </w:rPr>
              <w:lastRenderedPageBreak/>
              <w:t>Assumption</w:t>
            </w:r>
            <w:r>
              <w:rPr>
                <w:rFonts w:asciiTheme="minorHAnsi" w:hAnsiTheme="minorHAnsi" w:cstheme="minorHAnsi"/>
                <w:sz w:val="20"/>
                <w:szCs w:val="20"/>
              </w:rPr>
              <w:t>: IW:LEARN PCU, GEF and the implementing agencies will provide necessary support to countries.</w:t>
            </w:r>
          </w:p>
        </w:tc>
      </w:tr>
      <w:tr w:rsidR="00796126" w:rsidRPr="00796126" w14:paraId="35BB2576" w14:textId="77777777" w:rsidTr="00796126">
        <w:trPr>
          <w:trHeight w:val="424"/>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52AEBD0"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lastRenderedPageBreak/>
              <w:t>Project Outcome 6</w:t>
            </w:r>
            <w:r>
              <w:rPr>
                <w:rFonts w:asciiTheme="minorHAnsi" w:hAnsiTheme="minorHAnsi" w:cstheme="minorHAnsi"/>
                <w:color w:val="000000"/>
                <w:sz w:val="20"/>
                <w:szCs w:val="20"/>
              </w:rPr>
              <w:t xml:space="preserve"> Improved management of transboundary freshwater and marine ecosystems</w:t>
            </w:r>
          </w:p>
        </w:tc>
        <w:tc>
          <w:tcPr>
            <w:tcW w:w="1418" w:type="dxa"/>
            <w:tcBorders>
              <w:top w:val="single" w:sz="4" w:space="0" w:color="000000"/>
              <w:left w:val="single" w:sz="4" w:space="0" w:color="000000"/>
              <w:bottom w:val="single" w:sz="4" w:space="0" w:color="000000"/>
              <w:right w:val="single" w:sz="4" w:space="0" w:color="000000"/>
            </w:tcBorders>
            <w:hideMark/>
          </w:tcPr>
          <w:p w14:paraId="7AA54AEC"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11</w:t>
            </w:r>
          </w:p>
          <w:p w14:paraId="3238411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of the portfolio reports either incorporation of Nexus considerations, conjunctive management, blue economy approaches or transboundary MSP approaches in their implementation</w:t>
            </w:r>
          </w:p>
        </w:tc>
        <w:tc>
          <w:tcPr>
            <w:tcW w:w="1417" w:type="dxa"/>
            <w:tcBorders>
              <w:top w:val="single" w:sz="4" w:space="0" w:color="000000"/>
              <w:left w:val="single" w:sz="4" w:space="0" w:color="000000"/>
              <w:bottom w:val="single" w:sz="4" w:space="0" w:color="000000"/>
              <w:right w:val="single" w:sz="4" w:space="0" w:color="000000"/>
            </w:tcBorders>
            <w:hideMark/>
          </w:tcPr>
          <w:p w14:paraId="3324CA1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50% of the portfolio reports either incorporation of Nexus considerations, conjunctive management, blue economy approaches or transboundary MSP approaches in their implementation</w:t>
            </w:r>
          </w:p>
          <w:p w14:paraId="2568E46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End: 75% of the portfolio reports either incorporation </w:t>
            </w:r>
            <w:r>
              <w:rPr>
                <w:rFonts w:asciiTheme="minorHAnsi" w:hAnsiTheme="minorHAnsi" w:cstheme="minorHAnsi"/>
                <w:sz w:val="20"/>
                <w:szCs w:val="20"/>
              </w:rPr>
              <w:lastRenderedPageBreak/>
              <w:t>of Nexus considerations, conjunctive management, blue economy approaches or transboundary MSP approaches in their implementation</w:t>
            </w:r>
          </w:p>
        </w:tc>
        <w:tc>
          <w:tcPr>
            <w:tcW w:w="1843" w:type="dxa"/>
            <w:tcBorders>
              <w:top w:val="single" w:sz="4" w:space="0" w:color="000000"/>
              <w:left w:val="single" w:sz="4" w:space="0" w:color="000000"/>
              <w:bottom w:val="single" w:sz="4" w:space="0" w:color="000000"/>
              <w:right w:val="single" w:sz="4" w:space="0" w:color="000000"/>
            </w:tcBorders>
            <w:hideMark/>
          </w:tcPr>
          <w:p w14:paraId="440F821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 xml:space="preserve">The technical approaches for freshwater and marine ecosystem management are critical for successful transboundary governance. This is the technical indicator which will show how projects will integrate new thematic aspects into the basic management approaches. </w:t>
            </w:r>
          </w:p>
          <w:p w14:paraId="21FF509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Targets are set relatively high as it is necessary that as many as possible </w:t>
            </w:r>
            <w:r>
              <w:rPr>
                <w:rFonts w:asciiTheme="minorHAnsi" w:hAnsiTheme="minorHAnsi" w:cstheme="minorHAnsi"/>
                <w:sz w:val="20"/>
                <w:szCs w:val="20"/>
              </w:rPr>
              <w:lastRenderedPageBreak/>
              <w:t xml:space="preserve">projects adopt new approaches. </w:t>
            </w:r>
          </w:p>
        </w:tc>
        <w:tc>
          <w:tcPr>
            <w:tcW w:w="1257" w:type="dxa"/>
            <w:tcBorders>
              <w:top w:val="single" w:sz="4" w:space="0" w:color="000000"/>
              <w:left w:val="single" w:sz="4" w:space="0" w:color="000000"/>
              <w:bottom w:val="single" w:sz="4" w:space="0" w:color="000000"/>
              <w:right w:val="single" w:sz="4" w:space="0" w:color="000000"/>
            </w:tcBorders>
          </w:tcPr>
          <w:p w14:paraId="5AC3008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Technical reports</w:t>
            </w:r>
          </w:p>
          <w:p w14:paraId="05F80ED1" w14:textId="77777777" w:rsidR="00796126" w:rsidRDefault="00796126">
            <w:pPr>
              <w:rPr>
                <w:rFonts w:asciiTheme="minorHAnsi" w:hAnsiTheme="minorHAnsi" w:cstheme="minorHAnsi"/>
                <w:sz w:val="20"/>
                <w:szCs w:val="20"/>
              </w:rPr>
            </w:pPr>
          </w:p>
          <w:p w14:paraId="185D1E4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Training reports</w:t>
            </w:r>
          </w:p>
          <w:p w14:paraId="475E4B2D"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0776D398"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74A02450" w14:textId="77777777" w:rsidR="00796126" w:rsidRDefault="00796126">
            <w:pPr>
              <w:rPr>
                <w:rFonts w:asciiTheme="minorHAnsi" w:hAnsiTheme="minorHAnsi" w:cstheme="minorHAns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3E9E16C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hideMark/>
          </w:tcPr>
          <w:p w14:paraId="51DDE5E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48C8CB0B"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consultant</w:t>
            </w:r>
          </w:p>
        </w:tc>
        <w:tc>
          <w:tcPr>
            <w:tcW w:w="1263" w:type="dxa"/>
            <w:tcBorders>
              <w:top w:val="single" w:sz="4" w:space="0" w:color="000000"/>
              <w:left w:val="single" w:sz="4" w:space="0" w:color="000000"/>
              <w:bottom w:val="single" w:sz="4" w:space="0" w:color="000000"/>
              <w:right w:val="single" w:sz="4" w:space="0" w:color="000000"/>
            </w:tcBorders>
          </w:tcPr>
          <w:p w14:paraId="5A224AD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Technical reports</w:t>
            </w:r>
          </w:p>
          <w:p w14:paraId="709D54B8" w14:textId="77777777" w:rsidR="00796126" w:rsidRDefault="00796126">
            <w:pPr>
              <w:rPr>
                <w:rFonts w:asciiTheme="minorHAnsi" w:hAnsiTheme="minorHAnsi" w:cstheme="minorHAnsi"/>
                <w:sz w:val="20"/>
                <w:szCs w:val="20"/>
              </w:rPr>
            </w:pPr>
          </w:p>
          <w:p w14:paraId="5EC80F6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Training reports</w:t>
            </w:r>
          </w:p>
          <w:p w14:paraId="3C03C64C"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77DB3051"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2ED9840B"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Projects’ websites</w:t>
            </w:r>
          </w:p>
        </w:tc>
        <w:tc>
          <w:tcPr>
            <w:tcW w:w="2620" w:type="dxa"/>
            <w:tcBorders>
              <w:top w:val="single" w:sz="4" w:space="0" w:color="000000"/>
              <w:left w:val="single" w:sz="4" w:space="0" w:color="000000"/>
              <w:bottom w:val="single" w:sz="4" w:space="0" w:color="000000"/>
              <w:right w:val="single" w:sz="4" w:space="0" w:color="000000"/>
            </w:tcBorders>
            <w:hideMark/>
          </w:tcPr>
          <w:p w14:paraId="69AB7422"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Not all GEF IW projects are willing to engage in learning activities.</w:t>
            </w:r>
          </w:p>
          <w:p w14:paraId="719329E5"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xml:space="preserve"> Projects will be prompted by the PCU and the Agencies to participate in these technical activities.</w:t>
            </w:r>
          </w:p>
        </w:tc>
      </w:tr>
      <w:tr w:rsidR="00796126" w:rsidRPr="00796126" w14:paraId="0A8ABB00" w14:textId="77777777" w:rsidTr="00796126">
        <w:trPr>
          <w:trHeight w:val="424"/>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98EFAA" w14:textId="77777777" w:rsidR="00796126" w:rsidRDefault="00796126">
            <w:pPr>
              <w:rPr>
                <w:rFonts w:asciiTheme="minorHAnsi" w:hAnsiTheme="minorHAnsi" w:cstheme="minorHAnsi"/>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712F37C1"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12</w:t>
            </w:r>
          </w:p>
          <w:p w14:paraId="3B7ACFA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Number of LME's report enhanced collaboration with Regional Seas, Regional Fisheries or River Basin Management bodies</w:t>
            </w:r>
          </w:p>
        </w:tc>
        <w:tc>
          <w:tcPr>
            <w:tcW w:w="1417" w:type="dxa"/>
            <w:tcBorders>
              <w:top w:val="single" w:sz="4" w:space="0" w:color="000000"/>
              <w:left w:val="single" w:sz="4" w:space="0" w:color="000000"/>
              <w:bottom w:val="single" w:sz="4" w:space="0" w:color="000000"/>
              <w:right w:val="single" w:sz="4" w:space="0" w:color="000000"/>
            </w:tcBorders>
            <w:hideMark/>
          </w:tcPr>
          <w:p w14:paraId="717C8909"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2 LMEs report enhanced collaboration with Regional Seas, Regional Fisheries or River Basin Management bodies incorporating also the Source-to-Sea approach</w:t>
            </w:r>
          </w:p>
          <w:p w14:paraId="51A222E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End: 5 LMEs report enhanced collaboration with Regional </w:t>
            </w:r>
            <w:r>
              <w:rPr>
                <w:rFonts w:asciiTheme="minorHAnsi" w:hAnsiTheme="minorHAnsi" w:cstheme="minorHAnsi"/>
                <w:sz w:val="20"/>
                <w:szCs w:val="20"/>
              </w:rPr>
              <w:lastRenderedPageBreak/>
              <w:t>Seas, Regional Fisheries or River Basin Management bodies incorporating also the Source-to-Sea approach</w:t>
            </w:r>
          </w:p>
        </w:tc>
        <w:tc>
          <w:tcPr>
            <w:tcW w:w="1843" w:type="dxa"/>
            <w:tcBorders>
              <w:top w:val="single" w:sz="4" w:space="0" w:color="000000"/>
              <w:left w:val="single" w:sz="4" w:space="0" w:color="000000"/>
              <w:bottom w:val="single" w:sz="4" w:space="0" w:color="000000"/>
              <w:right w:val="single" w:sz="4" w:space="0" w:color="000000"/>
            </w:tcBorders>
            <w:hideMark/>
          </w:tcPr>
          <w:p w14:paraId="5421722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 xml:space="preserve">Advancement of regional ocean governance has been considered as critical for the success of LME governance. The process has been slow but needs to be continued. This indicator is necessary to show progress in this realm.  </w:t>
            </w:r>
          </w:p>
          <w:p w14:paraId="2224F62C"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Target values are modest, but if successful, they will chart the path for </w:t>
            </w:r>
            <w:r>
              <w:rPr>
                <w:rFonts w:asciiTheme="minorHAnsi" w:hAnsiTheme="minorHAnsi" w:cstheme="minorHAnsi"/>
                <w:sz w:val="20"/>
                <w:szCs w:val="20"/>
              </w:rPr>
              <w:lastRenderedPageBreak/>
              <w:t>more progress in the future.</w:t>
            </w:r>
          </w:p>
        </w:tc>
        <w:tc>
          <w:tcPr>
            <w:tcW w:w="1257" w:type="dxa"/>
            <w:tcBorders>
              <w:top w:val="single" w:sz="4" w:space="0" w:color="000000"/>
              <w:left w:val="single" w:sz="4" w:space="0" w:color="000000"/>
              <w:bottom w:val="single" w:sz="4" w:space="0" w:color="000000"/>
              <w:right w:val="single" w:sz="4" w:space="0" w:color="000000"/>
            </w:tcBorders>
            <w:hideMark/>
          </w:tcPr>
          <w:p w14:paraId="7F04ABB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lastRenderedPageBreak/>
              <w:t>LME Annual meeting reports</w:t>
            </w:r>
          </w:p>
        </w:tc>
        <w:tc>
          <w:tcPr>
            <w:tcW w:w="1081" w:type="dxa"/>
            <w:tcBorders>
              <w:top w:val="single" w:sz="4" w:space="0" w:color="000000"/>
              <w:left w:val="single" w:sz="4" w:space="0" w:color="000000"/>
              <w:bottom w:val="single" w:sz="4" w:space="0" w:color="000000"/>
              <w:right w:val="single" w:sz="4" w:space="0" w:color="000000"/>
            </w:tcBorders>
            <w:hideMark/>
          </w:tcPr>
          <w:p w14:paraId="713C21A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Annually</w:t>
            </w:r>
          </w:p>
        </w:tc>
        <w:tc>
          <w:tcPr>
            <w:tcW w:w="1218" w:type="dxa"/>
            <w:tcBorders>
              <w:top w:val="single" w:sz="4" w:space="0" w:color="000000"/>
              <w:left w:val="single" w:sz="4" w:space="0" w:color="000000"/>
              <w:bottom w:val="single" w:sz="4" w:space="0" w:color="000000"/>
              <w:right w:val="single" w:sz="4" w:space="0" w:color="000000"/>
            </w:tcBorders>
          </w:tcPr>
          <w:p w14:paraId="2AE4213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0CDC2111"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consultant</w:t>
            </w:r>
          </w:p>
          <w:p w14:paraId="73ED3EF9" w14:textId="77777777" w:rsidR="00796126" w:rsidRDefault="00796126">
            <w:pPr>
              <w:rPr>
                <w:rFonts w:asciiTheme="minorHAnsi" w:hAnsiTheme="minorHAnsi" w:cstheme="minorHAnsi"/>
                <w:sz w:val="20"/>
                <w:szCs w:val="20"/>
              </w:rPr>
            </w:pPr>
          </w:p>
        </w:tc>
        <w:tc>
          <w:tcPr>
            <w:tcW w:w="1263" w:type="dxa"/>
            <w:tcBorders>
              <w:top w:val="single" w:sz="4" w:space="0" w:color="000000"/>
              <w:left w:val="single" w:sz="4" w:space="0" w:color="000000"/>
              <w:bottom w:val="single" w:sz="4" w:space="0" w:color="000000"/>
              <w:right w:val="single" w:sz="4" w:space="0" w:color="000000"/>
            </w:tcBorders>
            <w:hideMark/>
          </w:tcPr>
          <w:p w14:paraId="6F95C05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LME Annual meeting reports</w:t>
            </w:r>
          </w:p>
          <w:p w14:paraId="5F0049A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RFMO reports</w:t>
            </w:r>
          </w:p>
          <w:p w14:paraId="2917791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RBO reports</w:t>
            </w:r>
          </w:p>
          <w:p w14:paraId="048D623E"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and Agencies’ web sites analysis</w:t>
            </w:r>
          </w:p>
        </w:tc>
        <w:tc>
          <w:tcPr>
            <w:tcW w:w="2620" w:type="dxa"/>
            <w:tcBorders>
              <w:top w:val="single" w:sz="4" w:space="0" w:color="000000"/>
              <w:left w:val="single" w:sz="4" w:space="0" w:color="000000"/>
              <w:bottom w:val="single" w:sz="4" w:space="0" w:color="000000"/>
              <w:right w:val="single" w:sz="4" w:space="0" w:color="000000"/>
            </w:tcBorders>
            <w:hideMark/>
          </w:tcPr>
          <w:p w14:paraId="3EFE93CE"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RBOs and RFMOs do not show adequate interest to pursue this activity</w:t>
            </w:r>
          </w:p>
          <w:p w14:paraId="477910EA"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xml:space="preserve"> IW:LEARN implementing and executing agencies should stimulate interest with RFMOs and RBOs to participate</w:t>
            </w:r>
          </w:p>
        </w:tc>
      </w:tr>
      <w:tr w:rsidR="00796126" w:rsidRPr="00796126" w14:paraId="4FB333D9" w14:textId="77777777" w:rsidTr="00796126">
        <w:trPr>
          <w:trHeight w:val="424"/>
        </w:trPr>
        <w:tc>
          <w:tcPr>
            <w:tcW w:w="1701" w:type="dxa"/>
            <w:tcBorders>
              <w:top w:val="single" w:sz="4" w:space="0" w:color="000000"/>
              <w:left w:val="single" w:sz="4" w:space="0" w:color="000000"/>
              <w:bottom w:val="single" w:sz="4" w:space="0" w:color="000000"/>
              <w:right w:val="single" w:sz="4" w:space="0" w:color="000000"/>
            </w:tcBorders>
            <w:vAlign w:val="center"/>
          </w:tcPr>
          <w:p w14:paraId="0734A840" w14:textId="77777777" w:rsidR="00796126" w:rsidRDefault="00796126">
            <w:pPr>
              <w:rPr>
                <w:rFonts w:asciiTheme="minorHAnsi" w:hAnsiTheme="minorHAnsi" w:cstheme="minorHAnsi"/>
                <w:b/>
                <w:sz w:val="20"/>
                <w:szCs w:val="20"/>
              </w:rPr>
            </w:pPr>
            <w:r>
              <w:rPr>
                <w:rFonts w:asciiTheme="minorHAnsi" w:hAnsiTheme="minorHAnsi" w:cstheme="minorHAnsi"/>
                <w:b/>
                <w:sz w:val="20"/>
                <w:szCs w:val="20"/>
              </w:rPr>
              <w:t>Project Outcome 7</w:t>
            </w:r>
            <w:r>
              <w:rPr>
                <w:rFonts w:asciiTheme="minorHAnsi" w:hAnsiTheme="minorHAnsi" w:cstheme="minorHAnsi"/>
                <w:color w:val="000000"/>
                <w:sz w:val="20"/>
                <w:szCs w:val="20"/>
              </w:rPr>
              <w:t xml:space="preserve"> Enhanced number of partnerships and resources mobilized for the portfolio</w:t>
            </w:r>
          </w:p>
          <w:p w14:paraId="0A274A0A" w14:textId="77777777" w:rsidR="00796126" w:rsidRDefault="00796126">
            <w:pPr>
              <w:rPr>
                <w:rFonts w:asciiTheme="minorHAnsi" w:hAnsiTheme="minorHAnsi" w:cstheme="minorHAnsi"/>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20500A3F" w14:textId="77777777" w:rsidR="00796126" w:rsidRDefault="00796126">
            <w:pPr>
              <w:rPr>
                <w:rFonts w:asciiTheme="minorHAnsi" w:hAnsiTheme="minorHAnsi" w:cstheme="minorHAnsi"/>
                <w:b/>
                <w:i/>
                <w:sz w:val="20"/>
                <w:szCs w:val="20"/>
              </w:rPr>
            </w:pPr>
            <w:r>
              <w:rPr>
                <w:rFonts w:asciiTheme="minorHAnsi" w:hAnsiTheme="minorHAnsi" w:cstheme="minorHAnsi"/>
                <w:b/>
                <w:i/>
                <w:sz w:val="20"/>
                <w:szCs w:val="20"/>
              </w:rPr>
              <w:t>Indicator 13</w:t>
            </w:r>
          </w:p>
          <w:p w14:paraId="39A5D799"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Number of projects supported in developing a private sector partnership in transboundary water management</w:t>
            </w:r>
          </w:p>
        </w:tc>
        <w:tc>
          <w:tcPr>
            <w:tcW w:w="1417" w:type="dxa"/>
            <w:tcBorders>
              <w:top w:val="single" w:sz="4" w:space="0" w:color="000000"/>
              <w:left w:val="single" w:sz="4" w:space="0" w:color="000000"/>
              <w:bottom w:val="single" w:sz="4" w:space="0" w:color="000000"/>
              <w:right w:val="single" w:sz="4" w:space="0" w:color="000000"/>
            </w:tcBorders>
            <w:hideMark/>
          </w:tcPr>
          <w:p w14:paraId="2A4CD1B7"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Mid-term: 2 projects identify GEF IW:LEARN support as resulting in a private sector partnership</w:t>
            </w:r>
          </w:p>
          <w:p w14:paraId="601617B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End: 5 projects identify GEF IW:LEARN support as resulting in a private sector partnership</w:t>
            </w:r>
          </w:p>
        </w:tc>
        <w:tc>
          <w:tcPr>
            <w:tcW w:w="1843" w:type="dxa"/>
            <w:tcBorders>
              <w:top w:val="single" w:sz="4" w:space="0" w:color="000000"/>
              <w:left w:val="single" w:sz="4" w:space="0" w:color="000000"/>
              <w:bottom w:val="single" w:sz="4" w:space="0" w:color="000000"/>
              <w:right w:val="single" w:sz="4" w:space="0" w:color="000000"/>
            </w:tcBorders>
            <w:hideMark/>
          </w:tcPr>
          <w:p w14:paraId="4A99D20D"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Private sector involvement in IW projects is a new sphere of activity. It is expected that at the end of the project new partnerships will be created. Target values are modest since this is a new activity.</w:t>
            </w:r>
          </w:p>
        </w:tc>
        <w:tc>
          <w:tcPr>
            <w:tcW w:w="1257" w:type="dxa"/>
            <w:tcBorders>
              <w:top w:val="single" w:sz="4" w:space="0" w:color="000000"/>
              <w:left w:val="single" w:sz="4" w:space="0" w:color="000000"/>
              <w:bottom w:val="single" w:sz="4" w:space="0" w:color="000000"/>
              <w:right w:val="single" w:sz="4" w:space="0" w:color="000000"/>
            </w:tcBorders>
          </w:tcPr>
          <w:p w14:paraId="0A1C2A7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Advisory Panel</w:t>
            </w:r>
          </w:p>
          <w:p w14:paraId="75970195"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Strategy and action plan</w:t>
            </w:r>
          </w:p>
          <w:p w14:paraId="3D249ADA"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Training reports</w:t>
            </w:r>
          </w:p>
          <w:p w14:paraId="4055826C"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2B795249"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68568752" w14:textId="77777777" w:rsidR="00796126" w:rsidRDefault="00796126">
            <w:pPr>
              <w:rPr>
                <w:rFonts w:asciiTheme="minorHAnsi" w:hAnsiTheme="minorHAnsi" w:cstheme="minorHAnsi"/>
                <w:sz w:val="20"/>
                <w:szCs w:val="20"/>
              </w:rPr>
            </w:pPr>
          </w:p>
        </w:tc>
        <w:tc>
          <w:tcPr>
            <w:tcW w:w="1081" w:type="dxa"/>
            <w:tcBorders>
              <w:top w:val="single" w:sz="4" w:space="0" w:color="000000"/>
              <w:left w:val="single" w:sz="4" w:space="0" w:color="000000"/>
              <w:bottom w:val="single" w:sz="4" w:space="0" w:color="000000"/>
              <w:right w:val="single" w:sz="4" w:space="0" w:color="000000"/>
            </w:tcBorders>
            <w:hideMark/>
          </w:tcPr>
          <w:p w14:paraId="5A92359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Reported in DO tab of the GEF PIR</w:t>
            </w:r>
          </w:p>
        </w:tc>
        <w:tc>
          <w:tcPr>
            <w:tcW w:w="1218" w:type="dxa"/>
            <w:tcBorders>
              <w:top w:val="single" w:sz="4" w:space="0" w:color="000000"/>
              <w:left w:val="single" w:sz="4" w:space="0" w:color="000000"/>
              <w:bottom w:val="single" w:sz="4" w:space="0" w:color="000000"/>
              <w:right w:val="single" w:sz="4" w:space="0" w:color="000000"/>
            </w:tcBorders>
          </w:tcPr>
          <w:p w14:paraId="361EFC2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IW:LEARN PCU</w:t>
            </w:r>
          </w:p>
          <w:p w14:paraId="5DBB7E1D"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Project consultant</w:t>
            </w:r>
          </w:p>
          <w:p w14:paraId="7CE20F99" w14:textId="77777777" w:rsidR="00796126" w:rsidRDefault="00796126">
            <w:pPr>
              <w:rPr>
                <w:rFonts w:asciiTheme="minorHAnsi" w:hAnsiTheme="minorHAnsi" w:cstheme="minorHAnsi"/>
                <w:sz w:val="20"/>
                <w:szCs w:val="20"/>
              </w:rPr>
            </w:pPr>
          </w:p>
        </w:tc>
        <w:tc>
          <w:tcPr>
            <w:tcW w:w="1263" w:type="dxa"/>
            <w:tcBorders>
              <w:top w:val="single" w:sz="4" w:space="0" w:color="000000"/>
              <w:left w:val="single" w:sz="4" w:space="0" w:color="000000"/>
              <w:bottom w:val="single" w:sz="4" w:space="0" w:color="000000"/>
              <w:right w:val="single" w:sz="4" w:space="0" w:color="000000"/>
            </w:tcBorders>
          </w:tcPr>
          <w:p w14:paraId="077D647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Training reports</w:t>
            </w:r>
          </w:p>
          <w:p w14:paraId="7083AA5A"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IWC reports </w:t>
            </w:r>
          </w:p>
          <w:p w14:paraId="062B3456" w14:textId="77777777" w:rsidR="00796126" w:rsidRDefault="00796126">
            <w:pPr>
              <w:rPr>
                <w:rFonts w:asciiTheme="minorHAnsi" w:hAnsiTheme="minorHAnsi" w:cstheme="minorHAnsi"/>
                <w:color w:val="000000"/>
                <w:sz w:val="20"/>
                <w:szCs w:val="20"/>
              </w:rPr>
            </w:pPr>
            <w:r>
              <w:rPr>
                <w:rFonts w:asciiTheme="minorHAnsi" w:hAnsiTheme="minorHAnsi" w:cstheme="minorHAnsi"/>
                <w:color w:val="000000"/>
                <w:sz w:val="20"/>
                <w:szCs w:val="20"/>
              </w:rPr>
              <w:t xml:space="preserve">IW Projects’ PSC meeting reports </w:t>
            </w:r>
          </w:p>
          <w:p w14:paraId="4283819D" w14:textId="77777777" w:rsidR="00796126" w:rsidRDefault="00796126">
            <w:pPr>
              <w:rPr>
                <w:rFonts w:asciiTheme="minorHAnsi" w:hAnsiTheme="minorHAnsi" w:cstheme="minorHAnsi"/>
                <w:sz w:val="20"/>
                <w:szCs w:val="20"/>
              </w:rPr>
            </w:pPr>
          </w:p>
        </w:tc>
        <w:tc>
          <w:tcPr>
            <w:tcW w:w="2620" w:type="dxa"/>
            <w:tcBorders>
              <w:top w:val="single" w:sz="4" w:space="0" w:color="000000"/>
              <w:left w:val="single" w:sz="4" w:space="0" w:color="000000"/>
              <w:bottom w:val="single" w:sz="4" w:space="0" w:color="000000"/>
              <w:right w:val="single" w:sz="4" w:space="0" w:color="000000"/>
            </w:tcBorders>
            <w:hideMark/>
          </w:tcPr>
          <w:p w14:paraId="4A102A9E"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Risk</w:t>
            </w:r>
            <w:r>
              <w:rPr>
                <w:rFonts w:asciiTheme="minorHAnsi" w:hAnsiTheme="minorHAnsi" w:cstheme="minorHAnsi"/>
                <w:sz w:val="20"/>
                <w:szCs w:val="20"/>
              </w:rPr>
              <w:t>: Private sector does not show enough interest to invest in transboundary water management.</w:t>
            </w:r>
          </w:p>
          <w:p w14:paraId="693FCD48" w14:textId="77777777" w:rsidR="00796126" w:rsidRDefault="00796126">
            <w:pPr>
              <w:rPr>
                <w:rFonts w:asciiTheme="minorHAnsi" w:hAnsiTheme="minorHAnsi" w:cstheme="minorHAnsi"/>
                <w:sz w:val="20"/>
                <w:szCs w:val="20"/>
              </w:rPr>
            </w:pPr>
            <w:r>
              <w:rPr>
                <w:rFonts w:asciiTheme="minorHAnsi" w:hAnsiTheme="minorHAnsi" w:cstheme="minorHAnsi"/>
                <w:sz w:val="20"/>
                <w:szCs w:val="20"/>
                <w:u w:val="single"/>
              </w:rPr>
              <w:t>Assumption</w:t>
            </w:r>
            <w:r>
              <w:rPr>
                <w:rFonts w:asciiTheme="minorHAnsi" w:hAnsiTheme="minorHAnsi" w:cstheme="minorHAnsi"/>
                <w:sz w:val="20"/>
                <w:szCs w:val="20"/>
              </w:rPr>
              <w:t>: PCU and Agencies develop convincing case for the private sector involvement.</w:t>
            </w:r>
          </w:p>
        </w:tc>
      </w:tr>
    </w:tbl>
    <w:p w14:paraId="28D8ECDE" w14:textId="77777777" w:rsidR="00796126" w:rsidRDefault="00796126" w:rsidP="00796126">
      <w:pPr>
        <w:rPr>
          <w:rFonts w:cs="Calibri"/>
          <w:szCs w:val="20"/>
        </w:rPr>
      </w:pPr>
      <w:bookmarkStart w:id="61" w:name="_Toc58699374"/>
      <w:bookmarkEnd w:id="61"/>
    </w:p>
    <w:p w14:paraId="2503BCBE" w14:textId="77777777" w:rsidR="00796126" w:rsidRDefault="00796126" w:rsidP="00796126">
      <w:pPr>
        <w:rPr>
          <w:rFonts w:cs="Calibri"/>
          <w:szCs w:val="20"/>
        </w:rPr>
      </w:pPr>
    </w:p>
    <w:p w14:paraId="1B6C926D" w14:textId="77777777" w:rsidR="00796126" w:rsidRDefault="00796126" w:rsidP="00796126">
      <w:pPr>
        <w:rPr>
          <w:rFonts w:cs="Calibri"/>
          <w:szCs w:val="20"/>
        </w:rPr>
      </w:pPr>
    </w:p>
    <w:p w14:paraId="5A7263B7" w14:textId="716855D1" w:rsidR="00796126" w:rsidRDefault="00796126" w:rsidP="002B55C1">
      <w:pPr>
        <w:spacing w:after="160" w:line="259" w:lineRule="auto"/>
        <w:sectPr w:rsidR="00796126" w:rsidSect="00796126">
          <w:pgSz w:w="16838" w:h="11906" w:orient="landscape"/>
          <w:pgMar w:top="1440" w:right="1440" w:bottom="1440" w:left="1440" w:header="706" w:footer="706" w:gutter="0"/>
          <w:cols w:space="708"/>
          <w:docGrid w:linePitch="360"/>
        </w:sectPr>
      </w:pPr>
    </w:p>
    <w:p w14:paraId="6DE19DD1" w14:textId="43AAB8F2" w:rsidR="002B55C1" w:rsidRDefault="002B55C1" w:rsidP="002B55C1">
      <w:pPr>
        <w:pStyle w:val="Heading2"/>
        <w:rPr>
          <w:rFonts w:asciiTheme="minorHAnsi" w:hAnsiTheme="minorHAnsi" w:cstheme="minorHAnsi"/>
          <w:b/>
          <w:bCs/>
          <w:color w:val="000000" w:themeColor="text1"/>
          <w:sz w:val="28"/>
          <w:szCs w:val="28"/>
        </w:rPr>
      </w:pPr>
      <w:bookmarkStart w:id="62" w:name="_Toc115094397"/>
      <w:r w:rsidRPr="002B55C1">
        <w:rPr>
          <w:rFonts w:asciiTheme="minorHAnsi" w:hAnsiTheme="minorHAnsi" w:cstheme="minorHAnsi"/>
          <w:b/>
          <w:bCs/>
          <w:color w:val="000000" w:themeColor="text1"/>
          <w:sz w:val="28"/>
          <w:szCs w:val="28"/>
        </w:rPr>
        <w:lastRenderedPageBreak/>
        <w:t>Annex 4: UNDP Social and Environmental Screening Procedure (SESP)</w:t>
      </w:r>
      <w:bookmarkEnd w:id="62"/>
    </w:p>
    <w:tbl>
      <w:tblPr>
        <w:tblStyle w:val="TableGrid"/>
        <w:tblW w:w="13945" w:type="dxa"/>
        <w:tblInd w:w="0" w:type="dxa"/>
        <w:tblLook w:val="04A0" w:firstRow="1" w:lastRow="0" w:firstColumn="1" w:lastColumn="0" w:noHBand="0" w:noVBand="1"/>
      </w:tblPr>
      <w:tblGrid>
        <w:gridCol w:w="4945"/>
        <w:gridCol w:w="9000"/>
      </w:tblGrid>
      <w:tr w:rsidR="00796126" w14:paraId="2F44C170" w14:textId="77777777" w:rsidTr="00796126">
        <w:tc>
          <w:tcPr>
            <w:tcW w:w="4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C8DDD8" w14:textId="77777777" w:rsidR="00796126" w:rsidRDefault="00796126">
            <w:pPr>
              <w:rPr>
                <w:rFonts w:asciiTheme="minorHAnsi" w:hAnsiTheme="minorHAnsi" w:cstheme="minorHAnsi"/>
                <w:b/>
                <w:bCs/>
                <w:sz w:val="20"/>
                <w:szCs w:val="20"/>
              </w:rPr>
            </w:pPr>
            <w:r>
              <w:rPr>
                <w:rFonts w:asciiTheme="minorHAnsi" w:hAnsiTheme="minorHAnsi" w:cstheme="minorHAnsi"/>
                <w:b/>
                <w:bCs/>
                <w:sz w:val="20"/>
                <w:szCs w:val="20"/>
              </w:rPr>
              <w:t>SESP Exemption Criteria</w:t>
            </w:r>
          </w:p>
        </w:tc>
        <w:tc>
          <w:tcPr>
            <w:tcW w:w="90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DF3710C" w14:textId="77777777" w:rsidR="00796126" w:rsidRDefault="00796126">
            <w:pPr>
              <w:rPr>
                <w:rFonts w:asciiTheme="minorHAnsi" w:hAnsiTheme="minorHAnsi" w:cstheme="minorHAnsi"/>
                <w:b/>
                <w:bCs/>
                <w:sz w:val="20"/>
                <w:szCs w:val="20"/>
              </w:rPr>
            </w:pPr>
            <w:r>
              <w:rPr>
                <w:rFonts w:asciiTheme="minorHAnsi" w:hAnsiTheme="minorHAnsi" w:cstheme="minorHAnsi"/>
                <w:b/>
                <w:bCs/>
                <w:sz w:val="20"/>
                <w:szCs w:val="20"/>
              </w:rPr>
              <w:t>Project Outputs/Activities</w:t>
            </w:r>
          </w:p>
        </w:tc>
      </w:tr>
      <w:tr w:rsidR="00796126" w14:paraId="66778403"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7BBDA4B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a. UNDP serves as Administrative Agent</w:t>
            </w:r>
          </w:p>
        </w:tc>
        <w:tc>
          <w:tcPr>
            <w:tcW w:w="9000" w:type="dxa"/>
            <w:tcBorders>
              <w:top w:val="single" w:sz="4" w:space="0" w:color="auto"/>
              <w:left w:val="single" w:sz="4" w:space="0" w:color="auto"/>
              <w:bottom w:val="single" w:sz="4" w:space="0" w:color="auto"/>
              <w:right w:val="single" w:sz="4" w:space="0" w:color="auto"/>
            </w:tcBorders>
          </w:tcPr>
          <w:p w14:paraId="35645E04" w14:textId="77777777" w:rsidR="00796126" w:rsidRDefault="00796126">
            <w:pPr>
              <w:rPr>
                <w:rFonts w:asciiTheme="minorHAnsi" w:hAnsiTheme="minorHAnsi" w:cstheme="minorHAnsi"/>
                <w:sz w:val="20"/>
                <w:szCs w:val="20"/>
              </w:rPr>
            </w:pPr>
          </w:p>
        </w:tc>
      </w:tr>
      <w:tr w:rsidR="00796126" w:rsidRPr="00796126" w14:paraId="7A6DD87A"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121048A6"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b. Preparation and dissemination of reports, documents and communication materials</w:t>
            </w:r>
          </w:p>
        </w:tc>
        <w:tc>
          <w:tcPr>
            <w:tcW w:w="9000" w:type="dxa"/>
            <w:tcBorders>
              <w:top w:val="single" w:sz="4" w:space="0" w:color="auto"/>
              <w:left w:val="single" w:sz="4" w:space="0" w:color="auto"/>
              <w:bottom w:val="single" w:sz="4" w:space="0" w:color="auto"/>
              <w:right w:val="single" w:sz="4" w:space="0" w:color="auto"/>
            </w:tcBorders>
          </w:tcPr>
          <w:p w14:paraId="15BFCED1" w14:textId="77777777" w:rsidR="00796126" w:rsidRDefault="00796126">
            <w:pPr>
              <w:rPr>
                <w:rFonts w:asciiTheme="minorHAnsi" w:hAnsiTheme="minorHAnsi" w:cstheme="minorHAnsi"/>
                <w:sz w:val="20"/>
                <w:szCs w:val="20"/>
              </w:rPr>
            </w:pPr>
          </w:p>
        </w:tc>
      </w:tr>
      <w:tr w:rsidR="00796126" w:rsidRPr="00796126" w14:paraId="3702A493"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6316B522"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c. Organization of an event, workshop, training</w:t>
            </w:r>
          </w:p>
        </w:tc>
        <w:tc>
          <w:tcPr>
            <w:tcW w:w="9000" w:type="dxa"/>
            <w:tcBorders>
              <w:top w:val="single" w:sz="4" w:space="0" w:color="auto"/>
              <w:left w:val="single" w:sz="4" w:space="0" w:color="auto"/>
              <w:bottom w:val="single" w:sz="4" w:space="0" w:color="auto"/>
              <w:right w:val="single" w:sz="4" w:space="0" w:color="auto"/>
            </w:tcBorders>
            <w:hideMark/>
          </w:tcPr>
          <w:p w14:paraId="792FBA15"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All outputs in project Component 1 involve the organization of events, workshops and training (exemption criteria c), and no other activities. Outputs under project Component 2, Sub-component 2.3 involve the organization of training (exemption criteria c), and no other activities. Outputs under project Component 3, Sub-components 3.1, 3.3, and 3.4 involve the organization of workshops and training (exemption criteria c), and no other activities. Outputs under project Component 4 involve the organization of events, workshops, and training (exemption criteria c), and no other </w:t>
            </w:r>
            <w:proofErr w:type="spellStart"/>
            <w:r>
              <w:rPr>
                <w:rFonts w:asciiTheme="minorHAnsi" w:hAnsiTheme="minorHAnsi" w:cstheme="minorHAnsi"/>
                <w:sz w:val="20"/>
                <w:szCs w:val="20"/>
              </w:rPr>
              <w:t>activities.Outputs</w:t>
            </w:r>
            <w:proofErr w:type="spellEnd"/>
            <w:r>
              <w:rPr>
                <w:rFonts w:asciiTheme="minorHAnsi" w:hAnsiTheme="minorHAnsi" w:cstheme="minorHAnsi"/>
                <w:sz w:val="20"/>
                <w:szCs w:val="20"/>
              </w:rPr>
              <w:t xml:space="preserve"> under project Component 5, Sub-component 5.2 and 5.3 involve the organization of workshops and training (exemption criteria c), and no other activities. </w:t>
            </w:r>
          </w:p>
        </w:tc>
      </w:tr>
      <w:tr w:rsidR="00796126" w14:paraId="16588A95"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7B70796F"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d. Strengthening capacities of partners to participate in international negotiations and conferences</w:t>
            </w:r>
          </w:p>
        </w:tc>
        <w:tc>
          <w:tcPr>
            <w:tcW w:w="9000" w:type="dxa"/>
            <w:tcBorders>
              <w:top w:val="single" w:sz="4" w:space="0" w:color="auto"/>
              <w:left w:val="single" w:sz="4" w:space="0" w:color="auto"/>
              <w:bottom w:val="single" w:sz="4" w:space="0" w:color="auto"/>
              <w:right w:val="single" w:sz="4" w:space="0" w:color="auto"/>
            </w:tcBorders>
            <w:hideMark/>
          </w:tcPr>
          <w:p w14:paraId="24EF95F4"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Outputs of project Component 1, Sub-component 1.1 involve strengthening capacities of partners to participate in international conferences (exemption criteria e), and no other activities. Outputs under project Component 4, Sub-component 4.4</w:t>
            </w:r>
          </w:p>
        </w:tc>
      </w:tr>
      <w:tr w:rsidR="00796126" w14:paraId="641292B0"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5DC940E8"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e. Partnership coordination (including UN coordination) and management of networks</w:t>
            </w:r>
          </w:p>
        </w:tc>
        <w:tc>
          <w:tcPr>
            <w:tcW w:w="9000" w:type="dxa"/>
            <w:tcBorders>
              <w:top w:val="single" w:sz="4" w:space="0" w:color="auto"/>
              <w:left w:val="single" w:sz="4" w:space="0" w:color="auto"/>
              <w:bottom w:val="single" w:sz="4" w:space="0" w:color="auto"/>
              <w:right w:val="single" w:sz="4" w:space="0" w:color="auto"/>
            </w:tcBorders>
          </w:tcPr>
          <w:p w14:paraId="0CCBE8C3"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Outputs of project Component 1, Sub-component 1.1 and 1.4 involve partnership coordination and management of networks (exemption criteria e), and no other activities. Outputs of project Component 3, Sub-component 3.1 and 3.2 involve partnership coordination and management of networks (exemption criteria e), and no other activities. Outputs of project Component 4, Sub-component 4.4</w:t>
            </w:r>
          </w:p>
          <w:p w14:paraId="05AD4A93" w14:textId="77777777" w:rsidR="00796126" w:rsidRDefault="00796126">
            <w:pPr>
              <w:pStyle w:val="ListParagraph"/>
              <w:ind w:left="54"/>
              <w:rPr>
                <w:rFonts w:asciiTheme="minorHAnsi" w:hAnsiTheme="minorHAnsi" w:cstheme="minorHAnsi"/>
                <w:bCs/>
                <w:sz w:val="20"/>
                <w:szCs w:val="20"/>
              </w:rPr>
            </w:pPr>
          </w:p>
        </w:tc>
      </w:tr>
      <w:tr w:rsidR="00796126" w14:paraId="6E02786A"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37924700"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 xml:space="preserve">f. Global/regional projects with no country-level activities </w:t>
            </w:r>
          </w:p>
        </w:tc>
        <w:tc>
          <w:tcPr>
            <w:tcW w:w="9000" w:type="dxa"/>
            <w:tcBorders>
              <w:top w:val="single" w:sz="4" w:space="0" w:color="auto"/>
              <w:left w:val="single" w:sz="4" w:space="0" w:color="auto"/>
              <w:bottom w:val="single" w:sz="4" w:space="0" w:color="auto"/>
              <w:right w:val="single" w:sz="4" w:space="0" w:color="auto"/>
            </w:tcBorders>
            <w:hideMark/>
          </w:tcPr>
          <w:p w14:paraId="01BA9568" w14:textId="77777777" w:rsidR="00796126" w:rsidRDefault="00796126">
            <w:pPr>
              <w:rPr>
                <w:rFonts w:asciiTheme="minorHAnsi" w:hAnsiTheme="minorHAnsi" w:cstheme="minorHAnsi"/>
                <w:bCs/>
                <w:sz w:val="20"/>
                <w:szCs w:val="20"/>
              </w:rPr>
            </w:pPr>
            <w:r>
              <w:rPr>
                <w:rFonts w:asciiTheme="minorHAnsi" w:hAnsiTheme="minorHAnsi" w:cstheme="minorHAnsi"/>
                <w:bCs/>
                <w:sz w:val="20"/>
                <w:szCs w:val="20"/>
              </w:rPr>
              <w:t xml:space="preserve">All outputs in project Component 1 (sub-components 1.1, 1.2, 1.3, 1.4), Component 2 (sub-components 2.1, 2.2, 2.3), Component 3 (sub-components 3.1, 3.2, 3.3, 3.4), Component 4 (sub-components 4.1, 4.2, 4.3, 4.4) and Component 5 (sub-components 5.1, 5.2, 5.3) concern a global project with no country-level activities. The project should be considered thus as SESP-exempt. </w:t>
            </w:r>
          </w:p>
        </w:tc>
      </w:tr>
      <w:tr w:rsidR="00796126" w:rsidRPr="00796126" w14:paraId="7E6C8D95" w14:textId="77777777" w:rsidTr="00796126">
        <w:trPr>
          <w:trHeight w:val="547"/>
        </w:trPr>
        <w:tc>
          <w:tcPr>
            <w:tcW w:w="4945" w:type="dxa"/>
            <w:tcBorders>
              <w:top w:val="single" w:sz="4" w:space="0" w:color="auto"/>
              <w:left w:val="single" w:sz="4" w:space="0" w:color="auto"/>
              <w:bottom w:val="single" w:sz="4" w:space="0" w:color="auto"/>
              <w:right w:val="single" w:sz="4" w:space="0" w:color="auto"/>
            </w:tcBorders>
            <w:hideMark/>
          </w:tcPr>
          <w:p w14:paraId="6FD27F35" w14:textId="77777777" w:rsidR="00796126" w:rsidRDefault="00796126">
            <w:pPr>
              <w:rPr>
                <w:rFonts w:asciiTheme="minorHAnsi" w:hAnsiTheme="minorHAnsi" w:cstheme="minorHAnsi"/>
                <w:sz w:val="20"/>
                <w:szCs w:val="20"/>
              </w:rPr>
            </w:pPr>
            <w:r>
              <w:rPr>
                <w:rFonts w:asciiTheme="minorHAnsi" w:hAnsiTheme="minorHAnsi" w:cstheme="minorHAnsi"/>
                <w:sz w:val="20"/>
                <w:szCs w:val="20"/>
              </w:rPr>
              <w:t>g. Development Effectiveness projects and Institutional Effectiveness projects.</w:t>
            </w:r>
          </w:p>
        </w:tc>
        <w:tc>
          <w:tcPr>
            <w:tcW w:w="9000" w:type="dxa"/>
            <w:tcBorders>
              <w:top w:val="single" w:sz="4" w:space="0" w:color="auto"/>
              <w:left w:val="single" w:sz="4" w:space="0" w:color="auto"/>
              <w:bottom w:val="single" w:sz="4" w:space="0" w:color="auto"/>
              <w:right w:val="single" w:sz="4" w:space="0" w:color="auto"/>
            </w:tcBorders>
          </w:tcPr>
          <w:p w14:paraId="7966F907" w14:textId="77777777" w:rsidR="00796126" w:rsidRDefault="00796126">
            <w:pPr>
              <w:rPr>
                <w:rFonts w:asciiTheme="minorHAnsi" w:hAnsiTheme="minorHAnsi" w:cstheme="minorHAnsi"/>
                <w:sz w:val="20"/>
                <w:szCs w:val="20"/>
              </w:rPr>
            </w:pPr>
          </w:p>
        </w:tc>
      </w:tr>
    </w:tbl>
    <w:p w14:paraId="7FE2E18A" w14:textId="099012F9" w:rsidR="002B55C1" w:rsidRPr="002B55C1" w:rsidRDefault="002B55C1" w:rsidP="002B55C1">
      <w:pPr>
        <w:spacing w:after="160" w:line="259" w:lineRule="auto"/>
      </w:pPr>
      <w:r>
        <w:br w:type="page"/>
      </w:r>
    </w:p>
    <w:p w14:paraId="0370549D" w14:textId="3B4866BB" w:rsidR="002B55C1" w:rsidRDefault="002B55C1" w:rsidP="002B55C1">
      <w:pPr>
        <w:pStyle w:val="Heading2"/>
        <w:rPr>
          <w:rFonts w:asciiTheme="minorHAnsi" w:hAnsiTheme="minorHAnsi" w:cstheme="minorHAnsi"/>
          <w:b/>
          <w:bCs/>
          <w:color w:val="000000" w:themeColor="text1"/>
          <w:sz w:val="28"/>
          <w:szCs w:val="28"/>
        </w:rPr>
      </w:pPr>
      <w:bookmarkStart w:id="63" w:name="_Toc115094398"/>
      <w:r w:rsidRPr="002B55C1">
        <w:rPr>
          <w:rFonts w:asciiTheme="minorHAnsi" w:hAnsiTheme="minorHAnsi" w:cstheme="minorHAnsi"/>
          <w:b/>
          <w:bCs/>
          <w:color w:val="000000" w:themeColor="text1"/>
          <w:sz w:val="28"/>
          <w:szCs w:val="28"/>
        </w:rPr>
        <w:lastRenderedPageBreak/>
        <w:t>Annex 5: UNDP Risk Register</w:t>
      </w:r>
      <w:bookmarkEnd w:id="63"/>
    </w:p>
    <w:tbl>
      <w:tblPr>
        <w:tblW w:w="13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
        <w:gridCol w:w="3107"/>
        <w:gridCol w:w="1400"/>
        <w:gridCol w:w="3910"/>
        <w:gridCol w:w="3780"/>
        <w:gridCol w:w="1440"/>
      </w:tblGrid>
      <w:tr w:rsidR="000C6094" w14:paraId="2759A023"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FFCC00"/>
            <w:hideMark/>
          </w:tcPr>
          <w:p w14:paraId="7A2D2EFF"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w:t>
            </w:r>
          </w:p>
        </w:tc>
        <w:tc>
          <w:tcPr>
            <w:tcW w:w="3107" w:type="dxa"/>
            <w:tcBorders>
              <w:top w:val="single" w:sz="4" w:space="0" w:color="000000"/>
              <w:left w:val="single" w:sz="4" w:space="0" w:color="000000"/>
              <w:bottom w:val="single" w:sz="4" w:space="0" w:color="000000"/>
              <w:right w:val="single" w:sz="4" w:space="0" w:color="000000"/>
            </w:tcBorders>
            <w:shd w:val="clear" w:color="auto" w:fill="FFCC00"/>
            <w:hideMark/>
          </w:tcPr>
          <w:p w14:paraId="3270ED5D"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Description</w:t>
            </w:r>
          </w:p>
        </w:tc>
        <w:tc>
          <w:tcPr>
            <w:tcW w:w="1400" w:type="dxa"/>
            <w:tcBorders>
              <w:top w:val="single" w:sz="4" w:space="0" w:color="000000"/>
              <w:left w:val="single" w:sz="4" w:space="0" w:color="000000"/>
              <w:bottom w:val="single" w:sz="4" w:space="0" w:color="000000"/>
              <w:right w:val="single" w:sz="4" w:space="0" w:color="000000"/>
            </w:tcBorders>
            <w:shd w:val="clear" w:color="auto" w:fill="FFCC00"/>
            <w:hideMark/>
          </w:tcPr>
          <w:p w14:paraId="314EE506"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Risk Category</w:t>
            </w:r>
          </w:p>
        </w:tc>
        <w:tc>
          <w:tcPr>
            <w:tcW w:w="3910" w:type="dxa"/>
            <w:tcBorders>
              <w:top w:val="single" w:sz="4" w:space="0" w:color="000000"/>
              <w:left w:val="single" w:sz="4" w:space="0" w:color="000000"/>
              <w:bottom w:val="single" w:sz="4" w:space="0" w:color="000000"/>
              <w:right w:val="single" w:sz="4" w:space="0" w:color="000000"/>
            </w:tcBorders>
            <w:shd w:val="clear" w:color="auto" w:fill="FFCC00"/>
            <w:hideMark/>
          </w:tcPr>
          <w:p w14:paraId="4841D900" w14:textId="39E9AF72" w:rsidR="000C6094" w:rsidRDefault="000C6094" w:rsidP="000C6094">
            <w:pPr>
              <w:rPr>
                <w:rFonts w:asciiTheme="minorHAnsi" w:hAnsiTheme="minorHAnsi" w:cstheme="minorHAnsi"/>
                <w:b/>
                <w:sz w:val="20"/>
                <w:szCs w:val="20"/>
              </w:rPr>
            </w:pPr>
            <w:r>
              <w:rPr>
                <w:rFonts w:asciiTheme="minorHAnsi" w:hAnsiTheme="minorHAnsi" w:cstheme="minorHAnsi"/>
                <w:b/>
                <w:sz w:val="20"/>
                <w:szCs w:val="20"/>
              </w:rPr>
              <w:t>Impact &amp; Probability</w:t>
            </w:r>
          </w:p>
        </w:tc>
        <w:tc>
          <w:tcPr>
            <w:tcW w:w="3780" w:type="dxa"/>
            <w:tcBorders>
              <w:top w:val="single" w:sz="4" w:space="0" w:color="000000"/>
              <w:left w:val="single" w:sz="4" w:space="0" w:color="000000"/>
              <w:bottom w:val="single" w:sz="4" w:space="0" w:color="000000"/>
              <w:right w:val="single" w:sz="4" w:space="0" w:color="000000"/>
            </w:tcBorders>
            <w:shd w:val="clear" w:color="auto" w:fill="FFCC00"/>
            <w:hideMark/>
          </w:tcPr>
          <w:p w14:paraId="212EAF37"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Risk Treatment / Management Measures</w:t>
            </w:r>
          </w:p>
        </w:tc>
        <w:tc>
          <w:tcPr>
            <w:tcW w:w="1440" w:type="dxa"/>
            <w:tcBorders>
              <w:top w:val="single" w:sz="4" w:space="0" w:color="000000"/>
              <w:left w:val="single" w:sz="4" w:space="0" w:color="000000"/>
              <w:bottom w:val="single" w:sz="4" w:space="0" w:color="000000"/>
              <w:right w:val="single" w:sz="4" w:space="0" w:color="000000"/>
            </w:tcBorders>
            <w:shd w:val="clear" w:color="auto" w:fill="FFCC00"/>
            <w:hideMark/>
          </w:tcPr>
          <w:p w14:paraId="17049F22"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Risk Owner</w:t>
            </w:r>
          </w:p>
        </w:tc>
      </w:tr>
      <w:tr w:rsidR="000C6094" w14:paraId="7A0AB5FF"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34612ED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B4C6E7"/>
            <w:hideMark/>
          </w:tcPr>
          <w:p w14:paraId="0F4DC213"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COVID-19 crisis may affect the modalities of implementation of the project activities</w:t>
            </w:r>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351B0495"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Operational </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688B8C03"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The project document has envisaged implementation of activities under a “no COVID-19” scenario. However, there is strong likelihood that the crisis will continue during a significant period of the project’s implementation. It may affect the modalities of implementation, in particular when face-to-face contacts are needed (training, twinning, conferences) and, potentially reduce the impact of these activities.</w:t>
            </w:r>
          </w:p>
          <w:p w14:paraId="4C873EA8" w14:textId="77777777" w:rsidR="000C6094" w:rsidRDefault="000C6094">
            <w:pPr>
              <w:rPr>
                <w:rFonts w:asciiTheme="minorHAnsi" w:hAnsiTheme="minorHAnsi" w:cstheme="minorHAnsi"/>
                <w:sz w:val="20"/>
                <w:szCs w:val="20"/>
              </w:rPr>
            </w:pPr>
          </w:p>
          <w:p w14:paraId="7B7B9EA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4</w:t>
            </w:r>
          </w:p>
          <w:p w14:paraId="50815A08"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3</w:t>
            </w:r>
          </w:p>
          <w:p w14:paraId="0D67D321" w14:textId="77777777" w:rsidR="000C6094" w:rsidRDefault="000C6094">
            <w:pPr>
              <w:rPr>
                <w:rFonts w:asciiTheme="minorHAnsi" w:hAnsiTheme="minorHAnsi" w:cstheme="minorHAnsi"/>
                <w:sz w:val="20"/>
                <w:szCs w:val="20"/>
              </w:rPr>
            </w:pPr>
          </w:p>
          <w:p w14:paraId="631B53E1" w14:textId="77777777" w:rsidR="000C6094" w:rsidRDefault="000C6094">
            <w:pPr>
              <w:rPr>
                <w:rFonts w:asciiTheme="minorHAnsi" w:hAnsiTheme="minorHAnsi" w:cstheme="minorHAnsi"/>
                <w:sz w:val="20"/>
                <w:szCs w:val="20"/>
              </w:rPr>
            </w:pPr>
            <w:r>
              <w:rPr>
                <w:rFonts w:asciiTheme="minorHAnsi" w:hAnsiTheme="minorHAnsi" w:cstheme="minorHAnsi"/>
                <w:b/>
                <w:sz w:val="20"/>
                <w:szCs w:val="20"/>
              </w:rPr>
              <w:t>Moderate</w:t>
            </w:r>
          </w:p>
        </w:tc>
        <w:tc>
          <w:tcPr>
            <w:tcW w:w="3780" w:type="dxa"/>
            <w:tcBorders>
              <w:top w:val="single" w:sz="4" w:space="0" w:color="000000"/>
              <w:left w:val="single" w:sz="4" w:space="0" w:color="000000"/>
              <w:bottom w:val="single" w:sz="4" w:space="0" w:color="000000"/>
              <w:right w:val="single" w:sz="4" w:space="0" w:color="000000"/>
            </w:tcBorders>
            <w:shd w:val="clear" w:color="auto" w:fill="B4C6E7"/>
            <w:hideMark/>
          </w:tcPr>
          <w:p w14:paraId="2A6DD61A"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Adaptive project management, as the underlining approach to IW:LEARN implementation, requires that project implementation be regularly monitored and adaptive measures be taken immediately, such as online learning and online events</w:t>
            </w:r>
          </w:p>
        </w:tc>
        <w:tc>
          <w:tcPr>
            <w:tcW w:w="1440" w:type="dxa"/>
            <w:tcBorders>
              <w:top w:val="single" w:sz="4" w:space="0" w:color="000000"/>
              <w:left w:val="single" w:sz="4" w:space="0" w:color="000000"/>
              <w:bottom w:val="single" w:sz="4" w:space="0" w:color="000000"/>
              <w:right w:val="single" w:sz="4" w:space="0" w:color="000000"/>
            </w:tcBorders>
            <w:shd w:val="clear" w:color="auto" w:fill="B4C6E7"/>
            <w:hideMark/>
          </w:tcPr>
          <w:p w14:paraId="52BB647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UNESCO-IOC</w:t>
            </w:r>
          </w:p>
        </w:tc>
      </w:tr>
      <w:tr w:rsidR="000C6094" w14:paraId="4E5AEFFC"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07F4E662"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2</w:t>
            </w:r>
          </w:p>
        </w:tc>
        <w:tc>
          <w:tcPr>
            <w:tcW w:w="3107" w:type="dxa"/>
            <w:tcBorders>
              <w:top w:val="single" w:sz="4" w:space="0" w:color="000000"/>
              <w:left w:val="single" w:sz="4" w:space="0" w:color="000000"/>
              <w:bottom w:val="single" w:sz="4" w:space="0" w:color="000000"/>
              <w:right w:val="single" w:sz="4" w:space="0" w:color="000000"/>
            </w:tcBorders>
            <w:shd w:val="clear" w:color="auto" w:fill="B4C6E7"/>
          </w:tcPr>
          <w:p w14:paraId="5937030F" w14:textId="77777777" w:rsidR="000C6094" w:rsidRDefault="000C6094">
            <w:pPr>
              <w:rPr>
                <w:rFonts w:asciiTheme="minorHAnsi" w:hAnsiTheme="minorHAnsi" w:cstheme="minorHAnsi"/>
                <w:i/>
                <w:sz w:val="20"/>
                <w:szCs w:val="20"/>
              </w:rPr>
            </w:pPr>
            <w:r>
              <w:rPr>
                <w:rFonts w:asciiTheme="minorHAnsi" w:hAnsiTheme="minorHAnsi" w:cstheme="minorHAnsi"/>
                <w:sz w:val="20"/>
                <w:szCs w:val="20"/>
              </w:rPr>
              <w:t>A key risk to this project is an operational one as it brings together several agencies and partners. This may increase the complexity of project implementation and hinder positive impacts</w:t>
            </w:r>
          </w:p>
          <w:p w14:paraId="2E7D3EE7" w14:textId="77777777" w:rsidR="000C6094" w:rsidRDefault="000C6094">
            <w:pPr>
              <w:rPr>
                <w:rFonts w:asciiTheme="minorHAnsi" w:hAnsiTheme="minorHAnsi" w:cstheme="minorHAnsi"/>
                <w:i/>
                <w:sz w:val="20"/>
                <w:szCs w:val="20"/>
              </w:rPr>
            </w:pPr>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15E2DF57" w14:textId="77777777" w:rsidR="000C6094" w:rsidRDefault="000C6094">
            <w:pPr>
              <w:rPr>
                <w:rFonts w:asciiTheme="minorHAnsi" w:hAnsiTheme="minorHAnsi" w:cstheme="minorHAnsi"/>
                <w:i/>
                <w:sz w:val="20"/>
                <w:szCs w:val="20"/>
              </w:rPr>
            </w:pPr>
            <w:r>
              <w:rPr>
                <w:rFonts w:asciiTheme="minorHAnsi" w:hAnsiTheme="minorHAnsi" w:cstheme="minorHAnsi"/>
                <w:sz w:val="20"/>
                <w:szCs w:val="20"/>
              </w:rPr>
              <w:t>Strategic</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3B9EC1A8"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This risk may slow down the implementation of the project  if the agencies and partners will find it difficult to reach strategic decisions related to the project. Also, because of the multitude of partners and internal complexity of the project, some activities’ implementation may be affected </w:t>
            </w:r>
          </w:p>
          <w:p w14:paraId="54781495" w14:textId="77777777" w:rsidR="000C6094" w:rsidRDefault="000C6094">
            <w:pPr>
              <w:rPr>
                <w:rFonts w:asciiTheme="minorHAnsi" w:hAnsiTheme="minorHAnsi" w:cstheme="minorHAnsi"/>
                <w:sz w:val="20"/>
                <w:szCs w:val="20"/>
              </w:rPr>
            </w:pPr>
          </w:p>
          <w:p w14:paraId="1DBA8E12"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3</w:t>
            </w:r>
          </w:p>
          <w:p w14:paraId="18E8F845"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3</w:t>
            </w:r>
          </w:p>
          <w:p w14:paraId="3C893D97" w14:textId="77777777" w:rsidR="000C6094" w:rsidRDefault="000C6094">
            <w:pPr>
              <w:rPr>
                <w:rFonts w:asciiTheme="minorHAnsi" w:hAnsiTheme="minorHAnsi" w:cstheme="minorHAnsi"/>
                <w:i/>
                <w:sz w:val="20"/>
                <w:szCs w:val="20"/>
              </w:rPr>
            </w:pPr>
          </w:p>
          <w:p w14:paraId="780CB17A"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Moderate</w:t>
            </w:r>
          </w:p>
        </w:tc>
        <w:tc>
          <w:tcPr>
            <w:tcW w:w="3780" w:type="dxa"/>
            <w:tcBorders>
              <w:top w:val="single" w:sz="4" w:space="0" w:color="000000"/>
              <w:left w:val="single" w:sz="4" w:space="0" w:color="000000"/>
              <w:bottom w:val="single" w:sz="4" w:space="0" w:color="000000"/>
              <w:right w:val="single" w:sz="4" w:space="0" w:color="000000"/>
            </w:tcBorders>
            <w:shd w:val="clear" w:color="auto" w:fill="B4C6E7"/>
          </w:tcPr>
          <w:p w14:paraId="1A019D8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Definition of roles and responsibilities of all parties to the project were given full consideration during the project preparation phase, which anticipated all the complexities of the project implementation</w:t>
            </w:r>
          </w:p>
          <w:p w14:paraId="4B0599AA" w14:textId="77777777" w:rsidR="000C6094" w:rsidRDefault="000C6094">
            <w:pPr>
              <w:rPr>
                <w:rFonts w:asciiTheme="minorHAnsi" w:hAnsiTheme="minorHAnsi" w:cstheme="minorHAnsi"/>
                <w:i/>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B4C6E7"/>
          </w:tcPr>
          <w:p w14:paraId="30E4E321"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UNDP, UNEP, UNESCO – IOC</w:t>
            </w:r>
          </w:p>
          <w:p w14:paraId="57EA30B2" w14:textId="77777777" w:rsidR="000C6094" w:rsidRDefault="000C6094">
            <w:pPr>
              <w:rPr>
                <w:rFonts w:asciiTheme="minorHAnsi" w:hAnsiTheme="minorHAnsi" w:cstheme="minorHAnsi"/>
                <w:i/>
                <w:sz w:val="20"/>
                <w:szCs w:val="20"/>
              </w:rPr>
            </w:pPr>
          </w:p>
        </w:tc>
      </w:tr>
      <w:tr w:rsidR="000C6094" w14:paraId="41DFC28D"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11B56FCA"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3</w:t>
            </w:r>
          </w:p>
        </w:tc>
        <w:tc>
          <w:tcPr>
            <w:tcW w:w="3107" w:type="dxa"/>
            <w:tcBorders>
              <w:top w:val="single" w:sz="4" w:space="0" w:color="000000"/>
              <w:left w:val="single" w:sz="4" w:space="0" w:color="000000"/>
              <w:bottom w:val="single" w:sz="4" w:space="0" w:color="000000"/>
              <w:right w:val="single" w:sz="4" w:space="0" w:color="000000"/>
            </w:tcBorders>
            <w:shd w:val="clear" w:color="auto" w:fill="B4C6E7"/>
            <w:hideMark/>
          </w:tcPr>
          <w:p w14:paraId="788E58A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Not all GEF IW projects are willing to engage in various types of portfolio learning activities or expose weaknesses in project implementation to external scrutiny</w:t>
            </w:r>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07EC927C"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Operational</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19BC43FD"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This risk may reduce the overall impact of the project’s implementation if a number of its constituents choose not to participate in the project’s activities. </w:t>
            </w:r>
          </w:p>
          <w:p w14:paraId="66890970" w14:textId="77777777" w:rsidR="000C6094" w:rsidRDefault="000C6094">
            <w:pPr>
              <w:rPr>
                <w:rFonts w:asciiTheme="minorHAnsi" w:hAnsiTheme="minorHAnsi" w:cstheme="minorHAnsi"/>
                <w:sz w:val="20"/>
                <w:szCs w:val="20"/>
              </w:rPr>
            </w:pPr>
          </w:p>
          <w:p w14:paraId="323C074C"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2</w:t>
            </w:r>
          </w:p>
          <w:p w14:paraId="43F0C0E1"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2</w:t>
            </w:r>
          </w:p>
          <w:p w14:paraId="06246284" w14:textId="77777777" w:rsidR="000C6094" w:rsidRDefault="000C6094">
            <w:pPr>
              <w:rPr>
                <w:rFonts w:asciiTheme="minorHAnsi" w:hAnsiTheme="minorHAnsi" w:cstheme="minorHAnsi"/>
                <w:sz w:val="20"/>
                <w:szCs w:val="20"/>
              </w:rPr>
            </w:pPr>
          </w:p>
          <w:p w14:paraId="3CE40F36" w14:textId="77777777" w:rsidR="000C6094" w:rsidRDefault="000C6094">
            <w:pPr>
              <w:rPr>
                <w:rFonts w:asciiTheme="minorHAnsi" w:hAnsiTheme="minorHAnsi" w:cstheme="minorHAnsi"/>
                <w:b/>
                <w:sz w:val="20"/>
                <w:szCs w:val="20"/>
              </w:rPr>
            </w:pPr>
          </w:p>
          <w:p w14:paraId="1428595F"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Low</w:t>
            </w:r>
          </w:p>
        </w:tc>
        <w:tc>
          <w:tcPr>
            <w:tcW w:w="3780" w:type="dxa"/>
            <w:tcBorders>
              <w:top w:val="single" w:sz="4" w:space="0" w:color="000000"/>
              <w:left w:val="single" w:sz="4" w:space="0" w:color="000000"/>
              <w:bottom w:val="single" w:sz="4" w:space="0" w:color="000000"/>
              <w:right w:val="single" w:sz="4" w:space="0" w:color="000000"/>
            </w:tcBorders>
            <w:shd w:val="clear" w:color="auto" w:fill="B4C6E7"/>
            <w:hideMark/>
          </w:tcPr>
          <w:p w14:paraId="6AF9415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lastRenderedPageBreak/>
              <w:t xml:space="preserve">Project stakeholders will be expressly encouraged to utilize GEF IW:LEARN services at all levels of implementation and execution </w:t>
            </w:r>
          </w:p>
          <w:p w14:paraId="774B95EA"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The project will make an investment in direct interaction with beneficiaries. Constituents need to be engaged to the </w:t>
            </w:r>
            <w:r>
              <w:rPr>
                <w:rFonts w:asciiTheme="minorHAnsi" w:hAnsiTheme="minorHAnsi" w:cstheme="minorHAnsi"/>
                <w:sz w:val="20"/>
                <w:szCs w:val="20"/>
              </w:rPr>
              <w:lastRenderedPageBreak/>
              <w:t>extent possible to create a sense of ownership.</w:t>
            </w:r>
          </w:p>
        </w:tc>
        <w:tc>
          <w:tcPr>
            <w:tcW w:w="1440" w:type="dxa"/>
            <w:tcBorders>
              <w:top w:val="single" w:sz="4" w:space="0" w:color="000000"/>
              <w:left w:val="single" w:sz="4" w:space="0" w:color="000000"/>
              <w:bottom w:val="single" w:sz="4" w:space="0" w:color="000000"/>
              <w:right w:val="single" w:sz="4" w:space="0" w:color="000000"/>
            </w:tcBorders>
            <w:shd w:val="clear" w:color="auto" w:fill="B4C6E7"/>
            <w:hideMark/>
          </w:tcPr>
          <w:p w14:paraId="29C33BF4"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lastRenderedPageBreak/>
              <w:t>UNESCO-IOC</w:t>
            </w:r>
          </w:p>
        </w:tc>
      </w:tr>
      <w:tr w:rsidR="000C6094" w14:paraId="127EB9CC"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40377CEE"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4</w:t>
            </w:r>
          </w:p>
        </w:tc>
        <w:tc>
          <w:tcPr>
            <w:tcW w:w="3107" w:type="dxa"/>
            <w:tcBorders>
              <w:top w:val="single" w:sz="4" w:space="0" w:color="000000"/>
              <w:left w:val="single" w:sz="4" w:space="0" w:color="000000"/>
              <w:bottom w:val="single" w:sz="4" w:space="0" w:color="000000"/>
              <w:right w:val="single" w:sz="4" w:space="0" w:color="000000"/>
            </w:tcBorders>
            <w:shd w:val="clear" w:color="auto" w:fill="B4C6E7"/>
            <w:hideMark/>
          </w:tcPr>
          <w:p w14:paraId="2BC08AE8"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IW projects fail to respond in a timely manner to IW:LEARN PCU requests or to develop websites compliant with IW Website guidelines</w:t>
            </w:r>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149DB4F5"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Operational</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0133EA35"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Project depends on timely response from its beneficiaries and partners. They provide the contents of the project’s website, and their websites are dependent on the feeds from the IW:LEARN website. If that is not done in a timely manner, the exchange of information component of the project may be jeopardized.</w:t>
            </w:r>
          </w:p>
          <w:p w14:paraId="3FACA681" w14:textId="77777777" w:rsidR="000C6094" w:rsidRDefault="000C6094">
            <w:pPr>
              <w:rPr>
                <w:rFonts w:asciiTheme="minorHAnsi" w:hAnsiTheme="minorHAnsi" w:cstheme="minorHAnsi"/>
                <w:sz w:val="20"/>
                <w:szCs w:val="20"/>
              </w:rPr>
            </w:pPr>
          </w:p>
          <w:p w14:paraId="5D7C85FE"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2</w:t>
            </w:r>
          </w:p>
          <w:p w14:paraId="0D2D527E"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1</w:t>
            </w:r>
          </w:p>
          <w:p w14:paraId="1EC270DC" w14:textId="77777777" w:rsidR="000C6094" w:rsidRDefault="000C6094">
            <w:pPr>
              <w:rPr>
                <w:rFonts w:asciiTheme="minorHAnsi" w:hAnsiTheme="minorHAnsi" w:cstheme="minorHAnsi"/>
                <w:sz w:val="20"/>
                <w:szCs w:val="20"/>
              </w:rPr>
            </w:pPr>
          </w:p>
          <w:p w14:paraId="24706D88"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Low</w:t>
            </w:r>
          </w:p>
        </w:tc>
        <w:tc>
          <w:tcPr>
            <w:tcW w:w="3780" w:type="dxa"/>
            <w:tcBorders>
              <w:top w:val="single" w:sz="4" w:space="0" w:color="000000"/>
              <w:left w:val="single" w:sz="4" w:space="0" w:color="000000"/>
              <w:bottom w:val="single" w:sz="4" w:space="0" w:color="000000"/>
              <w:right w:val="single" w:sz="4" w:space="0" w:color="000000"/>
            </w:tcBorders>
            <w:shd w:val="clear" w:color="auto" w:fill="B4C6E7"/>
            <w:hideMark/>
          </w:tcPr>
          <w:p w14:paraId="0826CA6F"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IW:LEARN partners and GEF Agencies to actively encourage: IW project participation; provide data; develop websites; </w:t>
            </w:r>
            <w:proofErr w:type="spellStart"/>
            <w:r>
              <w:rPr>
                <w:rFonts w:asciiTheme="minorHAnsi" w:hAnsiTheme="minorHAnsi" w:cstheme="minorHAnsi"/>
                <w:sz w:val="20"/>
                <w:szCs w:val="20"/>
              </w:rPr>
              <w:t>utilise</w:t>
            </w:r>
            <w:proofErr w:type="spellEnd"/>
            <w:r>
              <w:rPr>
                <w:rFonts w:asciiTheme="minorHAnsi" w:hAnsiTheme="minorHAnsi" w:cstheme="minorHAnsi"/>
                <w:sz w:val="20"/>
                <w:szCs w:val="20"/>
              </w:rPr>
              <w:t xml:space="preserve"> the </w:t>
            </w:r>
            <w:proofErr w:type="spellStart"/>
            <w:r>
              <w:rPr>
                <w:rFonts w:asciiTheme="minorHAnsi" w:hAnsiTheme="minorHAnsi" w:cstheme="minorHAnsi"/>
                <w:sz w:val="20"/>
                <w:szCs w:val="20"/>
              </w:rPr>
              <w:t>visualisation</w:t>
            </w:r>
            <w:proofErr w:type="spellEnd"/>
            <w:r>
              <w:rPr>
                <w:rFonts w:asciiTheme="minorHAnsi" w:hAnsiTheme="minorHAnsi" w:cstheme="minorHAnsi"/>
                <w:sz w:val="20"/>
                <w:szCs w:val="20"/>
              </w:rPr>
              <w:t xml:space="preserve"> tool; deliver experience notes, etc.</w:t>
            </w:r>
          </w:p>
        </w:tc>
        <w:tc>
          <w:tcPr>
            <w:tcW w:w="1440" w:type="dxa"/>
            <w:tcBorders>
              <w:top w:val="single" w:sz="4" w:space="0" w:color="000000"/>
              <w:left w:val="single" w:sz="4" w:space="0" w:color="000000"/>
              <w:bottom w:val="single" w:sz="4" w:space="0" w:color="000000"/>
              <w:right w:val="single" w:sz="4" w:space="0" w:color="000000"/>
            </w:tcBorders>
            <w:shd w:val="clear" w:color="auto" w:fill="B4C6E7"/>
            <w:hideMark/>
          </w:tcPr>
          <w:p w14:paraId="5330B78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UNESCO-IOC,</w:t>
            </w:r>
          </w:p>
          <w:p w14:paraId="0EFC85AA"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UNDP,</w:t>
            </w:r>
          </w:p>
          <w:p w14:paraId="08A08E46"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UNEP</w:t>
            </w:r>
          </w:p>
        </w:tc>
      </w:tr>
      <w:tr w:rsidR="000C6094" w14:paraId="3E4F5432"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22AA7A96"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5</w:t>
            </w:r>
          </w:p>
        </w:tc>
        <w:tc>
          <w:tcPr>
            <w:tcW w:w="3107" w:type="dxa"/>
            <w:tcBorders>
              <w:top w:val="single" w:sz="4" w:space="0" w:color="000000"/>
              <w:left w:val="single" w:sz="4" w:space="0" w:color="000000"/>
              <w:bottom w:val="single" w:sz="4" w:space="0" w:color="000000"/>
              <w:right w:val="single" w:sz="4" w:space="0" w:color="000000"/>
            </w:tcBorders>
            <w:shd w:val="clear" w:color="auto" w:fill="B4C6E7"/>
            <w:hideMark/>
          </w:tcPr>
          <w:p w14:paraId="012D9E2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New projects are not aware of IW:LEARN, do not have sufficient time to participate or do not know how to sufficiently engage its services and provide experiences to peers (via twinning, training, regional dialogue events, IWC engagement and information syndication)</w:t>
            </w:r>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4E198AA6"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Operational</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44E8D088"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New projects are not always aware of the products and services provided by IW:LEARN, which may affect negatively  the IW:LEARN’s impact.</w:t>
            </w:r>
          </w:p>
          <w:p w14:paraId="3294C8A0" w14:textId="77777777" w:rsidR="000C6094" w:rsidRDefault="000C6094">
            <w:pPr>
              <w:rPr>
                <w:rFonts w:asciiTheme="minorHAnsi" w:hAnsiTheme="minorHAnsi" w:cstheme="minorHAnsi"/>
                <w:sz w:val="20"/>
                <w:szCs w:val="20"/>
              </w:rPr>
            </w:pPr>
          </w:p>
          <w:p w14:paraId="10E16617"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2</w:t>
            </w:r>
          </w:p>
          <w:p w14:paraId="32162A2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3</w:t>
            </w:r>
          </w:p>
          <w:p w14:paraId="175C74BD" w14:textId="77777777" w:rsidR="000C6094" w:rsidRDefault="000C6094">
            <w:pPr>
              <w:rPr>
                <w:rFonts w:asciiTheme="minorHAnsi" w:hAnsiTheme="minorHAnsi" w:cstheme="minorHAnsi"/>
                <w:sz w:val="20"/>
                <w:szCs w:val="20"/>
              </w:rPr>
            </w:pPr>
          </w:p>
          <w:p w14:paraId="50F72437"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Moderate</w:t>
            </w:r>
          </w:p>
        </w:tc>
        <w:tc>
          <w:tcPr>
            <w:tcW w:w="3780" w:type="dxa"/>
            <w:tcBorders>
              <w:top w:val="single" w:sz="4" w:space="0" w:color="000000"/>
              <w:left w:val="single" w:sz="4" w:space="0" w:color="000000"/>
              <w:bottom w:val="single" w:sz="4" w:space="0" w:color="000000"/>
              <w:right w:val="single" w:sz="4" w:space="0" w:color="000000"/>
            </w:tcBorders>
            <w:shd w:val="clear" w:color="auto" w:fill="B4C6E7"/>
          </w:tcPr>
          <w:p w14:paraId="34353C9B" w14:textId="77777777" w:rsidR="000C6094" w:rsidRDefault="000C6094">
            <w:pPr>
              <w:rPr>
                <w:rFonts w:asciiTheme="minorHAnsi" w:hAnsiTheme="minorHAnsi" w:cstheme="minorHAnsi"/>
                <w:color w:val="000000"/>
                <w:sz w:val="20"/>
                <w:szCs w:val="20"/>
              </w:rPr>
            </w:pPr>
            <w:r>
              <w:rPr>
                <w:rFonts w:asciiTheme="minorHAnsi" w:hAnsiTheme="minorHAnsi" w:cstheme="minorHAnsi"/>
                <w:color w:val="000000"/>
                <w:sz w:val="20"/>
                <w:szCs w:val="20"/>
              </w:rPr>
              <w:t xml:space="preserve">The project will effectively market its basic service line to the portfolio throughout implementation </w:t>
            </w:r>
          </w:p>
          <w:p w14:paraId="7962CBFD" w14:textId="77777777" w:rsidR="000C6094" w:rsidRDefault="000C6094">
            <w:pPr>
              <w:rPr>
                <w:rFonts w:asciiTheme="minorHAnsi" w:hAnsiTheme="minorHAnsi" w:cstheme="minorHAnsi"/>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B4C6E7"/>
            <w:hideMark/>
          </w:tcPr>
          <w:p w14:paraId="5E38A644"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UNESCO-IOC</w:t>
            </w:r>
          </w:p>
        </w:tc>
      </w:tr>
      <w:tr w:rsidR="000C6094" w14:paraId="68442CA0"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045DE5AC"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6</w:t>
            </w:r>
          </w:p>
        </w:tc>
        <w:tc>
          <w:tcPr>
            <w:tcW w:w="3107" w:type="dxa"/>
            <w:tcBorders>
              <w:top w:val="single" w:sz="4" w:space="0" w:color="000000"/>
              <w:left w:val="single" w:sz="4" w:space="0" w:color="000000"/>
              <w:bottom w:val="single" w:sz="4" w:space="0" w:color="000000"/>
              <w:right w:val="single" w:sz="4" w:space="0" w:color="000000"/>
            </w:tcBorders>
            <w:shd w:val="clear" w:color="auto" w:fill="B4C6E7"/>
            <w:hideMark/>
          </w:tcPr>
          <w:p w14:paraId="2140B35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Insufficient country involvement in GEF IW:LEARN activities </w:t>
            </w:r>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4A2D628E"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Political</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4A2AB9C7"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While countries are indirect beneficiaries of the project, they involvement is important because they provide support to IW projects. In the absence of their active involvement, the IW projects may have limited impacts. </w:t>
            </w:r>
          </w:p>
          <w:p w14:paraId="6425D91D" w14:textId="77777777" w:rsidR="000C6094" w:rsidRDefault="000C6094">
            <w:pPr>
              <w:rPr>
                <w:rFonts w:asciiTheme="minorHAnsi" w:hAnsiTheme="minorHAnsi" w:cstheme="minorHAnsi"/>
                <w:sz w:val="20"/>
                <w:szCs w:val="20"/>
              </w:rPr>
            </w:pPr>
          </w:p>
          <w:p w14:paraId="1B0714DD"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2</w:t>
            </w:r>
          </w:p>
          <w:p w14:paraId="79B82844"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1</w:t>
            </w:r>
          </w:p>
          <w:p w14:paraId="28EDAB92" w14:textId="77777777" w:rsidR="000C6094" w:rsidRDefault="000C6094">
            <w:pPr>
              <w:rPr>
                <w:rFonts w:asciiTheme="minorHAnsi" w:hAnsiTheme="minorHAnsi" w:cstheme="minorHAnsi"/>
                <w:sz w:val="20"/>
                <w:szCs w:val="20"/>
              </w:rPr>
            </w:pPr>
          </w:p>
          <w:p w14:paraId="40DBC50C"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Low</w:t>
            </w:r>
          </w:p>
        </w:tc>
        <w:tc>
          <w:tcPr>
            <w:tcW w:w="3780" w:type="dxa"/>
            <w:tcBorders>
              <w:top w:val="single" w:sz="4" w:space="0" w:color="000000"/>
              <w:left w:val="single" w:sz="4" w:space="0" w:color="000000"/>
              <w:bottom w:val="single" w:sz="4" w:space="0" w:color="000000"/>
              <w:right w:val="single" w:sz="4" w:space="0" w:color="000000"/>
            </w:tcBorders>
            <w:shd w:val="clear" w:color="auto" w:fill="B4C6E7"/>
            <w:hideMark/>
          </w:tcPr>
          <w:p w14:paraId="4A23425D"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GEF IW:LEARN and all GEF IW projects will actively engage country representatives and ensure awareness of events etc. in support of national processes</w:t>
            </w:r>
          </w:p>
        </w:tc>
        <w:tc>
          <w:tcPr>
            <w:tcW w:w="1440" w:type="dxa"/>
            <w:tcBorders>
              <w:top w:val="single" w:sz="4" w:space="0" w:color="000000"/>
              <w:left w:val="single" w:sz="4" w:space="0" w:color="000000"/>
              <w:bottom w:val="single" w:sz="4" w:space="0" w:color="000000"/>
              <w:right w:val="single" w:sz="4" w:space="0" w:color="000000"/>
            </w:tcBorders>
            <w:shd w:val="clear" w:color="auto" w:fill="B4C6E7"/>
            <w:hideMark/>
          </w:tcPr>
          <w:p w14:paraId="45B5BDEE"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UNESCO-IOC</w:t>
            </w:r>
          </w:p>
        </w:tc>
      </w:tr>
      <w:tr w:rsidR="000C6094" w14:paraId="0AD81C02" w14:textId="77777777" w:rsidTr="000C6094">
        <w:tc>
          <w:tcPr>
            <w:tcW w:w="308" w:type="dxa"/>
            <w:tcBorders>
              <w:top w:val="single" w:sz="4" w:space="0" w:color="000000"/>
              <w:left w:val="single" w:sz="4" w:space="0" w:color="000000"/>
              <w:bottom w:val="single" w:sz="4" w:space="0" w:color="000000"/>
              <w:right w:val="single" w:sz="4" w:space="0" w:color="000000"/>
            </w:tcBorders>
            <w:shd w:val="clear" w:color="auto" w:fill="B4C6E7"/>
            <w:hideMark/>
          </w:tcPr>
          <w:p w14:paraId="1A70D5D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lastRenderedPageBreak/>
              <w:t>7</w:t>
            </w:r>
          </w:p>
        </w:tc>
        <w:tc>
          <w:tcPr>
            <w:tcW w:w="3107" w:type="dxa"/>
            <w:tcBorders>
              <w:top w:val="single" w:sz="4" w:space="0" w:color="000000"/>
              <w:left w:val="single" w:sz="4" w:space="0" w:color="000000"/>
              <w:bottom w:val="single" w:sz="4" w:space="0" w:color="000000"/>
              <w:right w:val="single" w:sz="4" w:space="0" w:color="000000"/>
            </w:tcBorders>
            <w:shd w:val="clear" w:color="auto" w:fill="B4C6E7"/>
            <w:hideMark/>
          </w:tcPr>
          <w:p w14:paraId="75C73E5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Synergy potential (linking with other relevant initiatives/governance partners, including private sector) is not fully </w:t>
            </w:r>
            <w:proofErr w:type="spellStart"/>
            <w:r>
              <w:rPr>
                <w:rFonts w:asciiTheme="minorHAnsi" w:hAnsiTheme="minorHAnsi" w:cstheme="minorHAnsi"/>
                <w:sz w:val="20"/>
                <w:szCs w:val="20"/>
              </w:rPr>
              <w:t>materialised</w:t>
            </w:r>
            <w:proofErr w:type="spellEnd"/>
          </w:p>
        </w:tc>
        <w:tc>
          <w:tcPr>
            <w:tcW w:w="1400" w:type="dxa"/>
            <w:tcBorders>
              <w:top w:val="single" w:sz="4" w:space="0" w:color="000000"/>
              <w:left w:val="single" w:sz="4" w:space="0" w:color="000000"/>
              <w:bottom w:val="single" w:sz="4" w:space="0" w:color="000000"/>
              <w:right w:val="single" w:sz="4" w:space="0" w:color="000000"/>
            </w:tcBorders>
            <w:shd w:val="clear" w:color="auto" w:fill="B4C6E7"/>
            <w:hideMark/>
          </w:tcPr>
          <w:p w14:paraId="77AE7447"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Operational</w:t>
            </w:r>
          </w:p>
        </w:tc>
        <w:tc>
          <w:tcPr>
            <w:tcW w:w="3910" w:type="dxa"/>
            <w:tcBorders>
              <w:top w:val="single" w:sz="4" w:space="0" w:color="000000"/>
              <w:left w:val="single" w:sz="4" w:space="0" w:color="000000"/>
              <w:bottom w:val="single" w:sz="4" w:space="0" w:color="000000"/>
              <w:right w:val="single" w:sz="4" w:space="0" w:color="000000"/>
            </w:tcBorders>
            <w:shd w:val="clear" w:color="auto" w:fill="B4C6E7"/>
          </w:tcPr>
          <w:p w14:paraId="7AAFB350"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 xml:space="preserve">This risk is elated to project’s </w:t>
            </w:r>
            <w:proofErr w:type="spellStart"/>
            <w:r>
              <w:rPr>
                <w:rFonts w:asciiTheme="minorHAnsi" w:hAnsiTheme="minorHAnsi" w:cstheme="minorHAnsi"/>
                <w:sz w:val="20"/>
                <w:szCs w:val="20"/>
              </w:rPr>
              <w:t>enadeavours</w:t>
            </w:r>
            <w:proofErr w:type="spellEnd"/>
            <w:r>
              <w:rPr>
                <w:rFonts w:asciiTheme="minorHAnsi" w:hAnsiTheme="minorHAnsi" w:cstheme="minorHAnsi"/>
                <w:sz w:val="20"/>
                <w:szCs w:val="20"/>
              </w:rPr>
              <w:t xml:space="preserve"> to improve regional ocean governance and bring in the private sector in the implementation of transboundary water management. Since this is very much a two-way relationship, depending on strong intentions of all the parties, the absence of it may impact the planned effects of the activity.</w:t>
            </w:r>
          </w:p>
          <w:p w14:paraId="417EF714" w14:textId="77777777" w:rsidR="000C6094" w:rsidRDefault="000C6094">
            <w:pPr>
              <w:rPr>
                <w:rFonts w:asciiTheme="minorHAnsi" w:hAnsiTheme="minorHAnsi" w:cstheme="minorHAnsi"/>
                <w:sz w:val="20"/>
                <w:szCs w:val="20"/>
              </w:rPr>
            </w:pPr>
          </w:p>
          <w:p w14:paraId="3ED98D36"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L = 2</w:t>
            </w:r>
          </w:p>
          <w:p w14:paraId="3B0B2D61"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I = 2</w:t>
            </w:r>
          </w:p>
          <w:p w14:paraId="36D8B722" w14:textId="77777777" w:rsidR="000C6094" w:rsidRDefault="000C6094">
            <w:pPr>
              <w:rPr>
                <w:rFonts w:asciiTheme="minorHAnsi" w:hAnsiTheme="minorHAnsi" w:cstheme="minorHAnsi"/>
                <w:sz w:val="20"/>
                <w:szCs w:val="20"/>
              </w:rPr>
            </w:pPr>
          </w:p>
          <w:p w14:paraId="32F66579" w14:textId="77777777" w:rsidR="000C6094" w:rsidRDefault="000C6094">
            <w:pPr>
              <w:rPr>
                <w:rFonts w:asciiTheme="minorHAnsi" w:hAnsiTheme="minorHAnsi" w:cstheme="minorHAnsi"/>
                <w:b/>
                <w:sz w:val="20"/>
                <w:szCs w:val="20"/>
              </w:rPr>
            </w:pPr>
            <w:r>
              <w:rPr>
                <w:rFonts w:asciiTheme="minorHAnsi" w:hAnsiTheme="minorHAnsi" w:cstheme="minorHAnsi"/>
                <w:b/>
                <w:sz w:val="20"/>
                <w:szCs w:val="20"/>
              </w:rPr>
              <w:t>Low</w:t>
            </w:r>
          </w:p>
        </w:tc>
        <w:tc>
          <w:tcPr>
            <w:tcW w:w="3780" w:type="dxa"/>
            <w:tcBorders>
              <w:top w:val="single" w:sz="4" w:space="0" w:color="000000"/>
              <w:left w:val="single" w:sz="4" w:space="0" w:color="000000"/>
              <w:bottom w:val="single" w:sz="4" w:space="0" w:color="000000"/>
              <w:right w:val="single" w:sz="4" w:space="0" w:color="000000"/>
            </w:tcBorders>
            <w:shd w:val="clear" w:color="auto" w:fill="B4C6E7"/>
            <w:hideMark/>
          </w:tcPr>
          <w:p w14:paraId="319FAFC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During the PPG phase, partners to participate in joint regional ocean governance and other forms of transboundary water governance were involved and their commitment was secured</w:t>
            </w:r>
          </w:p>
        </w:tc>
        <w:tc>
          <w:tcPr>
            <w:tcW w:w="1440" w:type="dxa"/>
            <w:tcBorders>
              <w:top w:val="single" w:sz="4" w:space="0" w:color="000000"/>
              <w:left w:val="single" w:sz="4" w:space="0" w:color="000000"/>
              <w:bottom w:val="single" w:sz="4" w:space="0" w:color="000000"/>
              <w:right w:val="single" w:sz="4" w:space="0" w:color="000000"/>
            </w:tcBorders>
            <w:shd w:val="clear" w:color="auto" w:fill="B4C6E7"/>
            <w:hideMark/>
          </w:tcPr>
          <w:p w14:paraId="5627DA9B"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UNDP,</w:t>
            </w:r>
          </w:p>
          <w:p w14:paraId="51FA60AC"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UNEP,</w:t>
            </w:r>
          </w:p>
          <w:p w14:paraId="0D5B83B3" w14:textId="77777777" w:rsidR="000C6094" w:rsidRDefault="000C6094">
            <w:pPr>
              <w:rPr>
                <w:rFonts w:asciiTheme="minorHAnsi" w:hAnsiTheme="minorHAnsi" w:cstheme="minorHAnsi"/>
                <w:sz w:val="20"/>
                <w:szCs w:val="20"/>
              </w:rPr>
            </w:pPr>
            <w:r>
              <w:rPr>
                <w:rFonts w:asciiTheme="minorHAnsi" w:hAnsiTheme="minorHAnsi" w:cstheme="minorHAnsi"/>
                <w:sz w:val="20"/>
                <w:szCs w:val="20"/>
              </w:rPr>
              <w:t>UNESCO-IOC</w:t>
            </w:r>
          </w:p>
        </w:tc>
      </w:tr>
    </w:tbl>
    <w:p w14:paraId="3B72B622" w14:textId="4C0C290F" w:rsidR="002B55C1" w:rsidRPr="002B55C1" w:rsidRDefault="002B55C1" w:rsidP="002B55C1">
      <w:pPr>
        <w:spacing w:after="160" w:line="259" w:lineRule="auto"/>
      </w:pPr>
      <w:r>
        <w:br w:type="page"/>
      </w:r>
    </w:p>
    <w:p w14:paraId="076ABDEA" w14:textId="234F1616" w:rsidR="002B55C1" w:rsidRDefault="002B55C1" w:rsidP="002B55C1">
      <w:pPr>
        <w:pStyle w:val="Heading2"/>
        <w:rPr>
          <w:rFonts w:asciiTheme="minorHAnsi" w:hAnsiTheme="minorHAnsi" w:cstheme="minorHAnsi"/>
          <w:b/>
          <w:bCs/>
          <w:color w:val="000000" w:themeColor="text1"/>
          <w:sz w:val="28"/>
          <w:szCs w:val="28"/>
        </w:rPr>
      </w:pPr>
      <w:bookmarkStart w:id="64" w:name="_Toc115094399"/>
      <w:r w:rsidRPr="002B55C1">
        <w:rPr>
          <w:rFonts w:asciiTheme="minorHAnsi" w:hAnsiTheme="minorHAnsi" w:cstheme="minorHAnsi"/>
          <w:b/>
          <w:bCs/>
          <w:color w:val="000000" w:themeColor="text1"/>
          <w:sz w:val="28"/>
          <w:szCs w:val="28"/>
        </w:rPr>
        <w:lastRenderedPageBreak/>
        <w:t>Annex 6: Overview of Project Staff and Technical Consultancies</w:t>
      </w:r>
      <w:bookmarkEnd w:id="64"/>
    </w:p>
    <w:tbl>
      <w:tblPr>
        <w:tblW w:w="14539"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3"/>
        <w:gridCol w:w="1560"/>
        <w:gridCol w:w="11346"/>
      </w:tblGrid>
      <w:tr w:rsidR="00BB462C" w14:paraId="1B9C8675" w14:textId="77777777" w:rsidTr="00BB462C">
        <w:trPr>
          <w:trHeight w:val="410"/>
        </w:trPr>
        <w:tc>
          <w:tcPr>
            <w:tcW w:w="1633" w:type="dxa"/>
            <w:tcBorders>
              <w:top w:val="single" w:sz="4" w:space="0" w:color="000000"/>
              <w:left w:val="single" w:sz="4" w:space="0" w:color="000000"/>
              <w:bottom w:val="single" w:sz="4" w:space="0" w:color="000000"/>
              <w:right w:val="single" w:sz="4" w:space="0" w:color="000000"/>
            </w:tcBorders>
            <w:shd w:val="clear" w:color="auto" w:fill="FDE9D9"/>
            <w:hideMark/>
          </w:tcPr>
          <w:p w14:paraId="65A98177" w14:textId="77777777" w:rsidR="00BB462C" w:rsidRDefault="00BB462C">
            <w:pPr>
              <w:rPr>
                <w:rFonts w:asciiTheme="minorHAnsi" w:hAnsiTheme="minorHAnsi" w:cstheme="minorHAnsi"/>
                <w:b/>
                <w:sz w:val="22"/>
                <w:szCs w:val="22"/>
              </w:rPr>
            </w:pPr>
            <w:r>
              <w:rPr>
                <w:rFonts w:asciiTheme="minorHAnsi" w:hAnsiTheme="minorHAnsi" w:cstheme="minorHAnsi"/>
                <w:b/>
                <w:sz w:val="22"/>
                <w:szCs w:val="22"/>
              </w:rPr>
              <w:t>Consultant</w:t>
            </w:r>
          </w:p>
        </w:tc>
        <w:tc>
          <w:tcPr>
            <w:tcW w:w="1560" w:type="dxa"/>
            <w:tcBorders>
              <w:top w:val="single" w:sz="4" w:space="0" w:color="000000"/>
              <w:left w:val="single" w:sz="4" w:space="0" w:color="000000"/>
              <w:bottom w:val="single" w:sz="4" w:space="0" w:color="000000"/>
              <w:right w:val="single" w:sz="4" w:space="0" w:color="000000"/>
            </w:tcBorders>
            <w:shd w:val="clear" w:color="auto" w:fill="FDE9D9"/>
            <w:hideMark/>
          </w:tcPr>
          <w:p w14:paraId="32D8A3BF" w14:textId="77777777" w:rsidR="00BB462C" w:rsidRDefault="00BB462C">
            <w:pPr>
              <w:rPr>
                <w:rFonts w:asciiTheme="minorHAnsi" w:hAnsiTheme="minorHAnsi" w:cstheme="minorHAnsi"/>
                <w:b/>
                <w:sz w:val="22"/>
                <w:szCs w:val="22"/>
              </w:rPr>
            </w:pPr>
            <w:r>
              <w:rPr>
                <w:rFonts w:asciiTheme="minorHAnsi" w:hAnsiTheme="minorHAnsi" w:cstheme="minorHAnsi"/>
                <w:b/>
                <w:sz w:val="22"/>
                <w:szCs w:val="22"/>
              </w:rPr>
              <w:t>Time Input</w:t>
            </w:r>
          </w:p>
        </w:tc>
        <w:tc>
          <w:tcPr>
            <w:tcW w:w="11346" w:type="dxa"/>
            <w:tcBorders>
              <w:top w:val="single" w:sz="4" w:space="0" w:color="000000"/>
              <w:left w:val="single" w:sz="4" w:space="0" w:color="000000"/>
              <w:bottom w:val="single" w:sz="4" w:space="0" w:color="000000"/>
              <w:right w:val="single" w:sz="4" w:space="0" w:color="000000"/>
            </w:tcBorders>
            <w:shd w:val="clear" w:color="auto" w:fill="FDE9D9"/>
            <w:hideMark/>
          </w:tcPr>
          <w:p w14:paraId="3C0EB758" w14:textId="77777777" w:rsidR="00BB462C" w:rsidRDefault="00BB462C">
            <w:pPr>
              <w:rPr>
                <w:rFonts w:asciiTheme="minorHAnsi" w:hAnsiTheme="minorHAnsi" w:cstheme="minorHAnsi"/>
                <w:b/>
                <w:sz w:val="22"/>
                <w:szCs w:val="22"/>
              </w:rPr>
            </w:pPr>
            <w:r>
              <w:rPr>
                <w:rFonts w:asciiTheme="minorHAnsi" w:hAnsiTheme="minorHAnsi" w:cstheme="minorHAnsi"/>
                <w:b/>
                <w:sz w:val="22"/>
                <w:szCs w:val="22"/>
              </w:rPr>
              <w:t>Tasks, Inputs and Outputs</w:t>
            </w:r>
          </w:p>
        </w:tc>
      </w:tr>
      <w:tr w:rsidR="00BB462C" w14:paraId="2D43BFFF" w14:textId="77777777" w:rsidTr="00BB462C">
        <w:tc>
          <w:tcPr>
            <w:tcW w:w="14539"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14:paraId="5EDF0806" w14:textId="77777777" w:rsidR="00BB462C" w:rsidRDefault="00BB462C">
            <w:pPr>
              <w:rPr>
                <w:rFonts w:asciiTheme="minorHAnsi" w:hAnsiTheme="minorHAnsi" w:cstheme="minorHAnsi"/>
                <w:i/>
                <w:sz w:val="22"/>
                <w:szCs w:val="22"/>
              </w:rPr>
            </w:pPr>
            <w:r>
              <w:rPr>
                <w:rFonts w:asciiTheme="minorHAnsi" w:hAnsiTheme="minorHAnsi" w:cstheme="minorHAnsi"/>
                <w:b/>
                <w:i/>
                <w:sz w:val="22"/>
                <w:szCs w:val="22"/>
              </w:rPr>
              <w:t>For Project Management</w:t>
            </w:r>
          </w:p>
        </w:tc>
      </w:tr>
      <w:tr w:rsidR="00BB462C" w14:paraId="1FBE86D0" w14:textId="77777777" w:rsidTr="00BB462C">
        <w:tc>
          <w:tcPr>
            <w:tcW w:w="14539"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14:paraId="1B29701B" w14:textId="77777777" w:rsidR="00BB462C" w:rsidRDefault="00BB462C">
            <w:pPr>
              <w:rPr>
                <w:rFonts w:asciiTheme="minorHAnsi" w:hAnsiTheme="minorHAnsi" w:cstheme="minorHAnsi"/>
                <w:b/>
                <w:i/>
                <w:sz w:val="22"/>
                <w:szCs w:val="22"/>
              </w:rPr>
            </w:pPr>
            <w:r>
              <w:rPr>
                <w:rFonts w:asciiTheme="minorHAnsi" w:hAnsiTheme="minorHAnsi" w:cstheme="minorHAnsi"/>
                <w:b/>
                <w:i/>
                <w:sz w:val="22"/>
                <w:szCs w:val="22"/>
              </w:rPr>
              <w:t>Local / National contracting</w:t>
            </w:r>
          </w:p>
        </w:tc>
      </w:tr>
      <w:tr w:rsidR="00BB462C" w:rsidRPr="00BB462C" w14:paraId="194DE056" w14:textId="77777777" w:rsidTr="00BB462C">
        <w:tc>
          <w:tcPr>
            <w:tcW w:w="1633" w:type="dxa"/>
            <w:tcBorders>
              <w:top w:val="single" w:sz="4" w:space="0" w:color="000000"/>
              <w:left w:val="single" w:sz="4" w:space="0" w:color="000000"/>
              <w:bottom w:val="single" w:sz="4" w:space="0" w:color="000000"/>
              <w:right w:val="single" w:sz="4" w:space="0" w:color="000000"/>
            </w:tcBorders>
          </w:tcPr>
          <w:p w14:paraId="6B46AC95" w14:textId="77777777" w:rsidR="00BB462C" w:rsidRDefault="00BB462C">
            <w:pPr>
              <w:rPr>
                <w:rFonts w:asciiTheme="minorHAnsi" w:hAnsiTheme="minorHAnsi" w:cstheme="minorHAnsi"/>
                <w:b/>
                <w:bCs/>
                <w:i/>
                <w:sz w:val="22"/>
                <w:szCs w:val="22"/>
              </w:rPr>
            </w:pPr>
            <w:r>
              <w:rPr>
                <w:rFonts w:asciiTheme="minorHAnsi" w:hAnsiTheme="minorHAnsi" w:cstheme="minorHAnsi"/>
                <w:b/>
                <w:bCs/>
                <w:i/>
                <w:sz w:val="22"/>
                <w:szCs w:val="22"/>
              </w:rPr>
              <w:t>Project coordinator</w:t>
            </w:r>
          </w:p>
          <w:p w14:paraId="1157B3DD" w14:textId="77777777" w:rsidR="00BB462C" w:rsidRDefault="00BB462C">
            <w:pPr>
              <w:rPr>
                <w:rFonts w:asciiTheme="minorHAnsi" w:hAnsiTheme="minorHAnsi" w:cstheme="minorHAnsi"/>
                <w:i/>
                <w:sz w:val="22"/>
                <w:szCs w:val="22"/>
              </w:rPr>
            </w:pPr>
          </w:p>
          <w:p w14:paraId="6C9BCFC4" w14:textId="77777777" w:rsidR="00BB462C" w:rsidRDefault="00BB462C">
            <w:pPr>
              <w:rPr>
                <w:rFonts w:asciiTheme="minorHAnsi" w:hAnsiTheme="minorHAnsi" w:cstheme="minorHAnsi"/>
                <w:i/>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307E9208" w14:textId="77777777" w:rsidR="00BB462C" w:rsidRDefault="00BB462C">
            <w:pPr>
              <w:rPr>
                <w:rFonts w:asciiTheme="minorHAnsi" w:hAnsiTheme="minorHAnsi" w:cstheme="minorHAnsi"/>
                <w:i/>
                <w:sz w:val="22"/>
                <w:szCs w:val="22"/>
              </w:rPr>
            </w:pPr>
            <w:r>
              <w:rPr>
                <w:rFonts w:asciiTheme="minorHAnsi" w:hAnsiTheme="minorHAnsi" w:cstheme="minorHAnsi"/>
                <w:i/>
                <w:sz w:val="22"/>
                <w:szCs w:val="22"/>
              </w:rPr>
              <w:t>208 weeks / over 4 years</w:t>
            </w:r>
          </w:p>
        </w:tc>
        <w:tc>
          <w:tcPr>
            <w:tcW w:w="11346" w:type="dxa"/>
            <w:tcBorders>
              <w:top w:val="single" w:sz="4" w:space="0" w:color="000000"/>
              <w:left w:val="single" w:sz="4" w:space="0" w:color="000000"/>
              <w:bottom w:val="single" w:sz="4" w:space="0" w:color="000000"/>
              <w:right w:val="single" w:sz="4" w:space="0" w:color="000000"/>
            </w:tcBorders>
          </w:tcPr>
          <w:p w14:paraId="02B51241" w14:textId="77777777" w:rsidR="00BB462C" w:rsidRDefault="00BB462C">
            <w:pPr>
              <w:rPr>
                <w:rFonts w:asciiTheme="minorHAnsi" w:hAnsiTheme="minorHAnsi" w:cstheme="minorHAnsi"/>
                <w:i/>
                <w:sz w:val="22"/>
                <w:szCs w:val="22"/>
              </w:rPr>
            </w:pPr>
            <w:r>
              <w:rPr>
                <w:rFonts w:asciiTheme="minorHAnsi" w:hAnsiTheme="minorHAnsi" w:cstheme="minorHAnsi"/>
                <w:i/>
                <w:sz w:val="22"/>
                <w:szCs w:val="22"/>
              </w:rPr>
              <w:t xml:space="preserve">The Project coordinator (PM) will be responsible for the overall management of the project, including the mobilization of all project inputs, supervision over project staff, consultants and sub-contractors. </w:t>
            </w:r>
          </w:p>
          <w:p w14:paraId="7789F6D1" w14:textId="77777777" w:rsidR="00BB462C" w:rsidRDefault="00BB462C">
            <w:pPr>
              <w:rPr>
                <w:rFonts w:asciiTheme="minorHAnsi" w:hAnsiTheme="minorHAnsi" w:cstheme="minorHAnsi"/>
                <w:i/>
                <w:sz w:val="22"/>
                <w:szCs w:val="22"/>
                <w:u w:val="single"/>
              </w:rPr>
            </w:pPr>
            <w:r>
              <w:rPr>
                <w:rFonts w:asciiTheme="minorHAnsi" w:hAnsiTheme="minorHAnsi" w:cstheme="minorHAnsi"/>
                <w:i/>
                <w:sz w:val="22"/>
                <w:szCs w:val="22"/>
                <w:u w:val="single"/>
              </w:rPr>
              <w:t>Duties and Responsibilities</w:t>
            </w:r>
          </w:p>
          <w:p w14:paraId="02CE9A68" w14:textId="77777777" w:rsidR="00BB462C" w:rsidRDefault="00BB462C">
            <w:pPr>
              <w:rPr>
                <w:rFonts w:asciiTheme="minorHAnsi" w:hAnsiTheme="minorHAnsi" w:cstheme="minorHAnsi"/>
                <w:i/>
                <w:sz w:val="22"/>
                <w:szCs w:val="22"/>
                <w:u w:val="single"/>
              </w:rPr>
            </w:pPr>
          </w:p>
          <w:p w14:paraId="4B06302B" w14:textId="77777777" w:rsidR="00BB462C" w:rsidRDefault="00BB462C">
            <w:pPr>
              <w:rPr>
                <w:rFonts w:asciiTheme="minorHAnsi" w:hAnsiTheme="minorHAnsi" w:cstheme="minorHAnsi"/>
                <w:i/>
                <w:sz w:val="22"/>
                <w:szCs w:val="22"/>
              </w:rPr>
            </w:pPr>
            <w:r>
              <w:rPr>
                <w:rFonts w:asciiTheme="minorHAnsi" w:hAnsiTheme="minorHAnsi" w:cstheme="minorHAnsi"/>
                <w:b/>
                <w:bCs/>
                <w:i/>
                <w:sz w:val="22"/>
                <w:szCs w:val="22"/>
              </w:rPr>
              <w:t>Project management (10% of the time, charged to the PMC budget)</w:t>
            </w:r>
          </w:p>
          <w:p w14:paraId="4772B7CA"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Lead and manage the day‐to‐day implementation of IW:LEARN5’s work plan, control and manage the project budget, and ensure the achievement of project output targets based on the Project Document; </w:t>
            </w:r>
          </w:p>
          <w:p w14:paraId="1701ACE2"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Prepare and update project work plans in collaboration with the Project Steering Committee. The work plan will provide guidance and authority on the day‐to‐day implementation of the Project Document and on the integration of the various co‐financed partner initiatives; consult with, and coordinate closely with, the project Steering Committee, Inter‐Agency Forum, senior representatives of partner agencies as well as the respective GEF IW project officers in all regions; </w:t>
            </w:r>
          </w:p>
          <w:p w14:paraId="36520E2D"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Monitor events as determined in the project monitoring plan, and update the plan as required;</w:t>
            </w:r>
          </w:p>
          <w:p w14:paraId="04F6B768"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Provide support for completion of assessments required by UNDP and UNEP, spot checks and audits;</w:t>
            </w:r>
          </w:p>
          <w:p w14:paraId="07E6C935"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Monitor financial resources and accounting to ensure the accuracy and reliability of financial reports;</w:t>
            </w:r>
          </w:p>
          <w:p w14:paraId="3BC1A11D"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Monitor progress, watch for plan deviations and make course corrections when needed within project board-agreed tolerances to achieve results;</w:t>
            </w:r>
          </w:p>
          <w:p w14:paraId="0E4EAB7B"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Ensure that changes are controlled and problems addressed;</w:t>
            </w:r>
          </w:p>
          <w:p w14:paraId="7B154E45"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Perform regular progress reporting to the project board as agreed with the board, including measures to address challenges and opportunities;</w:t>
            </w:r>
          </w:p>
          <w:p w14:paraId="7B689CEE"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Prepare and submit financial reports to UNDP and UNEP on a quarterly basis;</w:t>
            </w:r>
          </w:p>
          <w:p w14:paraId="77595E01"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Manage and monitor the project risks – including social and environmental risks - initially identified and submit new risks to the Project Board for consideration and decision on possible actions if required; update the status of these risks by maintaining the project risks log;</w:t>
            </w:r>
          </w:p>
          <w:p w14:paraId="3A783CD5"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sz w:val="22"/>
                <w:szCs w:val="22"/>
              </w:rPr>
              <w:t xml:space="preserve">Prepare the inception report no later than one month after the inception workshop; </w:t>
            </w:r>
          </w:p>
          <w:p w14:paraId="31C28395"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sz w:val="22"/>
                <w:szCs w:val="22"/>
              </w:rPr>
              <w:t>Ensure that the indicators included in the project results framework are monitored annually in advance of the GEF PIR submission deadline so that progress can be reported in the GEF PIR;</w:t>
            </w:r>
          </w:p>
          <w:p w14:paraId="0E3EBA8E"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sz w:val="22"/>
                <w:szCs w:val="22"/>
              </w:rPr>
              <w:t>Prepare the GEF PIR;</w:t>
            </w:r>
          </w:p>
          <w:p w14:paraId="1787A1BF"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Assess major and minor amendments to the project within the parameters set by UNDP-GEF and UNEP;</w:t>
            </w:r>
          </w:p>
          <w:p w14:paraId="4954CCCA"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Monitor implementation plans including the gender action plan, stakeholder engagement plan, and any environmental and social management plans;</w:t>
            </w:r>
          </w:p>
          <w:p w14:paraId="55414842"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Monitor and track progress against the GEF Core indicators;</w:t>
            </w:r>
          </w:p>
          <w:p w14:paraId="447DF4E0" w14:textId="77777777" w:rsidR="00BB462C" w:rsidRDefault="00BB462C" w:rsidP="00BB462C">
            <w:pPr>
              <w:numPr>
                <w:ilvl w:val="0"/>
                <w:numId w:val="86"/>
              </w:numPr>
              <w:rPr>
                <w:rFonts w:asciiTheme="minorHAnsi" w:hAnsiTheme="minorHAnsi" w:cstheme="minorHAnsi"/>
                <w:color w:val="000000"/>
                <w:sz w:val="22"/>
                <w:szCs w:val="22"/>
              </w:rPr>
            </w:pPr>
            <w:r>
              <w:rPr>
                <w:rFonts w:asciiTheme="minorHAnsi" w:hAnsiTheme="minorHAnsi" w:cstheme="minorHAnsi"/>
                <w:color w:val="000000"/>
                <w:sz w:val="22"/>
                <w:szCs w:val="22"/>
              </w:rPr>
              <w:t>Support the Mid-term review and Terminal Evaluation process;</w:t>
            </w:r>
          </w:p>
          <w:p w14:paraId="2F281A9B"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Maintain the project’s overall integrity, coherence and quality of services to the GEF International Waters project portfolio; </w:t>
            </w:r>
          </w:p>
          <w:p w14:paraId="30916EFF"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Manage and be aided by a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Coordination Unit, composed of at least 2 team members, including a Deputy Project coordinator and an Administration/Travel Coordinator. The PC will provide overall supervision for all staff in the </w:t>
            </w:r>
            <w:proofErr w:type="spellStart"/>
            <w:r>
              <w:rPr>
                <w:rFonts w:asciiTheme="minorHAnsi" w:hAnsiTheme="minorHAnsi" w:cstheme="minorHAnsi"/>
                <w:color w:val="000000"/>
                <w:sz w:val="22"/>
                <w:szCs w:val="22"/>
              </w:rPr>
              <w:t>Programme</w:t>
            </w:r>
            <w:proofErr w:type="spellEnd"/>
            <w:r>
              <w:rPr>
                <w:rFonts w:asciiTheme="minorHAnsi" w:hAnsiTheme="minorHAnsi" w:cstheme="minorHAnsi"/>
                <w:color w:val="000000"/>
                <w:sz w:val="22"/>
                <w:szCs w:val="22"/>
              </w:rPr>
              <w:t xml:space="preserve"> Coordination Unit; </w:t>
            </w:r>
          </w:p>
          <w:p w14:paraId="565BF970"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Ensure consistency between the various project elements and related activities provided or funded by other donor organizations; </w:t>
            </w:r>
          </w:p>
          <w:p w14:paraId="217D1E7F"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Coordinate the selection and recruitment of project personnel; </w:t>
            </w:r>
          </w:p>
          <w:p w14:paraId="5807BBB0"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Develop Terms of References (in consultation with the Project Steering Committee) for the hiring of consultants and sub‐contractors and supervise and coordinate the work of consultants and sub‐contractors; </w:t>
            </w:r>
          </w:p>
          <w:p w14:paraId="3BB828B4"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Following UN rules and procedures, manage all other procurements/tenders under the project and, approve operational expenditure for equipment and travel; </w:t>
            </w:r>
          </w:p>
          <w:p w14:paraId="22FE4C19"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Develop agendas for and facilitate regular Project Steering Committee meetings; </w:t>
            </w:r>
          </w:p>
          <w:p w14:paraId="10BA123C"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Organize and supervise all reporting activities to the GEF Agencies (UNDP and UNEP), Executing Agency and Project Steering Committee, ensuring adherence to GEF Agency administrative, financial and technical reporting requirements; </w:t>
            </w:r>
          </w:p>
          <w:p w14:paraId="4D5A2F49"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Support the implementation of the project communications activities by closely monitoring agency, partner and IW portfolio project websites for content (including inter alia, experiences, results, data, guidance, events, funding opportunities) to share bilaterally or multilaterally with the IW portfolio; </w:t>
            </w:r>
          </w:p>
          <w:p w14:paraId="17D4D2CC"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Promote the IW portfolio and support the harvesting, standardization, dissemination and replication of portfolio results, lessons and best practices and serve as the project’s knowledge broker to the GEF IW community; </w:t>
            </w:r>
          </w:p>
          <w:p w14:paraId="5AA79654" w14:textId="77777777" w:rsidR="00BB462C" w:rsidRDefault="00BB462C">
            <w:pPr>
              <w:rPr>
                <w:rFonts w:asciiTheme="minorHAnsi" w:hAnsiTheme="minorHAnsi" w:cstheme="minorHAnsi"/>
                <w:b/>
                <w:bCs/>
                <w:i/>
                <w:color w:val="000000"/>
                <w:sz w:val="22"/>
                <w:szCs w:val="22"/>
              </w:rPr>
            </w:pPr>
          </w:p>
          <w:p w14:paraId="6A3EF386" w14:textId="77777777" w:rsidR="00BB462C" w:rsidRDefault="00BB462C">
            <w:pPr>
              <w:rPr>
                <w:rFonts w:asciiTheme="minorHAnsi" w:hAnsiTheme="minorHAnsi" w:cstheme="minorHAnsi"/>
                <w:b/>
                <w:bCs/>
                <w:i/>
                <w:color w:val="000000"/>
                <w:sz w:val="22"/>
                <w:szCs w:val="22"/>
              </w:rPr>
            </w:pPr>
            <w:r>
              <w:rPr>
                <w:rFonts w:asciiTheme="minorHAnsi" w:hAnsiTheme="minorHAnsi" w:cstheme="minorHAnsi"/>
                <w:b/>
                <w:bCs/>
                <w:i/>
                <w:color w:val="000000"/>
                <w:sz w:val="22"/>
                <w:szCs w:val="22"/>
              </w:rPr>
              <w:t xml:space="preserve">Technical Advice (90% of the time - 15% each Component 1,2 and 4; 25% Component 3; and 20% Component 5) </w:t>
            </w:r>
          </w:p>
          <w:p w14:paraId="0C1141CF" w14:textId="77777777" w:rsidR="00BB462C" w:rsidRDefault="00BB462C" w:rsidP="00BB462C">
            <w:pPr>
              <w:numPr>
                <w:ilvl w:val="0"/>
                <w:numId w:val="87"/>
              </w:numPr>
              <w:ind w:left="810" w:hanging="426"/>
              <w:rPr>
                <w:rFonts w:asciiTheme="minorHAnsi" w:hAnsiTheme="minorHAnsi" w:cs="Arial"/>
                <w:noProof/>
                <w:sz w:val="22"/>
                <w:szCs w:val="22"/>
                <w:lang w:eastAsia="zh-CN"/>
              </w:rPr>
            </w:pPr>
            <w:r>
              <w:rPr>
                <w:rFonts w:asciiTheme="minorHAnsi" w:hAnsiTheme="minorHAnsi"/>
                <w:sz w:val="22"/>
                <w:szCs w:val="22"/>
              </w:rPr>
              <w:t>Provision of top-quality technical advice services, including facilitation of capacity and knowledge building, where the t</w:t>
            </w:r>
            <w:r>
              <w:rPr>
                <w:rFonts w:asciiTheme="minorHAnsi" w:hAnsiTheme="minorHAnsi"/>
                <w:sz w:val="22"/>
                <w:szCs w:val="22"/>
                <w:lang w:eastAsia="es-ES_tradnl"/>
              </w:rPr>
              <w:t>echnical responsibilities include oversig</w:t>
            </w:r>
            <w:r>
              <w:rPr>
                <w:rFonts w:asciiTheme="minorHAnsi" w:hAnsiTheme="minorHAnsi"/>
                <w:color w:val="000000"/>
                <w:sz w:val="22"/>
                <w:szCs w:val="22"/>
              </w:rPr>
              <w:t>ht of and ensuring linkages between all project components</w:t>
            </w:r>
          </w:p>
          <w:p w14:paraId="0D166BC8" w14:textId="77777777" w:rsidR="00BB462C" w:rsidRDefault="00BB462C" w:rsidP="00BB462C">
            <w:pPr>
              <w:numPr>
                <w:ilvl w:val="0"/>
                <w:numId w:val="87"/>
              </w:numPr>
              <w:ind w:left="810" w:hanging="426"/>
              <w:rPr>
                <w:rFonts w:asciiTheme="minorHAnsi" w:hAnsiTheme="minorHAnsi" w:cs="Arial"/>
                <w:noProof/>
                <w:sz w:val="22"/>
                <w:szCs w:val="22"/>
                <w:lang w:eastAsia="zh-CN"/>
              </w:rPr>
            </w:pPr>
            <w:r>
              <w:rPr>
                <w:rFonts w:asciiTheme="minorHAnsi" w:hAnsiTheme="minorHAnsi" w:cs="Arial"/>
                <w:noProof/>
                <w:sz w:val="22"/>
                <w:szCs w:val="22"/>
                <w:lang w:eastAsia="zh-CN"/>
              </w:rPr>
              <w:t>Provide technical oversight to subcontractors and training activities supported by the Project.</w:t>
            </w:r>
          </w:p>
          <w:p w14:paraId="3031995F" w14:textId="77777777" w:rsidR="00BB462C" w:rsidRDefault="00BB462C" w:rsidP="00BB462C">
            <w:pPr>
              <w:pStyle w:val="ListParagraph"/>
              <w:numPr>
                <w:ilvl w:val="0"/>
                <w:numId w:val="87"/>
              </w:numPr>
              <w:ind w:left="810" w:hanging="426"/>
              <w:contextualSpacing w:val="0"/>
              <w:jc w:val="both"/>
              <w:rPr>
                <w:rFonts w:asciiTheme="minorHAnsi" w:hAnsiTheme="minorHAnsi" w:cs="Arial"/>
                <w:noProof/>
                <w:sz w:val="22"/>
                <w:szCs w:val="22"/>
                <w:lang w:eastAsia="zh-CN"/>
              </w:rPr>
            </w:pPr>
            <w:r>
              <w:rPr>
                <w:rFonts w:asciiTheme="minorHAnsi" w:hAnsiTheme="minorHAnsi" w:cs="Arial"/>
                <w:noProof/>
                <w:sz w:val="22"/>
                <w:szCs w:val="22"/>
                <w:lang w:eastAsia="zh-CN"/>
              </w:rPr>
              <w:t>Facilitate the exchange and sharing of experiences and lessons learned with relevant community based integrated conservation and development projects nationally and internationally.</w:t>
            </w:r>
          </w:p>
          <w:p w14:paraId="79D59073" w14:textId="77777777" w:rsidR="00BB462C" w:rsidRDefault="00BB462C">
            <w:pPr>
              <w:rPr>
                <w:rFonts w:asciiTheme="minorHAnsi" w:hAnsiTheme="minorHAnsi" w:cstheme="minorHAnsi"/>
                <w:sz w:val="22"/>
                <w:szCs w:val="22"/>
              </w:rPr>
            </w:pPr>
            <w:r>
              <w:rPr>
                <w:rFonts w:asciiTheme="minorHAnsi" w:hAnsiTheme="minorHAnsi" w:cstheme="minorHAnsi"/>
                <w:i/>
                <w:sz w:val="22"/>
                <w:szCs w:val="22"/>
                <w:u w:val="single"/>
              </w:rPr>
              <w:lastRenderedPageBreak/>
              <w:t>Competencies</w:t>
            </w:r>
          </w:p>
          <w:p w14:paraId="11137BCC"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Demonstrated experience in support to local, national and international organizations, including support to non‐profits and NGOs; </w:t>
            </w:r>
          </w:p>
          <w:p w14:paraId="338109DE"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Experience/familiarity with international projects in water and/or environment, or, ideally, work experience in GEF International Waters recipient countries and/or with donors or related NGOs; </w:t>
            </w:r>
          </w:p>
          <w:p w14:paraId="78644B6F"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Familiarity with UN and GEF rules and procedures is an asset;</w:t>
            </w:r>
          </w:p>
          <w:p w14:paraId="3AAECD99"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Demonstrated capacity in implementing knowledge sharing strategies and plans; </w:t>
            </w:r>
          </w:p>
          <w:p w14:paraId="5F122C30"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Excellent coordination and facilitation skills; </w:t>
            </w:r>
          </w:p>
          <w:p w14:paraId="573623D3"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Excellent analytical, reporting, writing, editing, and oral communication skills in English; </w:t>
            </w:r>
          </w:p>
          <w:p w14:paraId="53092F31"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High attention to detail and ability to work under tight deadlines; </w:t>
            </w:r>
          </w:p>
          <w:p w14:paraId="226446F7"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Building and promoting effective teams; </w:t>
            </w:r>
          </w:p>
          <w:p w14:paraId="7C03353D"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Creating and promoting enabling environment for open communication; </w:t>
            </w:r>
          </w:p>
          <w:p w14:paraId="221E5841"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Fair and transparent decision‐making and calculated risk‐taking; </w:t>
            </w:r>
          </w:p>
          <w:p w14:paraId="012C6918"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Displays cultural, gender, religion, race, nationality and age sensitivity and adaptability; </w:t>
            </w:r>
          </w:p>
          <w:p w14:paraId="1FC86908"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Promotes the vision, mission, and strategic goals of UNDP and UNEP; and </w:t>
            </w:r>
          </w:p>
          <w:p w14:paraId="66720AEE"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Proficient in an additional official UN language is an asset. </w:t>
            </w:r>
          </w:p>
          <w:p w14:paraId="401A4C8D" w14:textId="77777777" w:rsidR="00BB462C" w:rsidRDefault="00BB462C">
            <w:pPr>
              <w:rPr>
                <w:rFonts w:asciiTheme="minorHAnsi" w:hAnsiTheme="minorHAnsi" w:cstheme="minorHAnsi"/>
                <w:sz w:val="22"/>
                <w:szCs w:val="22"/>
              </w:rPr>
            </w:pPr>
            <w:r>
              <w:rPr>
                <w:rFonts w:asciiTheme="minorHAnsi" w:hAnsiTheme="minorHAnsi" w:cstheme="minorHAnsi"/>
                <w:i/>
                <w:sz w:val="22"/>
                <w:szCs w:val="22"/>
                <w:u w:val="single"/>
              </w:rPr>
              <w:t>Qualifications</w:t>
            </w:r>
          </w:p>
          <w:p w14:paraId="4BF79796"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More than seven years of experience in project management of complex projects in multiple countries; and information and knowledge management, including planning, design, preparation and delivery of knowledge management strategies and services; </w:t>
            </w:r>
          </w:p>
          <w:p w14:paraId="747F3194"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Advanced degree in environmental management or science, international relations, information management, communications, economics, development studies or related fields, or equivalent demonstrated experience; </w:t>
            </w:r>
          </w:p>
          <w:p w14:paraId="4E9DDDAC" w14:textId="77777777" w:rsidR="00BB462C" w:rsidRDefault="00BB462C" w:rsidP="00BB462C">
            <w:pPr>
              <w:numPr>
                <w:ilvl w:val="0"/>
                <w:numId w:val="86"/>
              </w:numPr>
              <w:rPr>
                <w:rFonts w:asciiTheme="minorHAnsi" w:hAnsiTheme="minorHAnsi" w:cstheme="minorHAnsi"/>
                <w:sz w:val="22"/>
                <w:szCs w:val="22"/>
              </w:rPr>
            </w:pPr>
            <w:r>
              <w:rPr>
                <w:rFonts w:asciiTheme="minorHAnsi" w:hAnsiTheme="minorHAnsi" w:cstheme="minorHAnsi"/>
                <w:color w:val="000000"/>
                <w:sz w:val="22"/>
                <w:szCs w:val="22"/>
              </w:rPr>
              <w:t xml:space="preserve">Experience in capacity‐development and/or knowledge management, including planning, design, preparation and delivery of capacity‐development programs or activities, experience with application of knowledge management approaches and services, in particular with the synthesis of lessons‐learned and their dissemination. </w:t>
            </w:r>
          </w:p>
        </w:tc>
      </w:tr>
      <w:tr w:rsidR="00BB462C" w:rsidRPr="00BB462C" w14:paraId="61A7D7FB" w14:textId="77777777" w:rsidTr="00BB462C">
        <w:tc>
          <w:tcPr>
            <w:tcW w:w="1633" w:type="dxa"/>
            <w:tcBorders>
              <w:top w:val="single" w:sz="4" w:space="0" w:color="000000"/>
              <w:left w:val="single" w:sz="4" w:space="0" w:color="000000"/>
              <w:bottom w:val="single" w:sz="4" w:space="0" w:color="000000"/>
              <w:right w:val="single" w:sz="4" w:space="0" w:color="000000"/>
            </w:tcBorders>
          </w:tcPr>
          <w:p w14:paraId="5BA3F658" w14:textId="77777777" w:rsidR="00BB462C" w:rsidRDefault="00BB462C">
            <w:pPr>
              <w:rPr>
                <w:rFonts w:asciiTheme="minorHAnsi" w:hAnsiTheme="minorHAnsi" w:cstheme="minorHAnsi"/>
                <w:b/>
                <w:bCs/>
                <w:i/>
                <w:sz w:val="22"/>
                <w:szCs w:val="22"/>
              </w:rPr>
            </w:pPr>
            <w:r>
              <w:rPr>
                <w:rFonts w:asciiTheme="minorHAnsi" w:hAnsiTheme="minorHAnsi" w:cstheme="minorHAnsi"/>
                <w:b/>
                <w:bCs/>
                <w:i/>
                <w:sz w:val="22"/>
                <w:szCs w:val="22"/>
              </w:rPr>
              <w:lastRenderedPageBreak/>
              <w:t>Deputy Project coordinator</w:t>
            </w:r>
          </w:p>
          <w:p w14:paraId="3C2E632A" w14:textId="77777777" w:rsidR="00BB462C" w:rsidRDefault="00BB462C">
            <w:pPr>
              <w:rPr>
                <w:rFonts w:asciiTheme="minorHAnsi" w:hAnsiTheme="minorHAnsi" w:cstheme="minorHAnsi"/>
                <w:i/>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5A9F09E3" w14:textId="77777777" w:rsidR="00BB462C" w:rsidRDefault="00BB462C">
            <w:pPr>
              <w:rPr>
                <w:rFonts w:asciiTheme="minorHAnsi" w:hAnsiTheme="minorHAnsi" w:cstheme="minorHAnsi"/>
                <w:i/>
                <w:sz w:val="22"/>
                <w:szCs w:val="22"/>
              </w:rPr>
            </w:pPr>
            <w:r>
              <w:rPr>
                <w:rFonts w:asciiTheme="minorHAnsi" w:hAnsiTheme="minorHAnsi" w:cstheme="minorHAnsi"/>
                <w:i/>
                <w:sz w:val="22"/>
                <w:szCs w:val="22"/>
              </w:rPr>
              <w:t>208 weeks / over 4 years</w:t>
            </w:r>
          </w:p>
        </w:tc>
        <w:tc>
          <w:tcPr>
            <w:tcW w:w="11346" w:type="dxa"/>
            <w:tcBorders>
              <w:top w:val="single" w:sz="4" w:space="0" w:color="000000"/>
              <w:left w:val="single" w:sz="4" w:space="0" w:color="000000"/>
              <w:bottom w:val="single" w:sz="4" w:space="0" w:color="000000"/>
              <w:right w:val="single" w:sz="4" w:space="0" w:color="000000"/>
            </w:tcBorders>
          </w:tcPr>
          <w:p w14:paraId="224B3C2F" w14:textId="77777777" w:rsidR="00BB462C" w:rsidRDefault="00BB462C">
            <w:pPr>
              <w:rPr>
                <w:rFonts w:asciiTheme="minorHAnsi" w:hAnsiTheme="minorHAnsi" w:cstheme="minorHAnsi"/>
                <w:i/>
                <w:sz w:val="22"/>
                <w:szCs w:val="22"/>
              </w:rPr>
            </w:pPr>
            <w:r>
              <w:rPr>
                <w:rFonts w:asciiTheme="minorHAnsi" w:hAnsiTheme="minorHAnsi" w:cstheme="minorHAnsi"/>
                <w:i/>
                <w:sz w:val="22"/>
                <w:szCs w:val="22"/>
              </w:rPr>
              <w:t>Deputy Project coordinator will support the Project coordinator in the overall implementation of the project, under the guidance and supervision of the Project coordinator.</w:t>
            </w:r>
          </w:p>
          <w:p w14:paraId="3B508E12" w14:textId="77777777" w:rsidR="00BB462C" w:rsidRDefault="00BB462C">
            <w:pPr>
              <w:rPr>
                <w:rFonts w:asciiTheme="minorHAnsi" w:hAnsiTheme="minorHAnsi" w:cstheme="minorHAnsi"/>
                <w:i/>
                <w:sz w:val="22"/>
                <w:szCs w:val="22"/>
                <w:u w:val="single"/>
              </w:rPr>
            </w:pPr>
          </w:p>
          <w:p w14:paraId="1C672ED2" w14:textId="77777777" w:rsidR="00BB462C" w:rsidRDefault="00BB462C">
            <w:pPr>
              <w:rPr>
                <w:rFonts w:asciiTheme="minorHAnsi" w:hAnsiTheme="minorHAnsi" w:cstheme="minorHAnsi"/>
                <w:i/>
                <w:sz w:val="22"/>
                <w:szCs w:val="22"/>
                <w:u w:val="single"/>
              </w:rPr>
            </w:pPr>
          </w:p>
          <w:p w14:paraId="3D7BDF71" w14:textId="77777777" w:rsidR="00BB462C" w:rsidRDefault="00BB462C">
            <w:pPr>
              <w:rPr>
                <w:rFonts w:asciiTheme="minorHAnsi" w:hAnsiTheme="minorHAnsi" w:cstheme="minorHAnsi"/>
                <w:i/>
                <w:sz w:val="22"/>
                <w:szCs w:val="22"/>
                <w:u w:val="single"/>
              </w:rPr>
            </w:pPr>
            <w:r>
              <w:rPr>
                <w:rFonts w:asciiTheme="minorHAnsi" w:hAnsiTheme="minorHAnsi" w:cstheme="minorHAnsi"/>
                <w:i/>
                <w:sz w:val="22"/>
                <w:szCs w:val="22"/>
                <w:u w:val="single"/>
              </w:rPr>
              <w:t>Duties and Responsibilities</w:t>
            </w:r>
          </w:p>
          <w:p w14:paraId="5437D1E2" w14:textId="77777777" w:rsidR="00BB462C" w:rsidRDefault="00BB462C">
            <w:pPr>
              <w:rPr>
                <w:rFonts w:asciiTheme="minorHAnsi" w:hAnsiTheme="minorHAnsi" w:cstheme="minorHAnsi"/>
                <w:b/>
                <w:bCs/>
                <w:i/>
                <w:sz w:val="22"/>
                <w:szCs w:val="22"/>
              </w:rPr>
            </w:pPr>
          </w:p>
          <w:p w14:paraId="7C7BB127" w14:textId="77777777" w:rsidR="00BB462C" w:rsidRDefault="00BB462C">
            <w:pPr>
              <w:rPr>
                <w:rFonts w:asciiTheme="minorHAnsi" w:hAnsiTheme="minorHAnsi" w:cstheme="minorHAnsi"/>
                <w:b/>
                <w:bCs/>
                <w:i/>
                <w:sz w:val="22"/>
                <w:szCs w:val="22"/>
                <w:u w:val="single"/>
              </w:rPr>
            </w:pPr>
            <w:r>
              <w:rPr>
                <w:rFonts w:asciiTheme="minorHAnsi" w:hAnsiTheme="minorHAnsi" w:cstheme="minorHAnsi"/>
                <w:b/>
                <w:bCs/>
                <w:i/>
                <w:sz w:val="22"/>
                <w:szCs w:val="22"/>
              </w:rPr>
              <w:t>Project management (10% of the time, charged to the PMC budget)</w:t>
            </w:r>
          </w:p>
          <w:p w14:paraId="30480E25"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sz w:val="22"/>
                <w:szCs w:val="22"/>
              </w:rPr>
              <w:t>Assist the Project coordinator in day-to-day management and oversight of project activities;</w:t>
            </w:r>
          </w:p>
          <w:p w14:paraId="57536759"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lastRenderedPageBreak/>
              <w:t xml:space="preserve">Assist the PC where required and deputize for him/her by supervising /approving activities where needed </w:t>
            </w:r>
          </w:p>
          <w:p w14:paraId="35B0AD3B"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Ensure that the project outputs are delivered as identified in the Project Document as and as advised / instructed by the Project Steering Committee; </w:t>
            </w:r>
          </w:p>
          <w:p w14:paraId="55F2797D"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Apply his/her expertise in water management, GEF IW Projects, ICT, structured learning and project management to maintain the project’s overall integrity and coherence; </w:t>
            </w:r>
          </w:p>
          <w:p w14:paraId="522B8E12"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Assist the PC to prepare and update project work plans and budgets in collaboration with the Project Steering Committee and the Implementing and Executing Agencies. The work plan will provide guidance on the day‐to‐day implementation of the Project Documents and on the integration of the various co‐financed partner initiatives; </w:t>
            </w:r>
          </w:p>
          <w:p w14:paraId="6BF62453" w14:textId="77777777" w:rsidR="00BB462C" w:rsidRDefault="00BB462C">
            <w:pPr>
              <w:rPr>
                <w:rFonts w:asciiTheme="minorHAnsi" w:hAnsiTheme="minorHAnsi" w:cstheme="minorHAnsi"/>
                <w:sz w:val="22"/>
                <w:szCs w:val="22"/>
              </w:rPr>
            </w:pPr>
          </w:p>
          <w:p w14:paraId="5CDC718C" w14:textId="77777777" w:rsidR="00BB462C" w:rsidRDefault="00BB462C">
            <w:pPr>
              <w:rPr>
                <w:rFonts w:asciiTheme="minorHAnsi" w:hAnsiTheme="minorHAnsi" w:cstheme="minorHAnsi"/>
                <w:b/>
                <w:bCs/>
                <w:i/>
                <w:color w:val="000000"/>
                <w:sz w:val="22"/>
                <w:szCs w:val="22"/>
              </w:rPr>
            </w:pPr>
            <w:r>
              <w:rPr>
                <w:rFonts w:asciiTheme="minorHAnsi" w:hAnsiTheme="minorHAnsi" w:cstheme="minorHAnsi"/>
                <w:b/>
                <w:bCs/>
                <w:i/>
                <w:color w:val="000000"/>
                <w:sz w:val="22"/>
                <w:szCs w:val="22"/>
              </w:rPr>
              <w:t>Technical Advice (90% of the time: 40% Component 1; 10% each Component 2, 3 and 4; and 20% Component 5)</w:t>
            </w:r>
          </w:p>
          <w:p w14:paraId="0FFCE932" w14:textId="77777777" w:rsidR="00BB462C" w:rsidRDefault="00BB462C" w:rsidP="00BB462C">
            <w:pPr>
              <w:numPr>
                <w:ilvl w:val="0"/>
                <w:numId w:val="88"/>
              </w:numPr>
              <w:rPr>
                <w:rFonts w:asciiTheme="minorHAnsi" w:hAnsiTheme="minorHAnsi" w:cstheme="minorHAnsi"/>
                <w:sz w:val="22"/>
                <w:szCs w:val="22"/>
              </w:rPr>
            </w:pPr>
            <w:r>
              <w:rPr>
                <w:rFonts w:asciiTheme="minorHAnsi" w:eastAsia="Noto Sans Symbols" w:hAnsiTheme="minorHAnsi" w:cstheme="minorHAnsi"/>
                <w:color w:val="000000"/>
                <w:sz w:val="22"/>
                <w:szCs w:val="22"/>
              </w:rPr>
              <w:t>S</w:t>
            </w:r>
            <w:r>
              <w:rPr>
                <w:rFonts w:asciiTheme="minorHAnsi" w:hAnsiTheme="minorHAnsi" w:cstheme="minorHAnsi"/>
                <w:color w:val="000000"/>
                <w:sz w:val="22"/>
                <w:szCs w:val="22"/>
              </w:rPr>
              <w:t xml:space="preserve">erve as the coordinator for project twinning, workshop and global dialogue activities (together with the admin/finance officer and project partners), where appropriate, by: </w:t>
            </w:r>
          </w:p>
          <w:p w14:paraId="748AD4C4"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Establishing detailed work plans, with clear tasks, deliverables and timelines;</w:t>
            </w:r>
          </w:p>
          <w:p w14:paraId="0D11467D"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Assisting the Project coordinator with event procurement negotiations;</w:t>
            </w:r>
          </w:p>
          <w:p w14:paraId="6AC9D072"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Ensuring venues follow all contractual arrangements; </w:t>
            </w:r>
          </w:p>
          <w:p w14:paraId="5B4E979A"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Preparing official communications with host countries and agencies, and issuing official letters, and liaising with host countries and agencies regarding event logistics and implementation; </w:t>
            </w:r>
          </w:p>
          <w:p w14:paraId="711AE840"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Setting VIP </w:t>
            </w:r>
            <w:proofErr w:type="spellStart"/>
            <w:r>
              <w:rPr>
                <w:rFonts w:asciiTheme="minorHAnsi" w:hAnsiTheme="minorHAnsi" w:cstheme="minorHAnsi"/>
                <w:color w:val="000000"/>
                <w:sz w:val="22"/>
                <w:szCs w:val="22"/>
              </w:rPr>
              <w:t>programmes</w:t>
            </w:r>
            <w:proofErr w:type="spellEnd"/>
            <w:r>
              <w:rPr>
                <w:rFonts w:asciiTheme="minorHAnsi" w:hAnsiTheme="minorHAnsi" w:cstheme="minorHAnsi"/>
                <w:color w:val="000000"/>
                <w:sz w:val="22"/>
                <w:szCs w:val="22"/>
              </w:rPr>
              <w:t xml:space="preserve">, special events and technical site visits, where appropriate; </w:t>
            </w:r>
          </w:p>
          <w:p w14:paraId="304CE260"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Formulating meeting agendas, calling meetings and keeping minutes for all project event committees; </w:t>
            </w:r>
          </w:p>
          <w:p w14:paraId="109551EC"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Monitoring and reporting to the Project coordinator and project event committees on progress against agreed event milestones; </w:t>
            </w:r>
          </w:p>
          <w:p w14:paraId="4B74846E"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Securing event sponsorship and liaising with media, where appropriate; </w:t>
            </w:r>
          </w:p>
          <w:p w14:paraId="5009448E"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Preparing project conference and workshop agendas and inputs in collaboration with respective partners and event committees, and preparing event scripts; </w:t>
            </w:r>
          </w:p>
          <w:p w14:paraId="0E97D833"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Liaising with and guiding lead session coordinators, setting out objectives and expected outcomes of event sessions/plenaries/roundtables/seminars etc.; </w:t>
            </w:r>
          </w:p>
          <w:p w14:paraId="724DE37B"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Preparing post‐event content and evaluation reports and compiling event presentations and other knowledge content to the project website; and</w:t>
            </w:r>
          </w:p>
          <w:p w14:paraId="311CE669" w14:textId="77777777" w:rsidR="00BB462C" w:rsidRDefault="00BB462C" w:rsidP="00BB462C">
            <w:pPr>
              <w:numPr>
                <w:ilvl w:val="1"/>
                <w:numId w:val="89"/>
              </w:numPr>
              <w:rPr>
                <w:rFonts w:asciiTheme="minorHAnsi" w:hAnsiTheme="minorHAnsi" w:cstheme="minorHAnsi"/>
                <w:sz w:val="22"/>
                <w:szCs w:val="22"/>
              </w:rPr>
            </w:pPr>
            <w:r>
              <w:rPr>
                <w:rFonts w:asciiTheme="minorHAnsi" w:hAnsiTheme="minorHAnsi" w:cstheme="minorHAnsi"/>
                <w:color w:val="000000"/>
                <w:sz w:val="22"/>
                <w:szCs w:val="22"/>
              </w:rPr>
              <w:t xml:space="preserve">Following up with event participants six months and one year afterwards to monitor implementation of agreed follow‐up actions </w:t>
            </w:r>
          </w:p>
          <w:p w14:paraId="3CC02662"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Supporting project knowledge management and communications efforts, in part by: </w:t>
            </w:r>
          </w:p>
          <w:p w14:paraId="328D4815" w14:textId="77777777" w:rsidR="00BB462C" w:rsidRDefault="00BB462C" w:rsidP="00BB462C">
            <w:pPr>
              <w:numPr>
                <w:ilvl w:val="1"/>
                <w:numId w:val="90"/>
              </w:numPr>
              <w:rPr>
                <w:rFonts w:asciiTheme="minorHAnsi" w:hAnsiTheme="minorHAnsi" w:cstheme="minorHAnsi"/>
                <w:sz w:val="22"/>
                <w:szCs w:val="22"/>
              </w:rPr>
            </w:pPr>
            <w:r>
              <w:rPr>
                <w:rFonts w:asciiTheme="minorHAnsi" w:hAnsiTheme="minorHAnsi" w:cstheme="minorHAnsi"/>
                <w:color w:val="000000"/>
                <w:sz w:val="22"/>
                <w:szCs w:val="22"/>
              </w:rPr>
              <w:t>Working with the project technical team to manage the project’s content repository, such as GEF project documents and archives;</w:t>
            </w:r>
          </w:p>
          <w:p w14:paraId="7113163B" w14:textId="77777777" w:rsidR="00BB462C" w:rsidRDefault="00BB462C" w:rsidP="00BB462C">
            <w:pPr>
              <w:numPr>
                <w:ilvl w:val="1"/>
                <w:numId w:val="90"/>
              </w:numPr>
              <w:rPr>
                <w:rFonts w:asciiTheme="minorHAnsi" w:hAnsiTheme="minorHAnsi" w:cstheme="minorHAnsi"/>
                <w:sz w:val="22"/>
                <w:szCs w:val="22"/>
              </w:rPr>
            </w:pPr>
            <w:r>
              <w:rPr>
                <w:rFonts w:asciiTheme="minorHAnsi" w:hAnsiTheme="minorHAnsi" w:cstheme="minorHAnsi"/>
                <w:color w:val="000000"/>
                <w:sz w:val="22"/>
                <w:szCs w:val="22"/>
              </w:rPr>
              <w:lastRenderedPageBreak/>
              <w:t xml:space="preserve">Working with the project’s technical support team to improve the project’s website to make it more dynamic, navigable, searchable and intuitive, and ensuring information is easily accessible. Ensuring website content is current and timely; </w:t>
            </w:r>
          </w:p>
          <w:p w14:paraId="0448D604" w14:textId="77777777" w:rsidR="00BB462C" w:rsidRDefault="00BB462C" w:rsidP="00BB462C">
            <w:pPr>
              <w:numPr>
                <w:ilvl w:val="1"/>
                <w:numId w:val="90"/>
              </w:numPr>
              <w:rPr>
                <w:rFonts w:asciiTheme="minorHAnsi" w:hAnsiTheme="minorHAnsi" w:cstheme="minorHAnsi"/>
                <w:sz w:val="22"/>
                <w:szCs w:val="22"/>
              </w:rPr>
            </w:pPr>
            <w:r>
              <w:rPr>
                <w:rFonts w:asciiTheme="minorHAnsi" w:hAnsiTheme="minorHAnsi" w:cstheme="minorHAnsi"/>
                <w:color w:val="000000"/>
                <w:sz w:val="22"/>
                <w:szCs w:val="22"/>
              </w:rPr>
              <w:t xml:space="preserve">Providing programmatic support to the technical support team in conducting information and communication training to GEF projects; </w:t>
            </w:r>
          </w:p>
          <w:p w14:paraId="7946FF3D" w14:textId="77777777" w:rsidR="00BB462C" w:rsidRDefault="00BB462C">
            <w:pPr>
              <w:rPr>
                <w:rFonts w:asciiTheme="minorHAnsi" w:hAnsiTheme="minorHAnsi" w:cstheme="minorHAnsi"/>
                <w:i/>
                <w:color w:val="000000"/>
                <w:sz w:val="22"/>
                <w:szCs w:val="22"/>
                <w:u w:val="single"/>
              </w:rPr>
            </w:pPr>
            <w:r>
              <w:rPr>
                <w:rFonts w:asciiTheme="minorHAnsi" w:hAnsiTheme="minorHAnsi" w:cstheme="minorHAnsi"/>
                <w:i/>
                <w:color w:val="000000"/>
                <w:sz w:val="22"/>
                <w:szCs w:val="22"/>
                <w:u w:val="single"/>
              </w:rPr>
              <w:t>Competencies</w:t>
            </w:r>
          </w:p>
          <w:p w14:paraId="33BAB24F"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Demonstrated experience in support to local, national and international organizations, including support to non‐profits and NGOs; </w:t>
            </w:r>
          </w:p>
          <w:p w14:paraId="1C5750F3"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Familiarity with or, ideally, work experience in GEF International Waters recipient countries and/or with donors or related NGOs; </w:t>
            </w:r>
          </w:p>
          <w:p w14:paraId="5CC9425B"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Demonstrated capacity in implementing knowledge sharing strategies and plans; </w:t>
            </w:r>
          </w:p>
          <w:p w14:paraId="30039339"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Excellent coordination and facilitation skills; </w:t>
            </w:r>
          </w:p>
          <w:p w14:paraId="1433B658"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Excellent analytical, reporting, writing, editing, and oral communication skills in English; </w:t>
            </w:r>
          </w:p>
          <w:p w14:paraId="1EE71022"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High attention to detail and ability to work under tight deadlines; </w:t>
            </w:r>
          </w:p>
          <w:p w14:paraId="2162AABD"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Displays cultural, gender, religion, race, nationality and age sensitivity and adaptability; </w:t>
            </w:r>
          </w:p>
          <w:p w14:paraId="613CEBF3"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Promotes the vision, mission, and strategic goals of UNDP and UNEP; </w:t>
            </w:r>
          </w:p>
          <w:p w14:paraId="7934BA91"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Familiarity with UNDP, UNEP and GEF rules and procedures is an advantage; and </w:t>
            </w:r>
          </w:p>
          <w:p w14:paraId="76E63F17" w14:textId="77777777" w:rsidR="00BB462C" w:rsidRDefault="00BB462C" w:rsidP="00BB462C">
            <w:pPr>
              <w:numPr>
                <w:ilvl w:val="0"/>
                <w:numId w:val="88"/>
              </w:numPr>
              <w:rPr>
                <w:rFonts w:asciiTheme="minorHAnsi" w:hAnsiTheme="minorHAnsi" w:cstheme="minorHAnsi"/>
                <w:sz w:val="22"/>
                <w:szCs w:val="22"/>
              </w:rPr>
            </w:pPr>
            <w:r>
              <w:rPr>
                <w:rFonts w:asciiTheme="minorHAnsi" w:hAnsiTheme="minorHAnsi" w:cstheme="minorHAnsi"/>
                <w:color w:val="000000"/>
                <w:sz w:val="22"/>
                <w:szCs w:val="22"/>
              </w:rPr>
              <w:t xml:space="preserve">Proficient in an additional official UN language is an asset. </w:t>
            </w:r>
          </w:p>
          <w:p w14:paraId="7A0F3D47" w14:textId="77777777" w:rsidR="00BB462C" w:rsidRDefault="00BB462C">
            <w:pPr>
              <w:ind w:firstLine="103"/>
              <w:rPr>
                <w:rFonts w:asciiTheme="minorHAnsi" w:hAnsiTheme="minorHAnsi" w:cstheme="minorHAnsi"/>
                <w:i/>
                <w:color w:val="000000"/>
                <w:sz w:val="22"/>
                <w:szCs w:val="22"/>
                <w:u w:val="single"/>
              </w:rPr>
            </w:pPr>
            <w:r>
              <w:rPr>
                <w:rFonts w:asciiTheme="minorHAnsi" w:hAnsiTheme="minorHAnsi" w:cstheme="minorHAnsi"/>
                <w:i/>
                <w:color w:val="000000"/>
                <w:sz w:val="22"/>
                <w:szCs w:val="22"/>
                <w:u w:val="single"/>
              </w:rPr>
              <w:t>Qualifications</w:t>
            </w:r>
          </w:p>
          <w:p w14:paraId="35AECA99" w14:textId="77777777" w:rsidR="00BB462C" w:rsidRDefault="00BB462C" w:rsidP="00BB462C">
            <w:pPr>
              <w:numPr>
                <w:ilvl w:val="0"/>
                <w:numId w:val="91"/>
              </w:numPr>
              <w:ind w:left="386"/>
              <w:rPr>
                <w:rFonts w:asciiTheme="minorHAnsi" w:hAnsiTheme="minorHAnsi" w:cstheme="minorHAnsi"/>
                <w:sz w:val="22"/>
                <w:szCs w:val="22"/>
              </w:rPr>
            </w:pPr>
            <w:r>
              <w:rPr>
                <w:rFonts w:asciiTheme="minorHAnsi" w:hAnsiTheme="minorHAnsi" w:cstheme="minorHAnsi"/>
                <w:color w:val="000000"/>
                <w:sz w:val="22"/>
                <w:szCs w:val="22"/>
              </w:rPr>
              <w:t xml:space="preserve">More than four years of experience in project management, information and knowledge management, including planning, design, preparation and delivery of knowledge management strategies and services; </w:t>
            </w:r>
          </w:p>
          <w:p w14:paraId="0D9F2886" w14:textId="77777777" w:rsidR="00BB462C" w:rsidRDefault="00BB462C" w:rsidP="00BB462C">
            <w:pPr>
              <w:numPr>
                <w:ilvl w:val="0"/>
                <w:numId w:val="91"/>
              </w:numPr>
              <w:ind w:left="386"/>
              <w:rPr>
                <w:rFonts w:asciiTheme="minorHAnsi" w:hAnsiTheme="minorHAnsi" w:cstheme="minorHAnsi"/>
                <w:sz w:val="22"/>
                <w:szCs w:val="22"/>
              </w:rPr>
            </w:pPr>
            <w:r>
              <w:rPr>
                <w:rFonts w:asciiTheme="minorHAnsi" w:hAnsiTheme="minorHAnsi" w:cstheme="minorHAnsi"/>
                <w:color w:val="000000"/>
                <w:sz w:val="22"/>
                <w:szCs w:val="22"/>
              </w:rPr>
              <w:t xml:space="preserve">Advanced degree in environmental management or science, international relations, information management, communications, economics, development studies or related fields, or equivalent demonstrated experience; </w:t>
            </w:r>
          </w:p>
          <w:p w14:paraId="2DE26776" w14:textId="77777777" w:rsidR="00BB462C" w:rsidRDefault="00BB462C" w:rsidP="00BB462C">
            <w:pPr>
              <w:numPr>
                <w:ilvl w:val="0"/>
                <w:numId w:val="91"/>
              </w:numPr>
              <w:ind w:left="386"/>
              <w:rPr>
                <w:rFonts w:asciiTheme="minorHAnsi" w:hAnsiTheme="minorHAnsi" w:cstheme="minorHAnsi"/>
                <w:sz w:val="22"/>
                <w:szCs w:val="22"/>
              </w:rPr>
            </w:pPr>
            <w:r>
              <w:rPr>
                <w:rFonts w:asciiTheme="minorHAnsi" w:hAnsiTheme="minorHAnsi" w:cstheme="minorHAnsi"/>
                <w:color w:val="000000"/>
                <w:sz w:val="22"/>
                <w:szCs w:val="22"/>
              </w:rPr>
              <w:t xml:space="preserve">Experience in capacity‐development and/or knowledge management, including planning, design, preparation and delivery of capacity‐development programs or activities, experience with application of knowledge management approaches and services, in particular with the synthesis of lessons‐learned and their dissemination. </w:t>
            </w:r>
          </w:p>
        </w:tc>
      </w:tr>
      <w:tr w:rsidR="00BB462C" w:rsidRPr="00BB462C" w14:paraId="653FF463" w14:textId="77777777" w:rsidTr="00BB462C">
        <w:tc>
          <w:tcPr>
            <w:tcW w:w="1633" w:type="dxa"/>
            <w:tcBorders>
              <w:top w:val="single" w:sz="4" w:space="0" w:color="000000"/>
              <w:left w:val="single" w:sz="4" w:space="0" w:color="000000"/>
              <w:bottom w:val="single" w:sz="4" w:space="0" w:color="000000"/>
              <w:right w:val="single" w:sz="4" w:space="0" w:color="000000"/>
            </w:tcBorders>
          </w:tcPr>
          <w:p w14:paraId="7F15A846" w14:textId="77777777" w:rsidR="00BB462C" w:rsidRDefault="00BB462C">
            <w:pPr>
              <w:rPr>
                <w:rFonts w:asciiTheme="minorHAnsi" w:hAnsiTheme="minorHAnsi" w:cstheme="minorHAnsi"/>
                <w:b/>
                <w:bCs/>
                <w:i/>
                <w:sz w:val="22"/>
                <w:szCs w:val="22"/>
              </w:rPr>
            </w:pPr>
            <w:r>
              <w:rPr>
                <w:rFonts w:asciiTheme="minorHAnsi" w:hAnsiTheme="minorHAnsi" w:cstheme="minorHAnsi"/>
                <w:b/>
                <w:bCs/>
                <w:i/>
                <w:sz w:val="22"/>
                <w:szCs w:val="22"/>
              </w:rPr>
              <w:lastRenderedPageBreak/>
              <w:t>Project Finance and Administrative officer</w:t>
            </w:r>
          </w:p>
          <w:p w14:paraId="7CE57B70" w14:textId="77777777" w:rsidR="00BB462C" w:rsidRDefault="00BB462C">
            <w:pPr>
              <w:rPr>
                <w:rFonts w:asciiTheme="minorHAnsi" w:hAnsiTheme="minorHAnsi" w:cstheme="minorHAnsi"/>
                <w:i/>
                <w:sz w:val="22"/>
                <w:szCs w:val="22"/>
              </w:rPr>
            </w:pPr>
          </w:p>
        </w:tc>
        <w:tc>
          <w:tcPr>
            <w:tcW w:w="1560" w:type="dxa"/>
            <w:tcBorders>
              <w:top w:val="single" w:sz="4" w:space="0" w:color="000000"/>
              <w:left w:val="single" w:sz="4" w:space="0" w:color="000000"/>
              <w:bottom w:val="single" w:sz="4" w:space="0" w:color="000000"/>
              <w:right w:val="single" w:sz="4" w:space="0" w:color="000000"/>
            </w:tcBorders>
            <w:hideMark/>
          </w:tcPr>
          <w:p w14:paraId="0ABD7B31" w14:textId="77777777" w:rsidR="00BB462C" w:rsidRDefault="00BB462C">
            <w:pPr>
              <w:rPr>
                <w:rFonts w:asciiTheme="minorHAnsi" w:hAnsiTheme="minorHAnsi" w:cstheme="minorHAnsi"/>
                <w:i/>
                <w:sz w:val="22"/>
                <w:szCs w:val="22"/>
              </w:rPr>
            </w:pPr>
            <w:r>
              <w:rPr>
                <w:rFonts w:asciiTheme="minorHAnsi" w:hAnsiTheme="minorHAnsi" w:cstheme="minorHAnsi"/>
                <w:i/>
                <w:sz w:val="22"/>
                <w:szCs w:val="22"/>
              </w:rPr>
              <w:t>208 weeks / over 4 years</w:t>
            </w:r>
          </w:p>
        </w:tc>
        <w:tc>
          <w:tcPr>
            <w:tcW w:w="11346" w:type="dxa"/>
            <w:tcBorders>
              <w:top w:val="single" w:sz="4" w:space="0" w:color="000000"/>
              <w:left w:val="single" w:sz="4" w:space="0" w:color="000000"/>
              <w:bottom w:val="single" w:sz="4" w:space="0" w:color="000000"/>
              <w:right w:val="single" w:sz="4" w:space="0" w:color="000000"/>
            </w:tcBorders>
          </w:tcPr>
          <w:p w14:paraId="222BB1E3" w14:textId="77777777" w:rsidR="00BB462C" w:rsidRDefault="00BB462C">
            <w:pPr>
              <w:rPr>
                <w:rFonts w:asciiTheme="minorHAnsi" w:hAnsiTheme="minorHAnsi" w:cstheme="minorHAnsi"/>
                <w:i/>
                <w:sz w:val="22"/>
                <w:szCs w:val="22"/>
                <w:u w:val="single"/>
              </w:rPr>
            </w:pPr>
            <w:r>
              <w:rPr>
                <w:rFonts w:asciiTheme="minorHAnsi" w:hAnsiTheme="minorHAnsi" w:cstheme="minorHAnsi"/>
                <w:i/>
                <w:sz w:val="22"/>
                <w:szCs w:val="22"/>
              </w:rPr>
              <w:t>Project Finance and Administrative officer will support the Project coordinator in the overall implementation of the project, under the guidance and supervision of the Project coordinator</w:t>
            </w:r>
          </w:p>
          <w:p w14:paraId="015415F4" w14:textId="77777777" w:rsidR="00BB462C" w:rsidRDefault="00BB462C">
            <w:pPr>
              <w:rPr>
                <w:rFonts w:asciiTheme="minorHAnsi" w:hAnsiTheme="minorHAnsi" w:cstheme="minorHAnsi"/>
                <w:i/>
                <w:sz w:val="22"/>
                <w:szCs w:val="22"/>
                <w:u w:val="single"/>
              </w:rPr>
            </w:pPr>
            <w:r>
              <w:rPr>
                <w:rFonts w:asciiTheme="minorHAnsi" w:hAnsiTheme="minorHAnsi" w:cstheme="minorHAnsi"/>
                <w:i/>
                <w:sz w:val="22"/>
                <w:szCs w:val="22"/>
                <w:u w:val="single"/>
              </w:rPr>
              <w:t>Duties and Responsibilities</w:t>
            </w:r>
          </w:p>
          <w:p w14:paraId="11DAE5DE" w14:textId="77777777" w:rsidR="00BB462C" w:rsidRDefault="00BB462C">
            <w:pPr>
              <w:rPr>
                <w:rFonts w:asciiTheme="minorHAnsi" w:hAnsiTheme="minorHAnsi" w:cstheme="minorHAnsi"/>
                <w:i/>
                <w:sz w:val="22"/>
                <w:szCs w:val="22"/>
                <w:u w:val="single"/>
              </w:rPr>
            </w:pPr>
          </w:p>
          <w:p w14:paraId="15B14048" w14:textId="77777777" w:rsidR="00BB462C" w:rsidRDefault="00BB462C">
            <w:pPr>
              <w:rPr>
                <w:rFonts w:asciiTheme="minorHAnsi" w:hAnsiTheme="minorHAnsi" w:cstheme="minorHAnsi"/>
                <w:b/>
                <w:bCs/>
                <w:i/>
                <w:sz w:val="22"/>
                <w:szCs w:val="22"/>
                <w:u w:val="single"/>
              </w:rPr>
            </w:pPr>
            <w:r>
              <w:rPr>
                <w:rFonts w:asciiTheme="minorHAnsi" w:hAnsiTheme="minorHAnsi" w:cstheme="minorHAnsi"/>
                <w:b/>
                <w:bCs/>
                <w:i/>
                <w:sz w:val="22"/>
                <w:szCs w:val="22"/>
              </w:rPr>
              <w:t>Project management (10% of the time, charged to the PMC budget)</w:t>
            </w:r>
          </w:p>
          <w:p w14:paraId="4BFBC5D6"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Support the Project coordinator in the day‐to‐day implementation of IW:LEARN5’s work plan and budget based on the Project Documents. </w:t>
            </w:r>
          </w:p>
          <w:p w14:paraId="14E1835D"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lastRenderedPageBreak/>
              <w:t xml:space="preserve">Apply his/her skillset to maintain the project’s overall integrity and coherence; </w:t>
            </w:r>
          </w:p>
          <w:p w14:paraId="2A795610"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Handle all administrative (contractual, organizational and logistical) and all accounting (disbursements, record‐keeping, cash management) matters under the project, by: </w:t>
            </w:r>
          </w:p>
          <w:p w14:paraId="0BE75E09"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Organizing control of budget expenditures by preparing payment documents and compiling financial annual reports. </w:t>
            </w:r>
          </w:p>
          <w:p w14:paraId="460F37EA"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Ensuring full compliance of financial processes and financial records with UNDP and UNEP and Executing Agency rules, regulations, policies and strategies as well as with project specific requirements (as communicated with the PC); </w:t>
            </w:r>
          </w:p>
          <w:p w14:paraId="50E0F222"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Organizing and coordinating the procurement of services and goods under the project, with the Project coordinator/Deputy Project coordinator; </w:t>
            </w:r>
          </w:p>
          <w:p w14:paraId="60B5F24B"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Ensuring all project financial activities are carried out on schedule and activities are within budget, with the Project coordinator;</w:t>
            </w:r>
          </w:p>
          <w:p w14:paraId="3F1D0F52"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Reviewing contract deliverables and payment schedules for all Partners and contractors and notify them and the PC of any upcoming or past deadlines for invoices, etc.;</w:t>
            </w:r>
          </w:p>
          <w:p w14:paraId="58E1A217"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Preparing budget revisions with the Project coordinator and Project Steering Committee; </w:t>
            </w:r>
          </w:p>
          <w:p w14:paraId="63143C5F"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Managing all project shipping matters, including liaising with appropriate channels, national governments and agencies on custom and duty charges; </w:t>
            </w:r>
          </w:p>
          <w:p w14:paraId="1A5CF78F"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Ensuring project tender selection of suppliers of services/goods is in accordance with UNDP and UNEP requirements and procedures; </w:t>
            </w:r>
          </w:p>
          <w:p w14:paraId="7B91E3C4"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Ensuring the project utilizes available financial resources in an efficient and transparent manner, with the Project coordinator; </w:t>
            </w:r>
          </w:p>
          <w:p w14:paraId="26DBC699"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Acting on telephone inquiries, fax, post and e‐mail transmissions, and coordinating appointments, where necessary; </w:t>
            </w:r>
          </w:p>
          <w:p w14:paraId="585EA0BD"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 xml:space="preserve">Support the Project coordinator in monitoring the progress of the project activities (including through regular update of a project shadow budget mapped from executing agency budget codes), and in ensuring compliance with applicable procedures; </w:t>
            </w:r>
          </w:p>
          <w:p w14:paraId="4149659A"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Monitor co‐finance contributions from partner institutions;</w:t>
            </w:r>
          </w:p>
          <w:p w14:paraId="37CB90D9" w14:textId="77777777" w:rsidR="00BB462C" w:rsidRDefault="00BB462C" w:rsidP="00BB462C">
            <w:pPr>
              <w:numPr>
                <w:ilvl w:val="1"/>
                <w:numId w:val="92"/>
              </w:numPr>
              <w:rPr>
                <w:rFonts w:asciiTheme="minorHAnsi" w:hAnsiTheme="minorHAnsi" w:cstheme="minorHAnsi"/>
                <w:sz w:val="22"/>
                <w:szCs w:val="22"/>
              </w:rPr>
            </w:pPr>
            <w:r>
              <w:rPr>
                <w:rFonts w:asciiTheme="minorHAnsi" w:hAnsiTheme="minorHAnsi" w:cstheme="minorHAnsi"/>
                <w:color w:val="000000"/>
                <w:sz w:val="22"/>
                <w:szCs w:val="22"/>
              </w:rPr>
              <w:t>Present budget reporting to the Project Steering Committee, as instructed by the Project coordinator.</w:t>
            </w:r>
          </w:p>
          <w:p w14:paraId="1780AEC0" w14:textId="77777777" w:rsidR="00BB462C" w:rsidRDefault="00BB462C">
            <w:pPr>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Technical Support to Project Activities (30% of the time)</w:t>
            </w:r>
          </w:p>
          <w:p w14:paraId="3EBCAE07" w14:textId="77777777" w:rsidR="00BB462C" w:rsidRDefault="00BB462C" w:rsidP="00BB462C">
            <w:pPr>
              <w:numPr>
                <w:ilvl w:val="0"/>
                <w:numId w:val="88"/>
              </w:numPr>
              <w:rPr>
                <w:rFonts w:asciiTheme="minorHAnsi" w:hAnsiTheme="minorHAnsi" w:cstheme="minorHAnsi"/>
                <w:color w:val="000000" w:themeColor="text1"/>
                <w:sz w:val="22"/>
                <w:szCs w:val="22"/>
              </w:rPr>
            </w:pPr>
            <w:r>
              <w:rPr>
                <w:rFonts w:asciiTheme="minorHAnsi" w:eastAsia="Noto Sans Symbols" w:hAnsiTheme="minorHAnsi" w:cstheme="minorHAnsi"/>
                <w:color w:val="000000" w:themeColor="text1"/>
                <w:sz w:val="22"/>
                <w:szCs w:val="22"/>
              </w:rPr>
              <w:t>S</w:t>
            </w:r>
            <w:r>
              <w:rPr>
                <w:rFonts w:asciiTheme="minorHAnsi" w:hAnsiTheme="minorHAnsi" w:cstheme="minorHAnsi"/>
                <w:color w:val="000000" w:themeColor="text1"/>
                <w:sz w:val="22"/>
                <w:szCs w:val="22"/>
              </w:rPr>
              <w:t xml:space="preserve">erve as the lead assistant to provide technical support for implementation of all face-to-face events in </w:t>
            </w:r>
            <w:r>
              <w:rPr>
                <w:rFonts w:asciiTheme="minorHAnsi" w:hAnsiTheme="minorHAnsi" w:cstheme="minorHAnsi"/>
                <w:b/>
                <w:bCs/>
                <w:color w:val="000000" w:themeColor="text1"/>
                <w:sz w:val="22"/>
                <w:szCs w:val="22"/>
              </w:rPr>
              <w:t>Component 1 (Training/Dialogue/IWC), Component 2 (Data and Information) and Component 3 (SIDS)</w:t>
            </w:r>
            <w:r>
              <w:rPr>
                <w:rFonts w:asciiTheme="minorHAnsi" w:hAnsiTheme="minorHAnsi" w:cstheme="minorHAnsi"/>
                <w:color w:val="000000" w:themeColor="text1"/>
                <w:sz w:val="22"/>
                <w:szCs w:val="22"/>
              </w:rPr>
              <w:t xml:space="preserve"> under the lead to the Deputy Project Manager, where appropriate, by: </w:t>
            </w:r>
          </w:p>
          <w:p w14:paraId="676D17CF"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Maintaining participant databases and registrations; </w:t>
            </w:r>
          </w:p>
          <w:p w14:paraId="5F375529"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Preparing and sending logistical communications to participants; answering information queries; keeping event websites current and producing and distributing event promotional materials to appropriate audiences; </w:t>
            </w:r>
          </w:p>
          <w:p w14:paraId="68CAF47D"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Liaising with event venues on event requirements, arrangements, equipment etc.; </w:t>
            </w:r>
          </w:p>
          <w:p w14:paraId="4D123D25"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Preparing event procurement negotiations;</w:t>
            </w:r>
          </w:p>
          <w:p w14:paraId="4FC09732"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Working with the admin/finance office to arrange travel as necessary;</w:t>
            </w:r>
          </w:p>
          <w:p w14:paraId="2A754271"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Preparing thank you letters to host countries, agencies, speakers, presenters, participants and others, as necessary;  </w:t>
            </w:r>
          </w:p>
          <w:p w14:paraId="6F82A464"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Preparing post‐event content and evaluation reports and compiling event presentations and other knowledge content to the project website; and</w:t>
            </w:r>
          </w:p>
          <w:p w14:paraId="01E98B24" w14:textId="77777777" w:rsidR="00BB462C" w:rsidRDefault="00BB462C" w:rsidP="00BB462C">
            <w:pPr>
              <w:numPr>
                <w:ilvl w:val="1"/>
                <w:numId w:val="8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Following up with event participants six months and one year afterwards to monitor implementation of agreed follow‐up actions </w:t>
            </w:r>
          </w:p>
          <w:p w14:paraId="778B8C76" w14:textId="77777777" w:rsidR="00BB462C" w:rsidRDefault="00BB462C" w:rsidP="00BB462C">
            <w:pPr>
              <w:numPr>
                <w:ilvl w:val="0"/>
                <w:numId w:val="8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Supporting project knowledge management and communications efforts, in part by: </w:t>
            </w:r>
          </w:p>
          <w:p w14:paraId="3F988767" w14:textId="77777777" w:rsidR="00BB462C" w:rsidRDefault="00BB462C" w:rsidP="00BB462C">
            <w:pPr>
              <w:numPr>
                <w:ilvl w:val="1"/>
                <w:numId w:val="9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Maintaining event pages for all face-to-face events on the project website</w:t>
            </w:r>
          </w:p>
          <w:p w14:paraId="598F40A0" w14:textId="77777777" w:rsidR="00BB462C" w:rsidRDefault="00BB462C" w:rsidP="00BB462C">
            <w:pPr>
              <w:numPr>
                <w:ilvl w:val="1"/>
                <w:numId w:val="9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Helping to support face-to-face event implementation with outreach material preparation</w:t>
            </w:r>
          </w:p>
          <w:p w14:paraId="67AF1B88" w14:textId="77777777" w:rsidR="00BB462C" w:rsidRDefault="00BB462C">
            <w:pPr>
              <w:rPr>
                <w:rFonts w:asciiTheme="minorHAnsi" w:hAnsiTheme="minorHAnsi" w:cstheme="minorHAnsi"/>
                <w:b/>
                <w:bCs/>
                <w:sz w:val="22"/>
                <w:szCs w:val="22"/>
              </w:rPr>
            </w:pPr>
          </w:p>
          <w:p w14:paraId="43C00F57" w14:textId="77777777" w:rsidR="00BB462C" w:rsidRDefault="00BB462C">
            <w:pPr>
              <w:rPr>
                <w:rFonts w:asciiTheme="minorHAnsi" w:hAnsiTheme="minorHAnsi" w:cstheme="minorHAnsi"/>
                <w:i/>
                <w:color w:val="000000"/>
                <w:sz w:val="22"/>
                <w:szCs w:val="22"/>
              </w:rPr>
            </w:pPr>
            <w:r>
              <w:rPr>
                <w:rFonts w:asciiTheme="minorHAnsi" w:hAnsiTheme="minorHAnsi" w:cstheme="minorHAnsi"/>
                <w:b/>
                <w:bCs/>
                <w:i/>
                <w:color w:val="000000"/>
                <w:sz w:val="22"/>
                <w:szCs w:val="22"/>
              </w:rPr>
              <w:t>Logistical Support to the Project Technical Activities (60% of the time - 18% Each Component)</w:t>
            </w:r>
          </w:p>
          <w:p w14:paraId="3A195BC4" w14:textId="77777777" w:rsidR="00BB462C" w:rsidRDefault="00BB462C" w:rsidP="00BB462C">
            <w:pPr>
              <w:pStyle w:val="ListParagraph"/>
              <w:numPr>
                <w:ilvl w:val="0"/>
                <w:numId w:val="93"/>
              </w:numPr>
              <w:contextualSpacing w:val="0"/>
              <w:rPr>
                <w:rFonts w:asciiTheme="minorHAnsi" w:hAnsiTheme="minorHAnsi" w:cstheme="minorHAnsi"/>
                <w:sz w:val="22"/>
                <w:szCs w:val="22"/>
              </w:rPr>
            </w:pPr>
            <w:r>
              <w:rPr>
                <w:rFonts w:asciiTheme="minorHAnsi" w:hAnsiTheme="minorHAnsi" w:cstheme="minorHAnsi"/>
                <w:color w:val="000000"/>
                <w:sz w:val="22"/>
                <w:szCs w:val="22"/>
              </w:rPr>
              <w:t>Coordinating project and event participant mission travel: air other transportation reservations and ticket acquisition; baggage; accommodations; Daily Subsistence Allowance (DSA); Visa support; and any other logistical issues that may arise;</w:t>
            </w:r>
          </w:p>
          <w:p w14:paraId="79E23BE7"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Support other members of the Project Coordinating Unit to ensure project outputs are achieved as identified in the UNDP Project Documents and as advised and instructed by the Project coordinator. Such support would particularly focus on assisting the Project coordinator and Deputy Project coordinator with the production of project outreach and marketing materials. </w:t>
            </w:r>
          </w:p>
          <w:p w14:paraId="7720F49E" w14:textId="77777777" w:rsidR="00BB462C" w:rsidRDefault="00BB462C" w:rsidP="00BB462C">
            <w:pPr>
              <w:numPr>
                <w:ilvl w:val="0"/>
                <w:numId w:val="92"/>
              </w:numPr>
              <w:spacing w:line="254" w:lineRule="auto"/>
              <w:rPr>
                <w:rFonts w:asciiTheme="minorHAnsi" w:hAnsiTheme="minorHAnsi" w:cstheme="minorHAnsi"/>
                <w:sz w:val="22"/>
                <w:szCs w:val="22"/>
              </w:rPr>
            </w:pPr>
            <w:r>
              <w:rPr>
                <w:rFonts w:asciiTheme="minorHAnsi" w:hAnsiTheme="minorHAnsi" w:cstheme="minorHAnsi"/>
                <w:sz w:val="22"/>
                <w:szCs w:val="22"/>
              </w:rPr>
              <w:t>Ensure all project documentation (progress reports, consulting and other technical reports, minutes of meetings, etc.) are properly maintained in hard and electronic copies in an efficient and readily accessible filing system, for when required by PB, TAC, UNDP, UNEP, project consultants and other PCU staff;</w:t>
            </w:r>
          </w:p>
          <w:p w14:paraId="46553A39" w14:textId="77777777" w:rsidR="00BB462C" w:rsidRDefault="00BB462C">
            <w:pPr>
              <w:spacing w:line="254" w:lineRule="auto"/>
              <w:ind w:left="812"/>
              <w:rPr>
                <w:rFonts w:asciiTheme="minorHAnsi" w:hAnsiTheme="minorHAnsi" w:cstheme="minorHAnsi"/>
                <w:sz w:val="22"/>
                <w:szCs w:val="22"/>
              </w:rPr>
            </w:pPr>
          </w:p>
          <w:p w14:paraId="4EA77B0B" w14:textId="77777777" w:rsidR="00BB462C" w:rsidRDefault="00BB462C">
            <w:pPr>
              <w:spacing w:line="254" w:lineRule="auto"/>
              <w:rPr>
                <w:rFonts w:asciiTheme="minorHAnsi" w:hAnsiTheme="minorHAnsi" w:cstheme="minorHAnsi"/>
                <w:i/>
                <w:sz w:val="22"/>
                <w:szCs w:val="22"/>
                <w:u w:val="single"/>
              </w:rPr>
            </w:pPr>
          </w:p>
          <w:p w14:paraId="0A2822C6" w14:textId="77777777" w:rsidR="00BB462C" w:rsidRDefault="00BB462C">
            <w:pPr>
              <w:spacing w:line="254" w:lineRule="auto"/>
              <w:rPr>
                <w:rFonts w:asciiTheme="minorHAnsi" w:hAnsiTheme="minorHAnsi" w:cstheme="minorHAnsi"/>
                <w:sz w:val="22"/>
                <w:szCs w:val="22"/>
              </w:rPr>
            </w:pPr>
            <w:r>
              <w:rPr>
                <w:rFonts w:asciiTheme="minorHAnsi" w:hAnsiTheme="minorHAnsi" w:cstheme="minorHAnsi"/>
                <w:i/>
                <w:sz w:val="22"/>
                <w:szCs w:val="22"/>
                <w:u w:val="single"/>
              </w:rPr>
              <w:t>Competencies</w:t>
            </w:r>
          </w:p>
          <w:p w14:paraId="40CACE3C"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Demonstrated experience in financial/administrative support to local, national and international organizations, including support to non‐for‐profit </w:t>
            </w:r>
            <w:proofErr w:type="spellStart"/>
            <w:r>
              <w:rPr>
                <w:rFonts w:asciiTheme="minorHAnsi" w:hAnsiTheme="minorHAnsi" w:cstheme="minorHAnsi"/>
                <w:color w:val="000000"/>
                <w:sz w:val="22"/>
                <w:szCs w:val="22"/>
              </w:rPr>
              <w:t>organisations</w:t>
            </w:r>
            <w:proofErr w:type="spellEnd"/>
            <w:r>
              <w:rPr>
                <w:rFonts w:asciiTheme="minorHAnsi" w:hAnsiTheme="minorHAnsi" w:cstheme="minorHAnsi"/>
                <w:color w:val="000000"/>
                <w:sz w:val="22"/>
                <w:szCs w:val="22"/>
              </w:rPr>
              <w:t xml:space="preserve"> and NGOs; </w:t>
            </w:r>
          </w:p>
          <w:p w14:paraId="3F56B880"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Familiarity with or, ideally, work experience in GEF International Waters recipient countries and/or with donors or related NGOs; and/or financial and administrative management with an international funded multinational project; </w:t>
            </w:r>
          </w:p>
          <w:p w14:paraId="7CF0E522"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Excellent coordination and negotiation skills; </w:t>
            </w:r>
          </w:p>
          <w:p w14:paraId="40933300"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lastRenderedPageBreak/>
              <w:t xml:space="preserve">Excellent analytical, reporting, writing, editing, and oral communication skills in English; </w:t>
            </w:r>
          </w:p>
          <w:p w14:paraId="6A186555"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Demonstrated ability to conceptualize, analyze, compile and synthesize information in coherent and succinct formats; </w:t>
            </w:r>
          </w:p>
          <w:p w14:paraId="44F46205"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Demonstrated proficiency in use of office equipment with computer literacy in Microsoft Office, experience in financial management systems; </w:t>
            </w:r>
          </w:p>
          <w:p w14:paraId="6E61221F"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High attention to detail and ability to work under tight deadlines; </w:t>
            </w:r>
          </w:p>
          <w:p w14:paraId="1F66E3F8"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Displays cultural, gender, religion, race, nationality and age sensitivity and adaptability; </w:t>
            </w:r>
          </w:p>
          <w:p w14:paraId="4944595D"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Promotes the vision, mission, and strategic goals of UNDP and UNEP; and </w:t>
            </w:r>
          </w:p>
          <w:p w14:paraId="5E252E6F"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Proficient in an additional official UN language is an asset. </w:t>
            </w:r>
          </w:p>
          <w:p w14:paraId="53733682" w14:textId="77777777" w:rsidR="00BB462C" w:rsidRDefault="00BB462C">
            <w:pPr>
              <w:spacing w:line="254" w:lineRule="auto"/>
              <w:ind w:left="103"/>
              <w:rPr>
                <w:rFonts w:asciiTheme="minorHAnsi" w:hAnsiTheme="minorHAnsi" w:cstheme="minorHAnsi"/>
                <w:i/>
                <w:color w:val="000000"/>
                <w:sz w:val="22"/>
                <w:szCs w:val="22"/>
                <w:u w:val="single"/>
              </w:rPr>
            </w:pPr>
            <w:r>
              <w:rPr>
                <w:rFonts w:asciiTheme="minorHAnsi" w:hAnsiTheme="minorHAnsi" w:cstheme="minorHAnsi"/>
                <w:i/>
                <w:color w:val="000000"/>
                <w:sz w:val="22"/>
                <w:szCs w:val="22"/>
                <w:u w:val="single"/>
              </w:rPr>
              <w:t>Qualifications</w:t>
            </w:r>
          </w:p>
          <w:p w14:paraId="05FEFF6F"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At least three years of relevant work experience in administrative and financial support of office operating within international or foreign projects or organizations; </w:t>
            </w:r>
          </w:p>
          <w:p w14:paraId="2299EF83"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Degree in business administration, finance, communications or equivalent demonstrated experience; and </w:t>
            </w:r>
          </w:p>
          <w:p w14:paraId="0686322F" w14:textId="77777777" w:rsidR="00BB462C" w:rsidRDefault="00BB462C" w:rsidP="00BB462C">
            <w:pPr>
              <w:numPr>
                <w:ilvl w:val="0"/>
                <w:numId w:val="92"/>
              </w:numPr>
              <w:rPr>
                <w:rFonts w:asciiTheme="minorHAnsi" w:hAnsiTheme="minorHAnsi" w:cstheme="minorHAnsi"/>
                <w:sz w:val="22"/>
                <w:szCs w:val="22"/>
              </w:rPr>
            </w:pPr>
            <w:r>
              <w:rPr>
                <w:rFonts w:asciiTheme="minorHAnsi" w:hAnsiTheme="minorHAnsi" w:cstheme="minorHAnsi"/>
                <w:color w:val="000000"/>
                <w:sz w:val="22"/>
                <w:szCs w:val="22"/>
              </w:rPr>
              <w:t xml:space="preserve">An accredited general accounting designation is an asset. </w:t>
            </w:r>
          </w:p>
        </w:tc>
      </w:tr>
    </w:tbl>
    <w:p w14:paraId="48DCD8E4" w14:textId="77777777" w:rsidR="00796126" w:rsidRDefault="002B55C1" w:rsidP="002B55C1">
      <w:pPr>
        <w:spacing w:after="160" w:line="259" w:lineRule="auto"/>
        <w:sectPr w:rsidR="00796126" w:rsidSect="00796126">
          <w:pgSz w:w="16838" w:h="11906" w:orient="landscape"/>
          <w:pgMar w:top="1440" w:right="1440" w:bottom="1440" w:left="1440" w:header="706" w:footer="706" w:gutter="0"/>
          <w:cols w:space="708"/>
          <w:docGrid w:linePitch="360"/>
        </w:sectPr>
      </w:pPr>
      <w:r>
        <w:lastRenderedPageBreak/>
        <w:br w:type="page"/>
      </w:r>
    </w:p>
    <w:p w14:paraId="3F3F38A4" w14:textId="76057FFE" w:rsidR="002B55C1" w:rsidRPr="002B55C1" w:rsidRDefault="002B55C1" w:rsidP="002B55C1">
      <w:pPr>
        <w:spacing w:after="160" w:line="259" w:lineRule="auto"/>
      </w:pPr>
    </w:p>
    <w:p w14:paraId="25047A4C" w14:textId="5954D147" w:rsidR="002B55C1" w:rsidRDefault="002B55C1" w:rsidP="002B55C1">
      <w:pPr>
        <w:pStyle w:val="Heading2"/>
        <w:rPr>
          <w:rFonts w:asciiTheme="minorHAnsi" w:hAnsiTheme="minorHAnsi" w:cstheme="minorHAnsi"/>
          <w:b/>
          <w:bCs/>
          <w:color w:val="000000" w:themeColor="text1"/>
          <w:sz w:val="28"/>
          <w:szCs w:val="28"/>
        </w:rPr>
      </w:pPr>
      <w:bookmarkStart w:id="65" w:name="_Toc115094400"/>
      <w:r w:rsidRPr="002B55C1">
        <w:rPr>
          <w:rFonts w:asciiTheme="minorHAnsi" w:hAnsiTheme="minorHAnsi" w:cstheme="minorHAnsi"/>
          <w:b/>
          <w:bCs/>
          <w:color w:val="000000" w:themeColor="text1"/>
          <w:sz w:val="28"/>
          <w:szCs w:val="28"/>
        </w:rPr>
        <w:t>Annex 7: Stakeholder Engagement Plan</w:t>
      </w:r>
      <w:bookmarkEnd w:id="65"/>
    </w:p>
    <w:p w14:paraId="6BB726C8" w14:textId="77777777" w:rsidR="001627EC" w:rsidRDefault="001627EC" w:rsidP="001627EC">
      <w:pPr>
        <w:rPr>
          <w:rFonts w:asciiTheme="minorHAnsi" w:eastAsia="Calibri" w:hAnsiTheme="minorHAnsi" w:cs="Calibri"/>
          <w:b/>
          <w:sz w:val="22"/>
          <w:szCs w:val="22"/>
        </w:rPr>
      </w:pPr>
      <w:r>
        <w:rPr>
          <w:rFonts w:asciiTheme="minorHAnsi" w:eastAsia="Calibri" w:hAnsiTheme="minorHAnsi" w:cs="Calibri"/>
          <w:b/>
          <w:sz w:val="22"/>
          <w:szCs w:val="22"/>
        </w:rPr>
        <w:t>1.</w:t>
      </w:r>
      <w:r>
        <w:rPr>
          <w:rFonts w:asciiTheme="minorHAnsi" w:eastAsia="Calibri" w:hAnsiTheme="minorHAnsi" w:cs="Calibri"/>
          <w:b/>
          <w:sz w:val="22"/>
          <w:szCs w:val="22"/>
        </w:rPr>
        <w:tab/>
        <w:t>Introduction</w:t>
      </w:r>
    </w:p>
    <w:p w14:paraId="6C57CA4E" w14:textId="77777777" w:rsidR="001627EC" w:rsidRDefault="001627EC" w:rsidP="001627EC">
      <w:pPr>
        <w:rPr>
          <w:rFonts w:asciiTheme="minorHAnsi" w:eastAsia="Calibri" w:hAnsiTheme="minorHAnsi" w:cstheme="minorHAnsi"/>
          <w:sz w:val="22"/>
          <w:szCs w:val="22"/>
        </w:rPr>
      </w:pPr>
    </w:p>
    <w:p w14:paraId="7EF8F1B7" w14:textId="77777777" w:rsidR="001627EC" w:rsidRDefault="001627EC" w:rsidP="001627EC">
      <w:pPr>
        <w:rPr>
          <w:rFonts w:asciiTheme="minorHAnsi" w:eastAsia="Calibri" w:hAnsiTheme="minorHAnsi" w:cstheme="minorHAnsi"/>
          <w:sz w:val="22"/>
          <w:szCs w:val="22"/>
        </w:rPr>
      </w:pPr>
      <w:r>
        <w:rPr>
          <w:rFonts w:asciiTheme="minorHAnsi" w:eastAsia="Calibri" w:hAnsiTheme="minorHAnsi" w:cstheme="minorHAnsi"/>
          <w:sz w:val="22"/>
          <w:szCs w:val="22"/>
        </w:rPr>
        <w:t xml:space="preserve">All GEF funded projects are required to meet best international practice and specifically the requirements for stakeholder engagement, as specified in the GEF Stakeholders Engagement Policy. The Stakeholder Engagement Plan (SEP) is designed to ensure effective engagement between various stakeholders throughout the lifecycle of the IW: LEARN project. The SEP is a basic tool to catalyze and organize stakeholder engagement and assure that it takes place in line with the purposes and requirements of the GEF Stakeholders Engagement Policy. The project will aim to maintain dialogue with the relevant government ministries and parastatals, country governments and selected local community groups and NGOs and international communities. </w:t>
      </w:r>
    </w:p>
    <w:p w14:paraId="2F5E0287" w14:textId="77777777" w:rsidR="001627EC" w:rsidRDefault="001627EC" w:rsidP="001627EC">
      <w:pPr>
        <w:rPr>
          <w:rFonts w:asciiTheme="minorHAnsi" w:eastAsia="Calibri" w:hAnsiTheme="minorHAnsi" w:cstheme="minorHAnsi"/>
          <w:sz w:val="22"/>
          <w:szCs w:val="22"/>
        </w:rPr>
      </w:pPr>
    </w:p>
    <w:p w14:paraId="4493B110" w14:textId="77777777" w:rsidR="001627EC" w:rsidRDefault="001627EC" w:rsidP="001627EC">
      <w:pPr>
        <w:rPr>
          <w:rFonts w:asciiTheme="minorHAnsi" w:eastAsia="Calibri" w:hAnsiTheme="minorHAnsi" w:cstheme="minorHAnsi"/>
          <w:sz w:val="22"/>
          <w:szCs w:val="22"/>
        </w:rPr>
      </w:pPr>
      <w:r>
        <w:rPr>
          <w:rFonts w:asciiTheme="minorHAnsi" w:eastAsia="Calibri" w:hAnsiTheme="minorHAnsi" w:cstheme="minorHAnsi"/>
          <w:sz w:val="22"/>
          <w:szCs w:val="22"/>
        </w:rPr>
        <w:t xml:space="preserve">The project stakeholder engagement activities should be robust and enough disclosure on information should be made in order to promote better awareness and understanding of its strategies, policies and operations. During this disclosure, the project requires to: </w:t>
      </w:r>
    </w:p>
    <w:p w14:paraId="70FC793E" w14:textId="77777777" w:rsidR="001627EC" w:rsidRDefault="001627EC" w:rsidP="001627EC">
      <w:pPr>
        <w:rPr>
          <w:rFonts w:asciiTheme="minorHAnsi" w:hAnsiTheme="minorHAnsi" w:cstheme="minorHAnsi"/>
          <w:sz w:val="22"/>
          <w:szCs w:val="22"/>
        </w:rPr>
      </w:pPr>
    </w:p>
    <w:p w14:paraId="20C435D6" w14:textId="77777777" w:rsidR="001627EC" w:rsidRDefault="001627EC" w:rsidP="001627EC">
      <w:pPr>
        <w:numPr>
          <w:ilvl w:val="0"/>
          <w:numId w:val="94"/>
        </w:numPr>
        <w:rPr>
          <w:rFonts w:asciiTheme="minorHAnsi" w:hAnsiTheme="minorHAnsi" w:cstheme="minorHAnsi"/>
          <w:sz w:val="22"/>
          <w:szCs w:val="22"/>
        </w:rPr>
      </w:pPr>
      <w:r>
        <w:rPr>
          <w:rFonts w:asciiTheme="minorHAnsi" w:eastAsia="Calibri" w:hAnsiTheme="minorHAnsi" w:cstheme="minorHAnsi"/>
          <w:sz w:val="22"/>
          <w:szCs w:val="22"/>
        </w:rPr>
        <w:t xml:space="preserve">Identify stakeholder groups that are or could be affected by the project as well as other interested parties; </w:t>
      </w:r>
    </w:p>
    <w:p w14:paraId="22522564" w14:textId="77777777" w:rsidR="001627EC" w:rsidRDefault="001627EC" w:rsidP="001627EC">
      <w:pPr>
        <w:numPr>
          <w:ilvl w:val="0"/>
          <w:numId w:val="94"/>
        </w:numPr>
        <w:rPr>
          <w:rFonts w:asciiTheme="minorHAnsi" w:hAnsiTheme="minorHAnsi" w:cstheme="minorHAnsi"/>
          <w:sz w:val="22"/>
          <w:szCs w:val="22"/>
        </w:rPr>
      </w:pPr>
      <w:r>
        <w:rPr>
          <w:rFonts w:asciiTheme="minorHAnsi" w:eastAsia="Calibri" w:hAnsiTheme="minorHAnsi" w:cstheme="minorHAnsi"/>
          <w:sz w:val="22"/>
          <w:szCs w:val="22"/>
        </w:rPr>
        <w:t xml:space="preserve">Ensure that such stakeholders are appropriately engaged through a process of information disclosure and meaningful consultation; and </w:t>
      </w:r>
    </w:p>
    <w:p w14:paraId="44712E37" w14:textId="77777777" w:rsidR="001627EC" w:rsidRDefault="001627EC" w:rsidP="001627EC">
      <w:pPr>
        <w:numPr>
          <w:ilvl w:val="0"/>
          <w:numId w:val="94"/>
        </w:numPr>
        <w:rPr>
          <w:rFonts w:asciiTheme="minorHAnsi" w:hAnsiTheme="minorHAnsi" w:cstheme="minorHAnsi"/>
          <w:sz w:val="22"/>
          <w:szCs w:val="22"/>
        </w:rPr>
      </w:pPr>
      <w:r>
        <w:rPr>
          <w:rFonts w:asciiTheme="minorHAnsi" w:eastAsia="Calibri" w:hAnsiTheme="minorHAnsi" w:cstheme="minorHAnsi"/>
          <w:sz w:val="22"/>
          <w:szCs w:val="22"/>
        </w:rPr>
        <w:t xml:space="preserve">Maintain a constructive relationship with stakeholders on an on-going basis through meaningful engagement during project implementation. </w:t>
      </w:r>
    </w:p>
    <w:p w14:paraId="4506D95C" w14:textId="77777777" w:rsidR="001627EC" w:rsidRDefault="001627EC" w:rsidP="001627EC">
      <w:pPr>
        <w:rPr>
          <w:rFonts w:asciiTheme="minorHAnsi" w:eastAsia="Calibri" w:hAnsiTheme="minorHAnsi" w:cstheme="minorHAnsi"/>
          <w:sz w:val="22"/>
          <w:szCs w:val="22"/>
        </w:rPr>
      </w:pPr>
    </w:p>
    <w:p w14:paraId="32CD6F0C" w14:textId="77777777" w:rsidR="001627EC" w:rsidRDefault="001627EC" w:rsidP="001627EC">
      <w:pPr>
        <w:rPr>
          <w:rFonts w:asciiTheme="minorHAnsi" w:eastAsia="Calibri" w:hAnsiTheme="minorHAnsi" w:cstheme="minorHAnsi"/>
          <w:sz w:val="22"/>
          <w:szCs w:val="22"/>
        </w:rPr>
      </w:pPr>
      <w:r>
        <w:rPr>
          <w:rFonts w:asciiTheme="minorHAnsi" w:eastAsia="Calibri" w:hAnsiTheme="minorHAnsi" w:cstheme="minorHAnsi"/>
          <w:sz w:val="22"/>
          <w:szCs w:val="22"/>
        </w:rPr>
        <w:t xml:space="preserve">The stakeholder consultations are an on-going process taking place during the project life and during this process it is necessary to ensure that stakeholders are informed about consequences of the project implementation and ensure the opportunity for feedback. </w:t>
      </w:r>
    </w:p>
    <w:p w14:paraId="0E29E3EC" w14:textId="77777777" w:rsidR="001627EC" w:rsidRDefault="001627EC" w:rsidP="001627EC">
      <w:pPr>
        <w:rPr>
          <w:rFonts w:asciiTheme="minorHAnsi" w:hAnsiTheme="minorHAnsi" w:cstheme="minorHAnsi"/>
          <w:sz w:val="22"/>
          <w:szCs w:val="22"/>
        </w:rPr>
      </w:pPr>
    </w:p>
    <w:p w14:paraId="78198FED" w14:textId="77777777" w:rsidR="001627EC" w:rsidRDefault="001627EC" w:rsidP="001627EC">
      <w:pPr>
        <w:rPr>
          <w:rFonts w:asciiTheme="minorHAnsi" w:hAnsiTheme="minorHAnsi" w:cstheme="minorHAnsi"/>
          <w:color w:val="000000"/>
          <w:sz w:val="22"/>
          <w:szCs w:val="22"/>
        </w:rPr>
      </w:pPr>
      <w:r>
        <w:rPr>
          <w:rFonts w:asciiTheme="minorHAnsi" w:eastAsia="Calibri" w:hAnsiTheme="minorHAnsi" w:cstheme="minorHAnsi"/>
          <w:b/>
          <w:color w:val="000000"/>
          <w:sz w:val="22"/>
          <w:szCs w:val="22"/>
        </w:rPr>
        <w:t>2.</w:t>
      </w:r>
      <w:r>
        <w:rPr>
          <w:rFonts w:asciiTheme="minorHAnsi" w:eastAsia="Calibri" w:hAnsiTheme="minorHAnsi" w:cstheme="minorHAnsi"/>
          <w:b/>
          <w:color w:val="000000"/>
          <w:sz w:val="22"/>
          <w:szCs w:val="22"/>
        </w:rPr>
        <w:tab/>
        <w:t xml:space="preserve">Identification of stakeholders for engagement and methods of communication </w:t>
      </w:r>
    </w:p>
    <w:p w14:paraId="07B363F9" w14:textId="77777777" w:rsidR="001627EC" w:rsidRDefault="001627EC" w:rsidP="001627EC">
      <w:pPr>
        <w:rPr>
          <w:rFonts w:asciiTheme="minorHAnsi" w:eastAsia="Calibri" w:hAnsiTheme="minorHAnsi" w:cstheme="minorHAnsi"/>
          <w:color w:val="000000"/>
          <w:sz w:val="22"/>
          <w:szCs w:val="22"/>
        </w:rPr>
      </w:pPr>
    </w:p>
    <w:p w14:paraId="080EF817" w14:textId="77777777" w:rsidR="001627EC" w:rsidRDefault="001627EC" w:rsidP="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In order to ensure inclusive participation and consultation, the following stakeholders have been identified for consultation on on-going basis: </w:t>
      </w:r>
    </w:p>
    <w:p w14:paraId="41503969" w14:textId="77777777" w:rsidR="001627EC" w:rsidRDefault="001627EC" w:rsidP="001627EC">
      <w:pPr>
        <w:rPr>
          <w:rFonts w:asciiTheme="minorHAnsi" w:hAnsiTheme="minorHAnsi" w:cstheme="minorHAnsi"/>
          <w:color w:val="000000"/>
          <w:sz w:val="22"/>
          <w:szCs w:val="22"/>
        </w:rPr>
      </w:pPr>
    </w:p>
    <w:p w14:paraId="3DB74DAE" w14:textId="77777777" w:rsidR="001627EC" w:rsidRDefault="001627EC" w:rsidP="001627EC">
      <w:pPr>
        <w:numPr>
          <w:ilvl w:val="0"/>
          <w:numId w:val="95"/>
        </w:numPr>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Stakeholders affected directly or indirectly by the outcomes of the Project implementation; </w:t>
      </w:r>
    </w:p>
    <w:p w14:paraId="3C2BF290" w14:textId="77777777" w:rsidR="001627EC" w:rsidRDefault="001627EC" w:rsidP="001627EC">
      <w:pPr>
        <w:numPr>
          <w:ilvl w:val="0"/>
          <w:numId w:val="95"/>
        </w:numPr>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Stakeholders that participate in the project directly or indirectly; and </w:t>
      </w:r>
    </w:p>
    <w:p w14:paraId="7D055CCB" w14:textId="77777777" w:rsidR="001627EC" w:rsidRDefault="001627EC" w:rsidP="001627EC">
      <w:pPr>
        <w:numPr>
          <w:ilvl w:val="0"/>
          <w:numId w:val="95"/>
        </w:numPr>
        <w:rPr>
          <w:rFonts w:asciiTheme="minorHAnsi" w:hAnsiTheme="minorHAnsi" w:cstheme="minorHAnsi"/>
          <w:color w:val="000000"/>
          <w:sz w:val="22"/>
          <w:szCs w:val="22"/>
        </w:rPr>
      </w:pPr>
      <w:r>
        <w:rPr>
          <w:rFonts w:asciiTheme="minorHAnsi" w:eastAsia="Calibri" w:hAnsiTheme="minorHAnsi" w:cstheme="minorHAnsi"/>
          <w:color w:val="000000"/>
          <w:sz w:val="22"/>
          <w:szCs w:val="22"/>
        </w:rPr>
        <w:t>Stakeholders who are able to influence and decide the outcomes and the manner of the Project implementation or make decisions based on the outputs of the project.</w:t>
      </w:r>
    </w:p>
    <w:p w14:paraId="51C5D9D2" w14:textId="77777777" w:rsidR="001627EC" w:rsidRDefault="001627EC" w:rsidP="001627EC">
      <w:pPr>
        <w:rPr>
          <w:rFonts w:asciiTheme="minorHAnsi" w:eastAsia="Calibri" w:hAnsiTheme="minorHAnsi" w:cstheme="minorHAnsi"/>
          <w:color w:val="000000"/>
          <w:sz w:val="22"/>
          <w:szCs w:val="22"/>
        </w:rPr>
      </w:pPr>
    </w:p>
    <w:p w14:paraId="2E4233B8" w14:textId="77777777" w:rsidR="001627EC" w:rsidRDefault="001627EC" w:rsidP="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Stakeholders have been identified in accordance with the above classification as shown in Table 1 below. </w:t>
      </w:r>
    </w:p>
    <w:p w14:paraId="3CC6D8EF" w14:textId="77777777" w:rsidR="001627EC" w:rsidRDefault="001627EC" w:rsidP="001627EC">
      <w:pPr>
        <w:rPr>
          <w:rFonts w:asciiTheme="minorHAnsi" w:eastAsia="Calibri" w:hAnsiTheme="minorHAnsi" w:cstheme="minorHAnsi"/>
          <w:color w:val="000000"/>
          <w:sz w:val="22"/>
          <w:szCs w:val="22"/>
        </w:rPr>
      </w:pPr>
    </w:p>
    <w:p w14:paraId="337D206B" w14:textId="77777777" w:rsidR="001627EC" w:rsidRDefault="001627EC" w:rsidP="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Table 1: Stakeholders' Classification</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1627EC" w:rsidRPr="001627EC" w14:paraId="2B3A0D32" w14:textId="77777777" w:rsidTr="001627EC">
        <w:tc>
          <w:tcPr>
            <w:tcW w:w="3005" w:type="dxa"/>
            <w:tcBorders>
              <w:top w:val="single" w:sz="4" w:space="0" w:color="000000"/>
              <w:left w:val="single" w:sz="4" w:space="0" w:color="000000"/>
              <w:bottom w:val="single" w:sz="4" w:space="0" w:color="000000"/>
              <w:right w:val="single" w:sz="4" w:space="0" w:color="000000"/>
            </w:tcBorders>
          </w:tcPr>
          <w:p w14:paraId="6251694F" w14:textId="77777777" w:rsidR="001627EC" w:rsidRDefault="001627EC">
            <w:pPr>
              <w:shd w:val="clear" w:color="auto" w:fill="FFFFFF"/>
              <w:rPr>
                <w:rFonts w:asciiTheme="minorHAnsi" w:hAnsiTheme="minorHAnsi" w:cstheme="minorHAnsi"/>
                <w:b/>
                <w:color w:val="000000"/>
                <w:sz w:val="22"/>
                <w:szCs w:val="22"/>
              </w:rPr>
            </w:pPr>
            <w:r>
              <w:rPr>
                <w:rFonts w:asciiTheme="minorHAnsi" w:eastAsia="Calibri" w:hAnsiTheme="minorHAnsi" w:cstheme="minorHAnsi"/>
                <w:b/>
                <w:color w:val="000000"/>
                <w:sz w:val="22"/>
                <w:szCs w:val="22"/>
              </w:rPr>
              <w:t xml:space="preserve">Stakeholders to be affected, directly or indirectly, by the outcomes of the Project implementation </w:t>
            </w:r>
          </w:p>
          <w:p w14:paraId="6841DDA1" w14:textId="77777777" w:rsidR="001627EC" w:rsidRDefault="001627EC">
            <w:pPr>
              <w:rPr>
                <w:rFonts w:asciiTheme="minorHAnsi" w:hAnsiTheme="minorHAnsi" w:cstheme="minorHAnsi"/>
                <w:b/>
                <w:color w:val="000000"/>
                <w:sz w:val="22"/>
                <w:szCs w:val="22"/>
              </w:rPr>
            </w:pPr>
          </w:p>
        </w:tc>
        <w:tc>
          <w:tcPr>
            <w:tcW w:w="3005" w:type="dxa"/>
            <w:tcBorders>
              <w:top w:val="single" w:sz="4" w:space="0" w:color="000000"/>
              <w:left w:val="single" w:sz="4" w:space="0" w:color="000000"/>
              <w:bottom w:val="single" w:sz="4" w:space="0" w:color="000000"/>
              <w:right w:val="single" w:sz="4" w:space="0" w:color="000000"/>
            </w:tcBorders>
            <w:hideMark/>
          </w:tcPr>
          <w:p w14:paraId="41E052D6" w14:textId="77777777" w:rsidR="001627EC" w:rsidRDefault="001627EC">
            <w:pPr>
              <w:rPr>
                <w:rFonts w:asciiTheme="minorHAnsi" w:hAnsiTheme="minorHAnsi" w:cstheme="minorHAnsi"/>
                <w:b/>
                <w:color w:val="000000"/>
                <w:sz w:val="22"/>
                <w:szCs w:val="22"/>
              </w:rPr>
            </w:pPr>
            <w:r>
              <w:rPr>
                <w:rFonts w:asciiTheme="minorHAnsi" w:eastAsia="Calibri" w:hAnsiTheme="minorHAnsi" w:cstheme="minorHAnsi"/>
                <w:b/>
                <w:color w:val="000000"/>
                <w:sz w:val="22"/>
                <w:szCs w:val="22"/>
              </w:rPr>
              <w:t>Stakeholders that participate in the project directly or indirectly</w:t>
            </w:r>
          </w:p>
        </w:tc>
        <w:tc>
          <w:tcPr>
            <w:tcW w:w="3006" w:type="dxa"/>
            <w:tcBorders>
              <w:top w:val="single" w:sz="4" w:space="0" w:color="000000"/>
              <w:left w:val="single" w:sz="4" w:space="0" w:color="000000"/>
              <w:bottom w:val="single" w:sz="4" w:space="0" w:color="000000"/>
              <w:right w:val="single" w:sz="4" w:space="0" w:color="000000"/>
            </w:tcBorders>
            <w:hideMark/>
          </w:tcPr>
          <w:p w14:paraId="55D6C46A" w14:textId="77777777" w:rsidR="001627EC" w:rsidRDefault="001627EC">
            <w:pPr>
              <w:rPr>
                <w:rFonts w:asciiTheme="minorHAnsi" w:hAnsiTheme="minorHAnsi" w:cstheme="minorHAnsi"/>
                <w:b/>
                <w:color w:val="000000"/>
                <w:sz w:val="22"/>
                <w:szCs w:val="22"/>
              </w:rPr>
            </w:pPr>
            <w:r>
              <w:rPr>
                <w:rFonts w:asciiTheme="minorHAnsi" w:eastAsia="Calibri" w:hAnsiTheme="minorHAnsi" w:cstheme="minorHAnsi"/>
                <w:b/>
                <w:color w:val="000000"/>
                <w:sz w:val="22"/>
                <w:szCs w:val="22"/>
              </w:rPr>
              <w:t>Stakeholders who are able to influence and decide the outcomes and the manner of the Project implementation or make decisions based on the outputs of the project</w:t>
            </w:r>
          </w:p>
        </w:tc>
      </w:tr>
      <w:tr w:rsidR="001627EC" w14:paraId="6BF45DA0"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6D190636" w14:textId="77777777" w:rsidR="001627EC" w:rsidRDefault="001627EC" w:rsidP="001627EC">
            <w:pPr>
              <w:numPr>
                <w:ilvl w:val="0"/>
                <w:numId w:val="96"/>
              </w:numPr>
              <w:ind w:left="177" w:hanging="177"/>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GEF IW Project coordinators and respective PCUs</w:t>
            </w:r>
          </w:p>
          <w:p w14:paraId="741037A8" w14:textId="77777777" w:rsidR="001627EC" w:rsidRDefault="001627EC" w:rsidP="001627EC">
            <w:pPr>
              <w:numPr>
                <w:ilvl w:val="0"/>
                <w:numId w:val="96"/>
              </w:numPr>
              <w:ind w:left="168" w:hanging="168"/>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Transboundary</w:t>
            </w:r>
            <w:r>
              <w:rPr>
                <w:rFonts w:asciiTheme="minorHAnsi" w:eastAsia="Calibri" w:hAnsiTheme="minorHAnsi" w:cstheme="minorHAnsi"/>
                <w:sz w:val="22"/>
                <w:szCs w:val="22"/>
              </w:rPr>
              <w:t>/Basin Bodies</w:t>
            </w:r>
          </w:p>
          <w:p w14:paraId="2D34138E" w14:textId="77777777" w:rsidR="001627EC" w:rsidRDefault="001627EC" w:rsidP="001627EC">
            <w:pPr>
              <w:numPr>
                <w:ilvl w:val="0"/>
                <w:numId w:val="96"/>
              </w:numPr>
              <w:ind w:left="177" w:hanging="177"/>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Participating countries</w:t>
            </w:r>
          </w:p>
          <w:p w14:paraId="41DEFB3D" w14:textId="77777777" w:rsidR="001627EC" w:rsidRDefault="001627EC" w:rsidP="001627EC">
            <w:pPr>
              <w:numPr>
                <w:ilvl w:val="0"/>
                <w:numId w:val="96"/>
              </w:numPr>
              <w:ind w:left="177" w:hanging="177"/>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Civil Society/Local Community </w:t>
            </w:r>
            <w:proofErr w:type="spellStart"/>
            <w:r>
              <w:rPr>
                <w:rFonts w:asciiTheme="minorHAnsi" w:eastAsia="Calibri" w:hAnsiTheme="minorHAnsi" w:cstheme="minorHAnsi"/>
                <w:color w:val="000000"/>
                <w:sz w:val="22"/>
                <w:szCs w:val="22"/>
              </w:rPr>
              <w:t>Organisations</w:t>
            </w:r>
            <w:proofErr w:type="spellEnd"/>
          </w:p>
          <w:p w14:paraId="22592608" w14:textId="77777777" w:rsidR="001627EC" w:rsidRDefault="001627EC" w:rsidP="001627EC">
            <w:pPr>
              <w:numPr>
                <w:ilvl w:val="0"/>
                <w:numId w:val="96"/>
              </w:numPr>
              <w:ind w:left="177" w:hanging="177"/>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Private Sector</w:t>
            </w:r>
          </w:p>
          <w:p w14:paraId="5114D6B3" w14:textId="77777777" w:rsidR="001627EC" w:rsidRDefault="001627EC" w:rsidP="001627EC">
            <w:pPr>
              <w:numPr>
                <w:ilvl w:val="0"/>
                <w:numId w:val="96"/>
              </w:numPr>
              <w:ind w:left="177" w:hanging="177"/>
              <w:rPr>
                <w:rFonts w:asciiTheme="minorHAnsi" w:hAnsiTheme="minorHAnsi" w:cstheme="minorHAnsi"/>
                <w:color w:val="000000"/>
                <w:sz w:val="22"/>
                <w:szCs w:val="22"/>
              </w:rPr>
            </w:pPr>
            <w:r>
              <w:rPr>
                <w:rFonts w:asciiTheme="minorHAnsi" w:eastAsia="Calibri" w:hAnsiTheme="minorHAnsi" w:cstheme="minorHAnsi"/>
                <w:color w:val="000000"/>
                <w:sz w:val="22"/>
                <w:szCs w:val="22"/>
              </w:rPr>
              <w:t>Vulnerable Groups</w:t>
            </w:r>
          </w:p>
          <w:p w14:paraId="277D6A0B" w14:textId="77777777" w:rsidR="001627EC" w:rsidRDefault="001627EC" w:rsidP="001627EC">
            <w:pPr>
              <w:numPr>
                <w:ilvl w:val="0"/>
                <w:numId w:val="96"/>
              </w:numPr>
              <w:ind w:left="177" w:hanging="177"/>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Youth groups and </w:t>
            </w:r>
            <w:proofErr w:type="spellStart"/>
            <w:r>
              <w:rPr>
                <w:rFonts w:asciiTheme="minorHAnsi" w:eastAsia="Calibri" w:hAnsiTheme="minorHAnsi" w:cstheme="minorHAnsi"/>
                <w:color w:val="000000"/>
                <w:sz w:val="22"/>
                <w:szCs w:val="22"/>
              </w:rPr>
              <w:t>entrepeneurs</w:t>
            </w:r>
            <w:proofErr w:type="spellEnd"/>
          </w:p>
        </w:tc>
        <w:tc>
          <w:tcPr>
            <w:tcW w:w="3005" w:type="dxa"/>
            <w:tcBorders>
              <w:top w:val="single" w:sz="4" w:space="0" w:color="000000"/>
              <w:left w:val="single" w:sz="4" w:space="0" w:color="000000"/>
              <w:bottom w:val="single" w:sz="4" w:space="0" w:color="000000"/>
              <w:right w:val="single" w:sz="4" w:space="0" w:color="000000"/>
            </w:tcBorders>
            <w:hideMark/>
          </w:tcPr>
          <w:p w14:paraId="1159F9BF" w14:textId="77777777" w:rsidR="001627EC" w:rsidRDefault="001627EC" w:rsidP="001627EC">
            <w:pPr>
              <w:numPr>
                <w:ilvl w:val="0"/>
                <w:numId w:val="96"/>
              </w:numPr>
              <w:shd w:val="clear" w:color="auto" w:fill="FFFFFF"/>
              <w:ind w:left="283" w:hanging="283"/>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partners directly involved in project implementation</w:t>
            </w:r>
          </w:p>
          <w:p w14:paraId="43CECE62" w14:textId="77777777" w:rsidR="001627EC" w:rsidRDefault="001627EC" w:rsidP="001627EC">
            <w:pPr>
              <w:numPr>
                <w:ilvl w:val="0"/>
                <w:numId w:val="96"/>
              </w:numPr>
              <w:shd w:val="clear" w:color="auto" w:fill="FFFFFF"/>
              <w:ind w:left="283" w:hanging="283"/>
              <w:rPr>
                <w:rFonts w:asciiTheme="minorHAnsi" w:hAnsiTheme="minorHAnsi" w:cstheme="minorHAnsi"/>
                <w:color w:val="000000"/>
                <w:sz w:val="22"/>
                <w:szCs w:val="22"/>
              </w:rPr>
            </w:pPr>
            <w:r>
              <w:rPr>
                <w:rFonts w:asciiTheme="minorHAnsi" w:eastAsia="Calibri" w:hAnsiTheme="minorHAnsi" w:cstheme="minorHAnsi"/>
                <w:color w:val="000000"/>
                <w:sz w:val="22"/>
                <w:szCs w:val="22"/>
              </w:rPr>
              <w:t>Academic Research Institutes</w:t>
            </w:r>
          </w:p>
          <w:p w14:paraId="6FD04FB4" w14:textId="77777777" w:rsidR="001627EC" w:rsidRDefault="001627EC" w:rsidP="001627EC">
            <w:pPr>
              <w:numPr>
                <w:ilvl w:val="0"/>
                <w:numId w:val="96"/>
              </w:numPr>
              <w:ind w:left="283" w:hanging="283"/>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Bilateral/Multilateral Agencies</w:t>
            </w:r>
          </w:p>
        </w:tc>
        <w:tc>
          <w:tcPr>
            <w:tcW w:w="3006" w:type="dxa"/>
            <w:tcBorders>
              <w:top w:val="single" w:sz="4" w:space="0" w:color="000000"/>
              <w:left w:val="single" w:sz="4" w:space="0" w:color="000000"/>
              <w:bottom w:val="single" w:sz="4" w:space="0" w:color="000000"/>
              <w:right w:val="single" w:sz="4" w:space="0" w:color="000000"/>
            </w:tcBorders>
          </w:tcPr>
          <w:p w14:paraId="258E9EE2" w14:textId="77777777" w:rsidR="001627EC" w:rsidRDefault="001627EC" w:rsidP="001627EC">
            <w:pPr>
              <w:numPr>
                <w:ilvl w:val="0"/>
                <w:numId w:val="96"/>
              </w:numPr>
              <w:ind w:left="253" w:hanging="253"/>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GEF Secretariat</w:t>
            </w:r>
          </w:p>
          <w:p w14:paraId="6B720C8E" w14:textId="77777777" w:rsidR="001627EC" w:rsidRDefault="001627EC" w:rsidP="001627EC">
            <w:pPr>
              <w:numPr>
                <w:ilvl w:val="0"/>
                <w:numId w:val="96"/>
              </w:numPr>
              <w:ind w:left="253" w:hanging="253"/>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The GEF Implementing Agencies, including especially UNDP and UNEP</w:t>
            </w:r>
          </w:p>
          <w:p w14:paraId="1158963B" w14:textId="77777777" w:rsidR="001627EC" w:rsidRDefault="001627EC" w:rsidP="001627EC">
            <w:pPr>
              <w:numPr>
                <w:ilvl w:val="0"/>
                <w:numId w:val="96"/>
              </w:numPr>
              <w:shd w:val="clear" w:color="auto" w:fill="FFFFFF"/>
              <w:ind w:left="278" w:hanging="283"/>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IOC/UNESCO</w:t>
            </w:r>
          </w:p>
          <w:p w14:paraId="0E88059E" w14:textId="77777777" w:rsidR="001627EC" w:rsidRDefault="001627EC" w:rsidP="001627EC">
            <w:pPr>
              <w:numPr>
                <w:ilvl w:val="0"/>
                <w:numId w:val="96"/>
              </w:numPr>
              <w:shd w:val="clear" w:color="auto" w:fill="FFFFFF"/>
              <w:ind w:left="278" w:hanging="283"/>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Policy influencers</w:t>
            </w:r>
          </w:p>
          <w:p w14:paraId="134C2A02" w14:textId="77777777" w:rsidR="001627EC" w:rsidRDefault="001627EC">
            <w:pPr>
              <w:rPr>
                <w:rFonts w:asciiTheme="minorHAnsi" w:eastAsia="Calibri" w:hAnsiTheme="minorHAnsi" w:cstheme="minorHAnsi"/>
                <w:color w:val="000000"/>
                <w:sz w:val="22"/>
                <w:szCs w:val="22"/>
              </w:rPr>
            </w:pPr>
          </w:p>
        </w:tc>
      </w:tr>
    </w:tbl>
    <w:p w14:paraId="18B8A73B" w14:textId="77777777" w:rsidR="001627EC" w:rsidRDefault="001627EC" w:rsidP="001627EC">
      <w:pPr>
        <w:rPr>
          <w:rFonts w:asciiTheme="minorHAnsi" w:eastAsia="Calibri" w:hAnsiTheme="minorHAnsi" w:cstheme="minorHAnsi"/>
          <w:color w:val="000000"/>
          <w:sz w:val="22"/>
          <w:szCs w:val="22"/>
        </w:rPr>
      </w:pPr>
    </w:p>
    <w:p w14:paraId="7EF44FAE" w14:textId="77777777" w:rsidR="001627EC" w:rsidRDefault="001627EC" w:rsidP="001627EC">
      <w:pPr>
        <w:rPr>
          <w:rFonts w:asciiTheme="minorHAnsi" w:hAnsiTheme="minorHAnsi" w:cstheme="minorHAnsi"/>
          <w:sz w:val="22"/>
          <w:szCs w:val="22"/>
        </w:rPr>
      </w:pPr>
      <w:r>
        <w:rPr>
          <w:rFonts w:asciiTheme="minorHAnsi" w:eastAsia="Calibri" w:hAnsiTheme="minorHAnsi" w:cstheme="minorHAnsi"/>
          <w:b/>
          <w:sz w:val="22"/>
          <w:szCs w:val="22"/>
        </w:rPr>
        <w:t>3.</w:t>
      </w:r>
      <w:r>
        <w:rPr>
          <w:rFonts w:asciiTheme="minorHAnsi" w:eastAsia="Calibri" w:hAnsiTheme="minorHAnsi" w:cstheme="minorHAnsi"/>
          <w:b/>
          <w:sz w:val="22"/>
          <w:szCs w:val="22"/>
        </w:rPr>
        <w:tab/>
        <w:t xml:space="preserve">Stakeholder Concerns Analysis </w:t>
      </w:r>
    </w:p>
    <w:p w14:paraId="7DA1D0D3" w14:textId="77777777" w:rsidR="001627EC" w:rsidRDefault="001627EC" w:rsidP="001627EC">
      <w:pPr>
        <w:rPr>
          <w:rFonts w:asciiTheme="minorHAnsi" w:eastAsia="Calibri" w:hAnsiTheme="minorHAnsi" w:cstheme="minorHAnsi"/>
          <w:sz w:val="22"/>
          <w:szCs w:val="22"/>
        </w:rPr>
      </w:pPr>
    </w:p>
    <w:p w14:paraId="43D5305A" w14:textId="77777777" w:rsidR="001627EC" w:rsidRDefault="001627EC" w:rsidP="001627EC">
      <w:pPr>
        <w:rPr>
          <w:rFonts w:asciiTheme="minorHAnsi" w:hAnsiTheme="minorHAnsi" w:cstheme="minorHAnsi"/>
          <w:sz w:val="22"/>
          <w:szCs w:val="22"/>
        </w:rPr>
      </w:pPr>
      <w:r>
        <w:rPr>
          <w:rFonts w:asciiTheme="minorHAnsi" w:eastAsia="Calibri" w:hAnsiTheme="minorHAnsi" w:cstheme="minorHAnsi"/>
          <w:sz w:val="22"/>
          <w:szCs w:val="22"/>
        </w:rPr>
        <w:t xml:space="preserve">The IW:LEARN project will aim to collect and </w:t>
      </w:r>
      <w:proofErr w:type="spellStart"/>
      <w:r>
        <w:rPr>
          <w:rFonts w:asciiTheme="minorHAnsi" w:eastAsia="Calibri" w:hAnsiTheme="minorHAnsi" w:cstheme="minorHAnsi"/>
          <w:sz w:val="22"/>
          <w:szCs w:val="22"/>
        </w:rPr>
        <w:t>analyse</w:t>
      </w:r>
      <w:proofErr w:type="spellEnd"/>
      <w:r>
        <w:rPr>
          <w:rFonts w:asciiTheme="minorHAnsi" w:eastAsia="Calibri" w:hAnsiTheme="minorHAnsi" w:cstheme="minorHAnsi"/>
          <w:sz w:val="22"/>
          <w:szCs w:val="22"/>
        </w:rPr>
        <w:t xml:space="preserve"> stakeholder expectations and concerns as well as to take appropriate responsive measures throughout the Project life in order to ensure that there is enough support for the project. </w:t>
      </w:r>
    </w:p>
    <w:p w14:paraId="64ACD6B8" w14:textId="77777777" w:rsidR="001627EC" w:rsidRDefault="001627EC" w:rsidP="001627EC">
      <w:pPr>
        <w:rPr>
          <w:rFonts w:asciiTheme="minorHAnsi" w:eastAsia="Calibri" w:hAnsiTheme="minorHAnsi" w:cstheme="minorHAnsi"/>
          <w:sz w:val="22"/>
          <w:szCs w:val="22"/>
        </w:rPr>
      </w:pPr>
    </w:p>
    <w:p w14:paraId="55B62B82" w14:textId="77777777" w:rsidR="001627EC" w:rsidRDefault="001627EC" w:rsidP="001627EC">
      <w:pPr>
        <w:rPr>
          <w:rFonts w:asciiTheme="minorHAnsi" w:hAnsiTheme="minorHAnsi" w:cstheme="minorHAnsi"/>
          <w:sz w:val="22"/>
          <w:szCs w:val="22"/>
        </w:rPr>
      </w:pPr>
      <w:r>
        <w:rPr>
          <w:rFonts w:asciiTheme="minorHAnsi" w:eastAsia="Calibri" w:hAnsiTheme="minorHAnsi" w:cstheme="minorHAnsi"/>
          <w:sz w:val="22"/>
          <w:szCs w:val="22"/>
        </w:rPr>
        <w:t xml:space="preserve">The project has identified the following interests and concerns of the key stakeholder groups as presented in Table 2 below. </w:t>
      </w:r>
    </w:p>
    <w:p w14:paraId="48AFEBD3" w14:textId="77777777" w:rsidR="001627EC" w:rsidRDefault="001627EC" w:rsidP="001627EC">
      <w:pPr>
        <w:rPr>
          <w:rFonts w:asciiTheme="minorHAnsi" w:eastAsia="Calibri" w:hAnsiTheme="minorHAnsi" w:cstheme="minorHAnsi"/>
          <w:color w:val="000000"/>
          <w:sz w:val="22"/>
          <w:szCs w:val="22"/>
        </w:rPr>
      </w:pPr>
    </w:p>
    <w:p w14:paraId="1FF6D013" w14:textId="77777777" w:rsidR="001627EC" w:rsidRDefault="001627EC" w:rsidP="001627EC">
      <w:pPr>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Table 2: Key stakeholders Expectations and Concern Analysis </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838"/>
        <w:gridCol w:w="1867"/>
        <w:gridCol w:w="2218"/>
      </w:tblGrid>
      <w:tr w:rsidR="001627EC" w14:paraId="313A1CEB"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5A993B3F"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Stakeholder group </w:t>
            </w:r>
          </w:p>
        </w:tc>
        <w:tc>
          <w:tcPr>
            <w:tcW w:w="2838" w:type="dxa"/>
            <w:tcBorders>
              <w:top w:val="single" w:sz="4" w:space="0" w:color="000000"/>
              <w:left w:val="single" w:sz="4" w:space="0" w:color="000000"/>
              <w:bottom w:val="single" w:sz="4" w:space="0" w:color="000000"/>
              <w:right w:val="single" w:sz="4" w:space="0" w:color="000000"/>
            </w:tcBorders>
            <w:hideMark/>
          </w:tcPr>
          <w:p w14:paraId="4382D1A1"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Key expectations</w:t>
            </w:r>
          </w:p>
        </w:tc>
        <w:tc>
          <w:tcPr>
            <w:tcW w:w="1867" w:type="dxa"/>
            <w:tcBorders>
              <w:top w:val="single" w:sz="4" w:space="0" w:color="000000"/>
              <w:left w:val="single" w:sz="4" w:space="0" w:color="000000"/>
              <w:bottom w:val="single" w:sz="4" w:space="0" w:color="000000"/>
              <w:right w:val="single" w:sz="4" w:space="0" w:color="000000"/>
            </w:tcBorders>
            <w:hideMark/>
          </w:tcPr>
          <w:p w14:paraId="0CB0DCFE"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Key concerns</w:t>
            </w:r>
          </w:p>
        </w:tc>
        <w:tc>
          <w:tcPr>
            <w:tcW w:w="2218" w:type="dxa"/>
            <w:tcBorders>
              <w:top w:val="single" w:sz="4" w:space="0" w:color="000000"/>
              <w:left w:val="single" w:sz="4" w:space="0" w:color="000000"/>
              <w:bottom w:val="single" w:sz="4" w:space="0" w:color="000000"/>
              <w:right w:val="single" w:sz="4" w:space="0" w:color="000000"/>
            </w:tcBorders>
            <w:hideMark/>
          </w:tcPr>
          <w:p w14:paraId="781AA508"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Recommendation</w:t>
            </w:r>
          </w:p>
        </w:tc>
      </w:tr>
      <w:tr w:rsidR="001627EC" w:rsidRPr="001627EC" w14:paraId="34108F1C"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1D742456"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GEF IW Project coordinators and respective PCUs</w:t>
            </w:r>
          </w:p>
        </w:tc>
        <w:tc>
          <w:tcPr>
            <w:tcW w:w="2838" w:type="dxa"/>
            <w:tcBorders>
              <w:top w:val="single" w:sz="4" w:space="0" w:color="000000"/>
              <w:left w:val="single" w:sz="4" w:space="0" w:color="000000"/>
              <w:bottom w:val="single" w:sz="4" w:space="0" w:color="000000"/>
              <w:right w:val="single" w:sz="4" w:space="0" w:color="000000"/>
            </w:tcBorders>
            <w:hideMark/>
          </w:tcPr>
          <w:p w14:paraId="0BA2BD3B"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improve capacity to manage transboundary water ecosystems and share experience between them</w:t>
            </w:r>
          </w:p>
        </w:tc>
        <w:tc>
          <w:tcPr>
            <w:tcW w:w="1867" w:type="dxa"/>
            <w:tcBorders>
              <w:top w:val="single" w:sz="4" w:space="0" w:color="000000"/>
              <w:left w:val="single" w:sz="4" w:space="0" w:color="000000"/>
              <w:bottom w:val="single" w:sz="4" w:space="0" w:color="000000"/>
              <w:right w:val="single" w:sz="4" w:space="0" w:color="000000"/>
            </w:tcBorders>
            <w:hideMark/>
          </w:tcPr>
          <w:p w14:paraId="7D42269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Budgetary and technical capacity constraints</w:t>
            </w:r>
          </w:p>
          <w:p w14:paraId="6DCE9A55"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Country ownership</w:t>
            </w:r>
          </w:p>
        </w:tc>
        <w:tc>
          <w:tcPr>
            <w:tcW w:w="2218" w:type="dxa"/>
            <w:tcBorders>
              <w:top w:val="single" w:sz="4" w:space="0" w:color="000000"/>
              <w:left w:val="single" w:sz="4" w:space="0" w:color="000000"/>
              <w:bottom w:val="single" w:sz="4" w:space="0" w:color="000000"/>
              <w:right w:val="single" w:sz="4" w:space="0" w:color="000000"/>
            </w:tcBorders>
          </w:tcPr>
          <w:p w14:paraId="2A03B34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Projects to budget for experience sharing and capacity building</w:t>
            </w:r>
          </w:p>
          <w:p w14:paraId="6B018322" w14:textId="77777777" w:rsidR="001627EC" w:rsidRDefault="001627EC">
            <w:pPr>
              <w:rPr>
                <w:rFonts w:asciiTheme="minorHAnsi" w:eastAsia="Calibri" w:hAnsiTheme="minorHAnsi" w:cstheme="minorHAnsi"/>
                <w:color w:val="000000"/>
                <w:sz w:val="22"/>
                <w:szCs w:val="22"/>
              </w:rPr>
            </w:pPr>
          </w:p>
        </w:tc>
      </w:tr>
      <w:tr w:rsidR="001627EC" w:rsidRPr="001627EC" w14:paraId="58631965"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7A4F046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UNDP</w:t>
            </w:r>
          </w:p>
        </w:tc>
        <w:tc>
          <w:tcPr>
            <w:tcW w:w="2838" w:type="dxa"/>
            <w:tcBorders>
              <w:top w:val="single" w:sz="4" w:space="0" w:color="000000"/>
              <w:left w:val="single" w:sz="4" w:space="0" w:color="000000"/>
              <w:bottom w:val="single" w:sz="4" w:space="0" w:color="000000"/>
              <w:right w:val="single" w:sz="4" w:space="0" w:color="000000"/>
            </w:tcBorders>
            <w:hideMark/>
          </w:tcPr>
          <w:p w14:paraId="4468DE7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secure orderly project implementation and replication of results</w:t>
            </w:r>
          </w:p>
        </w:tc>
        <w:tc>
          <w:tcPr>
            <w:tcW w:w="1867" w:type="dxa"/>
            <w:tcBorders>
              <w:top w:val="single" w:sz="4" w:space="0" w:color="000000"/>
              <w:left w:val="single" w:sz="4" w:space="0" w:color="000000"/>
              <w:bottom w:val="single" w:sz="4" w:space="0" w:color="000000"/>
              <w:right w:val="single" w:sz="4" w:space="0" w:color="000000"/>
            </w:tcBorders>
            <w:hideMark/>
          </w:tcPr>
          <w:p w14:paraId="062AC58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delay</w:t>
            </w:r>
          </w:p>
          <w:p w14:paraId="31E7DD0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replication of good results in future projects</w:t>
            </w:r>
          </w:p>
        </w:tc>
        <w:tc>
          <w:tcPr>
            <w:tcW w:w="2218" w:type="dxa"/>
            <w:tcBorders>
              <w:top w:val="single" w:sz="4" w:space="0" w:color="000000"/>
              <w:left w:val="single" w:sz="4" w:space="0" w:color="000000"/>
              <w:bottom w:val="single" w:sz="4" w:space="0" w:color="000000"/>
              <w:right w:val="single" w:sz="4" w:space="0" w:color="000000"/>
            </w:tcBorders>
            <w:hideMark/>
          </w:tcPr>
          <w:p w14:paraId="27161B7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Establish adequate project implementation monitoring system</w:t>
            </w:r>
          </w:p>
          <w:p w14:paraId="1629B07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Utilize IW:LEARN services and products to promote replication</w:t>
            </w:r>
          </w:p>
        </w:tc>
      </w:tr>
      <w:tr w:rsidR="001627EC" w:rsidRPr="001627EC" w14:paraId="05D76DA9"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6CD22DED"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UNEP</w:t>
            </w:r>
          </w:p>
        </w:tc>
        <w:tc>
          <w:tcPr>
            <w:tcW w:w="2838" w:type="dxa"/>
            <w:tcBorders>
              <w:top w:val="single" w:sz="4" w:space="0" w:color="000000"/>
              <w:left w:val="single" w:sz="4" w:space="0" w:color="000000"/>
              <w:bottom w:val="single" w:sz="4" w:space="0" w:color="000000"/>
              <w:right w:val="single" w:sz="4" w:space="0" w:color="000000"/>
            </w:tcBorders>
            <w:hideMark/>
          </w:tcPr>
          <w:p w14:paraId="5638CF1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secure orderly project implementation and replication of results</w:t>
            </w:r>
          </w:p>
        </w:tc>
        <w:tc>
          <w:tcPr>
            <w:tcW w:w="1867" w:type="dxa"/>
            <w:tcBorders>
              <w:top w:val="single" w:sz="4" w:space="0" w:color="000000"/>
              <w:left w:val="single" w:sz="4" w:space="0" w:color="000000"/>
              <w:bottom w:val="single" w:sz="4" w:space="0" w:color="000000"/>
              <w:right w:val="single" w:sz="4" w:space="0" w:color="000000"/>
            </w:tcBorders>
            <w:hideMark/>
          </w:tcPr>
          <w:p w14:paraId="5C6C7D4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delay</w:t>
            </w:r>
          </w:p>
          <w:p w14:paraId="490F6FF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adequate results to be replicated in future projects</w:t>
            </w:r>
          </w:p>
        </w:tc>
        <w:tc>
          <w:tcPr>
            <w:tcW w:w="2218" w:type="dxa"/>
            <w:tcBorders>
              <w:top w:val="single" w:sz="4" w:space="0" w:color="000000"/>
              <w:left w:val="single" w:sz="4" w:space="0" w:color="000000"/>
              <w:bottom w:val="single" w:sz="4" w:space="0" w:color="000000"/>
              <w:right w:val="single" w:sz="4" w:space="0" w:color="000000"/>
            </w:tcBorders>
            <w:hideMark/>
          </w:tcPr>
          <w:p w14:paraId="7047997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Establish adequate project implementation monitoring system</w:t>
            </w:r>
          </w:p>
        </w:tc>
      </w:tr>
      <w:tr w:rsidR="001627EC" w:rsidRPr="001627EC" w14:paraId="414A698A"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34969096"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IOC/UNESCO</w:t>
            </w:r>
          </w:p>
        </w:tc>
        <w:tc>
          <w:tcPr>
            <w:tcW w:w="2838" w:type="dxa"/>
            <w:tcBorders>
              <w:top w:val="single" w:sz="4" w:space="0" w:color="000000"/>
              <w:left w:val="single" w:sz="4" w:space="0" w:color="000000"/>
              <w:bottom w:val="single" w:sz="4" w:space="0" w:color="000000"/>
              <w:right w:val="single" w:sz="4" w:space="0" w:color="000000"/>
            </w:tcBorders>
            <w:hideMark/>
          </w:tcPr>
          <w:p w14:paraId="0F359A1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To execute the project and facilitate synergy by integrating technical subjects of common interest </w:t>
            </w:r>
          </w:p>
        </w:tc>
        <w:tc>
          <w:tcPr>
            <w:tcW w:w="1867" w:type="dxa"/>
            <w:tcBorders>
              <w:top w:val="single" w:sz="4" w:space="0" w:color="000000"/>
              <w:left w:val="single" w:sz="4" w:space="0" w:color="000000"/>
              <w:bottom w:val="single" w:sz="4" w:space="0" w:color="000000"/>
              <w:right w:val="single" w:sz="4" w:space="0" w:color="000000"/>
            </w:tcBorders>
            <w:hideMark/>
          </w:tcPr>
          <w:p w14:paraId="16645445"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delay</w:t>
            </w:r>
          </w:p>
          <w:p w14:paraId="2201A99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interest among partners to participate in the project implementation</w:t>
            </w:r>
          </w:p>
        </w:tc>
        <w:tc>
          <w:tcPr>
            <w:tcW w:w="2218" w:type="dxa"/>
            <w:tcBorders>
              <w:top w:val="single" w:sz="4" w:space="0" w:color="000000"/>
              <w:left w:val="single" w:sz="4" w:space="0" w:color="000000"/>
              <w:bottom w:val="single" w:sz="4" w:space="0" w:color="000000"/>
              <w:right w:val="single" w:sz="4" w:space="0" w:color="000000"/>
            </w:tcBorders>
            <w:hideMark/>
          </w:tcPr>
          <w:p w14:paraId="34D3ED7B"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Provide adequate technical support to the project</w:t>
            </w:r>
          </w:p>
        </w:tc>
      </w:tr>
      <w:tr w:rsidR="001627EC" w:rsidRPr="001627EC" w14:paraId="4DE428C0"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5EBFB583"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Policy influencers</w:t>
            </w:r>
          </w:p>
        </w:tc>
        <w:tc>
          <w:tcPr>
            <w:tcW w:w="2838" w:type="dxa"/>
            <w:tcBorders>
              <w:top w:val="single" w:sz="4" w:space="0" w:color="000000"/>
              <w:left w:val="single" w:sz="4" w:space="0" w:color="000000"/>
              <w:bottom w:val="single" w:sz="4" w:space="0" w:color="000000"/>
              <w:right w:val="single" w:sz="4" w:space="0" w:color="000000"/>
            </w:tcBorders>
            <w:hideMark/>
          </w:tcPr>
          <w:p w14:paraId="7BA34F6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create synergy with the project’s activities</w:t>
            </w:r>
          </w:p>
          <w:p w14:paraId="432958E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To gain opportunity for elevating portfolio concerns </w:t>
            </w:r>
            <w:r>
              <w:rPr>
                <w:rFonts w:asciiTheme="minorHAnsi" w:eastAsia="Calibri" w:hAnsiTheme="minorHAnsi" w:cstheme="minorHAnsi"/>
                <w:color w:val="000000"/>
                <w:sz w:val="22"/>
                <w:szCs w:val="22"/>
              </w:rPr>
              <w:lastRenderedPageBreak/>
              <w:t>into high-level panels and policymaking bodies</w:t>
            </w:r>
          </w:p>
        </w:tc>
        <w:tc>
          <w:tcPr>
            <w:tcW w:w="1867" w:type="dxa"/>
            <w:tcBorders>
              <w:top w:val="single" w:sz="4" w:space="0" w:color="000000"/>
              <w:left w:val="single" w:sz="4" w:space="0" w:color="000000"/>
              <w:bottom w:val="single" w:sz="4" w:space="0" w:color="000000"/>
              <w:right w:val="single" w:sz="4" w:space="0" w:color="000000"/>
            </w:tcBorders>
            <w:hideMark/>
          </w:tcPr>
          <w:p w14:paraId="2444DBA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Lack of interest in project activities</w:t>
            </w:r>
          </w:p>
        </w:tc>
        <w:tc>
          <w:tcPr>
            <w:tcW w:w="2218" w:type="dxa"/>
            <w:tcBorders>
              <w:top w:val="single" w:sz="4" w:space="0" w:color="000000"/>
              <w:left w:val="single" w:sz="4" w:space="0" w:color="000000"/>
              <w:bottom w:val="single" w:sz="4" w:space="0" w:color="000000"/>
              <w:right w:val="single" w:sz="4" w:space="0" w:color="000000"/>
            </w:tcBorders>
            <w:hideMark/>
          </w:tcPr>
          <w:p w14:paraId="00AB7CEC"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Leverage IW partnerships and projects existing </w:t>
            </w:r>
            <w:r>
              <w:rPr>
                <w:rFonts w:asciiTheme="minorHAnsi" w:eastAsia="Calibri" w:hAnsiTheme="minorHAnsi" w:cstheme="minorHAnsi"/>
                <w:color w:val="000000"/>
                <w:sz w:val="22"/>
                <w:szCs w:val="22"/>
              </w:rPr>
              <w:lastRenderedPageBreak/>
              <w:t>relationships with influencers</w:t>
            </w:r>
          </w:p>
        </w:tc>
      </w:tr>
      <w:tr w:rsidR="001627EC" w:rsidRPr="001627EC" w14:paraId="4C35C7E2"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44FC1E60"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Project partners directly involved in project implementation</w:t>
            </w:r>
          </w:p>
        </w:tc>
        <w:tc>
          <w:tcPr>
            <w:tcW w:w="2838" w:type="dxa"/>
            <w:tcBorders>
              <w:top w:val="single" w:sz="4" w:space="0" w:color="000000"/>
              <w:left w:val="single" w:sz="4" w:space="0" w:color="000000"/>
              <w:bottom w:val="single" w:sz="4" w:space="0" w:color="000000"/>
              <w:right w:val="single" w:sz="4" w:space="0" w:color="000000"/>
            </w:tcBorders>
            <w:hideMark/>
          </w:tcPr>
          <w:p w14:paraId="172618E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create synergy with the project’s activities</w:t>
            </w:r>
          </w:p>
          <w:p w14:paraId="2B96091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To gain opportunity for future activities in the transboundary water bodies by </w:t>
            </w:r>
            <w:proofErr w:type="spellStart"/>
            <w:r>
              <w:rPr>
                <w:rFonts w:asciiTheme="minorHAnsi" w:eastAsia="Calibri" w:hAnsiTheme="minorHAnsi" w:cstheme="minorHAnsi"/>
                <w:color w:val="000000"/>
                <w:sz w:val="22"/>
                <w:szCs w:val="22"/>
              </w:rPr>
              <w:t>utilising</w:t>
            </w:r>
            <w:proofErr w:type="spellEnd"/>
            <w:r>
              <w:rPr>
                <w:rFonts w:asciiTheme="minorHAnsi" w:eastAsia="Calibri" w:hAnsiTheme="minorHAnsi" w:cstheme="minorHAnsi"/>
                <w:color w:val="000000"/>
                <w:sz w:val="22"/>
                <w:szCs w:val="22"/>
              </w:rPr>
              <w:t xml:space="preserve"> their technical expertise </w:t>
            </w:r>
          </w:p>
        </w:tc>
        <w:tc>
          <w:tcPr>
            <w:tcW w:w="1867" w:type="dxa"/>
            <w:tcBorders>
              <w:top w:val="single" w:sz="4" w:space="0" w:color="000000"/>
              <w:left w:val="single" w:sz="4" w:space="0" w:color="000000"/>
              <w:bottom w:val="single" w:sz="4" w:space="0" w:color="000000"/>
              <w:right w:val="single" w:sz="4" w:space="0" w:color="000000"/>
            </w:tcBorders>
            <w:hideMark/>
          </w:tcPr>
          <w:p w14:paraId="35E7B9E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Budgetary constraints</w:t>
            </w:r>
          </w:p>
          <w:p w14:paraId="15D2D69D"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interest for their technical expertise among project beneficiaries</w:t>
            </w:r>
          </w:p>
        </w:tc>
        <w:tc>
          <w:tcPr>
            <w:tcW w:w="2218" w:type="dxa"/>
            <w:tcBorders>
              <w:top w:val="single" w:sz="4" w:space="0" w:color="000000"/>
              <w:left w:val="single" w:sz="4" w:space="0" w:color="000000"/>
              <w:bottom w:val="single" w:sz="4" w:space="0" w:color="000000"/>
              <w:right w:val="single" w:sz="4" w:space="0" w:color="000000"/>
            </w:tcBorders>
            <w:hideMark/>
          </w:tcPr>
          <w:p w14:paraId="548011C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Provide co-financing</w:t>
            </w:r>
          </w:p>
          <w:p w14:paraId="50363FAE"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Make attractive products</w:t>
            </w:r>
          </w:p>
        </w:tc>
      </w:tr>
      <w:tr w:rsidR="001627EC" w:rsidRPr="001627EC" w14:paraId="41A47684"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4642027E"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Participating countries</w:t>
            </w:r>
          </w:p>
        </w:tc>
        <w:tc>
          <w:tcPr>
            <w:tcW w:w="2838" w:type="dxa"/>
            <w:tcBorders>
              <w:top w:val="single" w:sz="4" w:space="0" w:color="000000"/>
              <w:left w:val="single" w:sz="4" w:space="0" w:color="000000"/>
              <w:bottom w:val="single" w:sz="4" w:space="0" w:color="000000"/>
              <w:right w:val="single" w:sz="4" w:space="0" w:color="000000"/>
            </w:tcBorders>
            <w:hideMark/>
          </w:tcPr>
          <w:p w14:paraId="6D6669F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Benefit from participation in regional and thematic dialogues and other capacity building activities of the project</w:t>
            </w:r>
          </w:p>
          <w:p w14:paraId="0CFD4DC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Scale-up knowledge management sharing collective experience</w:t>
            </w:r>
          </w:p>
        </w:tc>
        <w:tc>
          <w:tcPr>
            <w:tcW w:w="1867" w:type="dxa"/>
            <w:tcBorders>
              <w:top w:val="single" w:sz="4" w:space="0" w:color="000000"/>
              <w:left w:val="single" w:sz="4" w:space="0" w:color="000000"/>
              <w:bottom w:val="single" w:sz="4" w:space="0" w:color="000000"/>
              <w:right w:val="single" w:sz="4" w:space="0" w:color="000000"/>
            </w:tcBorders>
          </w:tcPr>
          <w:p w14:paraId="6C9CB12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Budgetary constraints</w:t>
            </w:r>
          </w:p>
          <w:p w14:paraId="5245801C"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technical capacity to absorb project outputs</w:t>
            </w:r>
          </w:p>
          <w:p w14:paraId="4F5082B8" w14:textId="77777777" w:rsidR="001627EC" w:rsidRDefault="001627EC">
            <w:pPr>
              <w:rPr>
                <w:rFonts w:asciiTheme="minorHAnsi" w:eastAsia="Calibri" w:hAnsiTheme="minorHAnsi" w:cstheme="minorHAnsi"/>
                <w:color w:val="000000"/>
                <w:sz w:val="22"/>
                <w:szCs w:val="22"/>
              </w:rPr>
            </w:pPr>
          </w:p>
        </w:tc>
        <w:tc>
          <w:tcPr>
            <w:tcW w:w="2218" w:type="dxa"/>
            <w:tcBorders>
              <w:top w:val="single" w:sz="4" w:space="0" w:color="000000"/>
              <w:left w:val="single" w:sz="4" w:space="0" w:color="000000"/>
              <w:bottom w:val="single" w:sz="4" w:space="0" w:color="000000"/>
              <w:right w:val="single" w:sz="4" w:space="0" w:color="000000"/>
            </w:tcBorders>
          </w:tcPr>
          <w:p w14:paraId="5EB3B0CC"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Replication of project results at national and local levels</w:t>
            </w:r>
          </w:p>
          <w:p w14:paraId="2E9267CA" w14:textId="77777777" w:rsidR="001627EC" w:rsidRDefault="001627EC">
            <w:pPr>
              <w:rPr>
                <w:rFonts w:asciiTheme="minorHAnsi" w:eastAsia="Calibri" w:hAnsiTheme="minorHAnsi" w:cstheme="minorHAnsi"/>
                <w:color w:val="000000"/>
                <w:sz w:val="22"/>
                <w:szCs w:val="22"/>
              </w:rPr>
            </w:pPr>
          </w:p>
        </w:tc>
      </w:tr>
      <w:tr w:rsidR="001627EC" w:rsidRPr="001627EC" w14:paraId="0E7E6F31"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5D63806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The GEF Agencies besides UNDP and UNEP</w:t>
            </w:r>
          </w:p>
        </w:tc>
        <w:tc>
          <w:tcPr>
            <w:tcW w:w="2838" w:type="dxa"/>
            <w:tcBorders>
              <w:top w:val="single" w:sz="4" w:space="0" w:color="000000"/>
              <w:left w:val="single" w:sz="4" w:space="0" w:color="000000"/>
              <w:bottom w:val="single" w:sz="4" w:space="0" w:color="000000"/>
              <w:right w:val="single" w:sz="4" w:space="0" w:color="000000"/>
            </w:tcBorders>
          </w:tcPr>
          <w:p w14:paraId="4D415F62"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Replication of project results</w:t>
            </w:r>
            <w:r>
              <w:rPr>
                <w:rFonts w:asciiTheme="minorHAnsi" w:eastAsia="Calibri" w:hAnsiTheme="minorHAnsi" w:cstheme="minorHAnsi"/>
                <w:color w:val="000000"/>
                <w:sz w:val="22"/>
                <w:szCs w:val="22"/>
              </w:rPr>
              <w:br/>
            </w:r>
            <w:r>
              <w:rPr>
                <w:rFonts w:asciiTheme="minorHAnsi" w:eastAsia="Calibri" w:hAnsiTheme="minorHAnsi" w:cstheme="minorHAnsi"/>
                <w:color w:val="000000"/>
                <w:sz w:val="22"/>
                <w:szCs w:val="22"/>
              </w:rPr>
              <w:br/>
            </w:r>
          </w:p>
          <w:p w14:paraId="5FF51162" w14:textId="77777777" w:rsidR="001627EC" w:rsidRDefault="001627EC">
            <w:pPr>
              <w:shd w:val="clear" w:color="auto" w:fill="FFFFFF"/>
              <w:rPr>
                <w:rFonts w:asciiTheme="minorHAnsi" w:eastAsia="Calibri" w:hAnsiTheme="minorHAnsi" w:cstheme="minorHAnsi"/>
                <w:color w:val="000000"/>
                <w:sz w:val="22"/>
                <w:szCs w:val="22"/>
              </w:rPr>
            </w:pPr>
          </w:p>
        </w:tc>
        <w:tc>
          <w:tcPr>
            <w:tcW w:w="1867" w:type="dxa"/>
            <w:tcBorders>
              <w:top w:val="single" w:sz="4" w:space="0" w:color="000000"/>
              <w:left w:val="single" w:sz="4" w:space="0" w:color="000000"/>
              <w:bottom w:val="single" w:sz="4" w:space="0" w:color="000000"/>
              <w:right w:val="single" w:sz="4" w:space="0" w:color="000000"/>
            </w:tcBorders>
            <w:hideMark/>
          </w:tcPr>
          <w:p w14:paraId="57A8D43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interest among agencies</w:t>
            </w:r>
          </w:p>
        </w:tc>
        <w:tc>
          <w:tcPr>
            <w:tcW w:w="2218" w:type="dxa"/>
            <w:tcBorders>
              <w:top w:val="single" w:sz="4" w:space="0" w:color="000000"/>
              <w:left w:val="single" w:sz="4" w:space="0" w:color="000000"/>
              <w:bottom w:val="single" w:sz="4" w:space="0" w:color="000000"/>
              <w:right w:val="single" w:sz="4" w:space="0" w:color="000000"/>
            </w:tcBorders>
            <w:hideMark/>
          </w:tcPr>
          <w:p w14:paraId="02E10B6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Ensure better communication with the agencies</w:t>
            </w:r>
          </w:p>
        </w:tc>
      </w:tr>
      <w:tr w:rsidR="001627EC" w:rsidRPr="001627EC" w14:paraId="486D1C23"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237C744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GEF secretariat</w:t>
            </w:r>
          </w:p>
        </w:tc>
        <w:tc>
          <w:tcPr>
            <w:tcW w:w="2838" w:type="dxa"/>
            <w:tcBorders>
              <w:top w:val="single" w:sz="4" w:space="0" w:color="000000"/>
              <w:left w:val="single" w:sz="4" w:space="0" w:color="000000"/>
              <w:bottom w:val="single" w:sz="4" w:space="0" w:color="000000"/>
              <w:right w:val="single" w:sz="4" w:space="0" w:color="000000"/>
            </w:tcBorders>
            <w:hideMark/>
          </w:tcPr>
          <w:p w14:paraId="7886CC71"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to assist meeting the objectives of the International Waters Focal Area</w:t>
            </w:r>
          </w:p>
        </w:tc>
        <w:tc>
          <w:tcPr>
            <w:tcW w:w="1867" w:type="dxa"/>
            <w:tcBorders>
              <w:top w:val="single" w:sz="4" w:space="0" w:color="000000"/>
              <w:left w:val="single" w:sz="4" w:space="0" w:color="000000"/>
              <w:bottom w:val="single" w:sz="4" w:space="0" w:color="000000"/>
              <w:right w:val="single" w:sz="4" w:space="0" w:color="000000"/>
            </w:tcBorders>
            <w:hideMark/>
          </w:tcPr>
          <w:p w14:paraId="665E11C5"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IW:LEARN products are not up taken by projects in IW portfolio</w:t>
            </w:r>
          </w:p>
        </w:tc>
        <w:tc>
          <w:tcPr>
            <w:tcW w:w="2218" w:type="dxa"/>
            <w:tcBorders>
              <w:top w:val="single" w:sz="4" w:space="0" w:color="000000"/>
              <w:left w:val="single" w:sz="4" w:space="0" w:color="000000"/>
              <w:bottom w:val="single" w:sz="4" w:space="0" w:color="000000"/>
              <w:right w:val="single" w:sz="4" w:space="0" w:color="000000"/>
            </w:tcBorders>
            <w:hideMark/>
          </w:tcPr>
          <w:p w14:paraId="41DCA32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IW projects assisted to uptake IW:LEARN products</w:t>
            </w:r>
          </w:p>
        </w:tc>
      </w:tr>
      <w:tr w:rsidR="001627EC" w:rsidRPr="001627EC" w14:paraId="22B947C9"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1CDD514B"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Civil Society/Local Community </w:t>
            </w:r>
            <w:proofErr w:type="spellStart"/>
            <w:r>
              <w:rPr>
                <w:rFonts w:asciiTheme="minorHAnsi" w:eastAsia="Calibri" w:hAnsiTheme="minorHAnsi" w:cstheme="minorHAnsi"/>
                <w:color w:val="000000"/>
                <w:sz w:val="22"/>
                <w:szCs w:val="22"/>
              </w:rPr>
              <w:t>Organisations</w:t>
            </w:r>
            <w:proofErr w:type="spellEnd"/>
          </w:p>
        </w:tc>
        <w:tc>
          <w:tcPr>
            <w:tcW w:w="2838" w:type="dxa"/>
            <w:tcBorders>
              <w:top w:val="single" w:sz="4" w:space="0" w:color="000000"/>
              <w:left w:val="single" w:sz="4" w:space="0" w:color="000000"/>
              <w:bottom w:val="single" w:sz="4" w:space="0" w:color="000000"/>
              <w:right w:val="single" w:sz="4" w:space="0" w:color="000000"/>
            </w:tcBorders>
            <w:hideMark/>
          </w:tcPr>
          <w:p w14:paraId="71847745"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Improvements in the quality of the environment in freshwater and marine ecosystems</w:t>
            </w:r>
          </w:p>
          <w:p w14:paraId="01E087C8"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Contribute with their expertise and networks to the successful implementation of the project</w:t>
            </w:r>
          </w:p>
        </w:tc>
        <w:tc>
          <w:tcPr>
            <w:tcW w:w="1867" w:type="dxa"/>
            <w:tcBorders>
              <w:top w:val="single" w:sz="4" w:space="0" w:color="000000"/>
              <w:left w:val="single" w:sz="4" w:space="0" w:color="000000"/>
              <w:bottom w:val="single" w:sz="4" w:space="0" w:color="000000"/>
              <w:right w:val="single" w:sz="4" w:space="0" w:color="000000"/>
            </w:tcBorders>
          </w:tcPr>
          <w:p w14:paraId="1DC5C4EC"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Transparency of the decision-making and communication processes </w:t>
            </w:r>
          </w:p>
          <w:p w14:paraId="47204D3B" w14:textId="77777777" w:rsidR="001627EC" w:rsidRDefault="001627EC">
            <w:pPr>
              <w:rPr>
                <w:rFonts w:asciiTheme="minorHAnsi" w:eastAsia="Calibri" w:hAnsiTheme="minorHAnsi" w:cstheme="minorHAnsi"/>
                <w:color w:val="000000"/>
                <w:sz w:val="22"/>
                <w:szCs w:val="22"/>
              </w:rPr>
            </w:pPr>
          </w:p>
        </w:tc>
        <w:tc>
          <w:tcPr>
            <w:tcW w:w="2218" w:type="dxa"/>
            <w:tcBorders>
              <w:top w:val="single" w:sz="4" w:space="0" w:color="000000"/>
              <w:left w:val="single" w:sz="4" w:space="0" w:color="000000"/>
              <w:bottom w:val="single" w:sz="4" w:space="0" w:color="000000"/>
              <w:right w:val="single" w:sz="4" w:space="0" w:color="000000"/>
            </w:tcBorders>
          </w:tcPr>
          <w:p w14:paraId="3D3FA374"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Ensure there is free access for information about the project to various groups whenever they request for it </w:t>
            </w:r>
          </w:p>
          <w:p w14:paraId="4D6E7CDF" w14:textId="77777777" w:rsidR="001627EC" w:rsidRDefault="001627EC">
            <w:pPr>
              <w:rPr>
                <w:rFonts w:asciiTheme="minorHAnsi" w:eastAsia="Calibri" w:hAnsiTheme="minorHAnsi" w:cstheme="minorHAnsi"/>
                <w:color w:val="000000"/>
                <w:sz w:val="22"/>
                <w:szCs w:val="22"/>
              </w:rPr>
            </w:pPr>
          </w:p>
        </w:tc>
      </w:tr>
      <w:tr w:rsidR="001627EC" w14:paraId="30224726"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3903BC8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Academic Research Institutes</w:t>
            </w:r>
          </w:p>
        </w:tc>
        <w:tc>
          <w:tcPr>
            <w:tcW w:w="2838" w:type="dxa"/>
            <w:tcBorders>
              <w:top w:val="single" w:sz="4" w:space="0" w:color="000000"/>
              <w:left w:val="single" w:sz="4" w:space="0" w:color="000000"/>
              <w:bottom w:val="single" w:sz="4" w:space="0" w:color="000000"/>
              <w:right w:val="single" w:sz="4" w:space="0" w:color="000000"/>
            </w:tcBorders>
            <w:hideMark/>
          </w:tcPr>
          <w:p w14:paraId="5F63ED4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Participate in technical activities such as workshops, training courses, experience sand research findings’ exchange etc.</w:t>
            </w:r>
          </w:p>
        </w:tc>
        <w:tc>
          <w:tcPr>
            <w:tcW w:w="1867" w:type="dxa"/>
            <w:tcBorders>
              <w:top w:val="single" w:sz="4" w:space="0" w:color="000000"/>
              <w:left w:val="single" w:sz="4" w:space="0" w:color="000000"/>
              <w:bottom w:val="single" w:sz="4" w:space="0" w:color="000000"/>
              <w:right w:val="single" w:sz="4" w:space="0" w:color="000000"/>
            </w:tcBorders>
            <w:hideMark/>
          </w:tcPr>
          <w:p w14:paraId="1792375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Budgetary constraints</w:t>
            </w:r>
          </w:p>
        </w:tc>
        <w:tc>
          <w:tcPr>
            <w:tcW w:w="2218" w:type="dxa"/>
            <w:tcBorders>
              <w:top w:val="single" w:sz="4" w:space="0" w:color="000000"/>
              <w:left w:val="single" w:sz="4" w:space="0" w:color="000000"/>
              <w:bottom w:val="single" w:sz="4" w:space="0" w:color="000000"/>
              <w:right w:val="single" w:sz="4" w:space="0" w:color="000000"/>
            </w:tcBorders>
            <w:hideMark/>
          </w:tcPr>
          <w:p w14:paraId="5F613B06"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Secure co-financing</w:t>
            </w:r>
          </w:p>
        </w:tc>
      </w:tr>
      <w:tr w:rsidR="001627EC" w:rsidRPr="001627EC" w14:paraId="5F106178"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2E103AD9"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Bilateral/Multilateral Agencies</w:t>
            </w:r>
          </w:p>
        </w:tc>
        <w:tc>
          <w:tcPr>
            <w:tcW w:w="2838" w:type="dxa"/>
            <w:tcBorders>
              <w:top w:val="single" w:sz="4" w:space="0" w:color="000000"/>
              <w:left w:val="single" w:sz="4" w:space="0" w:color="000000"/>
              <w:bottom w:val="single" w:sz="4" w:space="0" w:color="000000"/>
              <w:right w:val="single" w:sz="4" w:space="0" w:color="000000"/>
            </w:tcBorders>
            <w:hideMark/>
          </w:tcPr>
          <w:p w14:paraId="3FAE599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Participate in technical activities such as workshops, IW conferences, technical meetings, twinning, training etc.</w:t>
            </w:r>
          </w:p>
          <w:p w14:paraId="1EAFEFFE"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Benefit from technical products of the project</w:t>
            </w:r>
          </w:p>
        </w:tc>
        <w:tc>
          <w:tcPr>
            <w:tcW w:w="1867" w:type="dxa"/>
            <w:tcBorders>
              <w:top w:val="single" w:sz="4" w:space="0" w:color="000000"/>
              <w:left w:val="single" w:sz="4" w:space="0" w:color="000000"/>
              <w:bottom w:val="single" w:sz="4" w:space="0" w:color="000000"/>
              <w:right w:val="single" w:sz="4" w:space="0" w:color="000000"/>
            </w:tcBorders>
            <w:hideMark/>
          </w:tcPr>
          <w:p w14:paraId="5E96999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Lack of networking opportunities during the IW:LEARN events</w:t>
            </w:r>
          </w:p>
        </w:tc>
        <w:tc>
          <w:tcPr>
            <w:tcW w:w="2218" w:type="dxa"/>
            <w:tcBorders>
              <w:top w:val="single" w:sz="4" w:space="0" w:color="000000"/>
              <w:left w:val="single" w:sz="4" w:space="0" w:color="000000"/>
              <w:bottom w:val="single" w:sz="4" w:space="0" w:color="000000"/>
              <w:right w:val="single" w:sz="4" w:space="0" w:color="000000"/>
            </w:tcBorders>
            <w:hideMark/>
          </w:tcPr>
          <w:p w14:paraId="528F508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IW:LEARN should assist in establishing contacts with the IW focal points</w:t>
            </w:r>
          </w:p>
        </w:tc>
      </w:tr>
      <w:tr w:rsidR="001627EC" w:rsidRPr="001627EC" w14:paraId="524EB462"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1278150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Private Sector</w:t>
            </w:r>
          </w:p>
        </w:tc>
        <w:tc>
          <w:tcPr>
            <w:tcW w:w="2838" w:type="dxa"/>
            <w:tcBorders>
              <w:top w:val="single" w:sz="4" w:space="0" w:color="000000"/>
              <w:left w:val="single" w:sz="4" w:space="0" w:color="000000"/>
              <w:bottom w:val="single" w:sz="4" w:space="0" w:color="000000"/>
              <w:right w:val="single" w:sz="4" w:space="0" w:color="000000"/>
            </w:tcBorders>
            <w:hideMark/>
          </w:tcPr>
          <w:p w14:paraId="23CC9979" w14:textId="77777777" w:rsidR="001627EC" w:rsidRDefault="001627EC">
            <w:pPr>
              <w:rPr>
                <w:rFonts w:asciiTheme="minorHAnsi" w:eastAsia="Calibri" w:hAnsiTheme="minorHAnsi" w:cstheme="minorHAnsi"/>
                <w:color w:val="000000"/>
                <w:sz w:val="22"/>
                <w:szCs w:val="22"/>
              </w:rPr>
            </w:pPr>
            <w:proofErr w:type="spellStart"/>
            <w:r>
              <w:rPr>
                <w:rFonts w:asciiTheme="minorHAnsi" w:eastAsia="Calibri" w:hAnsiTheme="minorHAnsi" w:cstheme="minorHAnsi"/>
                <w:color w:val="000000"/>
                <w:sz w:val="22"/>
                <w:szCs w:val="22"/>
              </w:rPr>
              <w:t>Utilise</w:t>
            </w:r>
            <w:proofErr w:type="spellEnd"/>
            <w:r>
              <w:rPr>
                <w:rFonts w:asciiTheme="minorHAnsi" w:eastAsia="Calibri" w:hAnsiTheme="minorHAnsi" w:cstheme="minorHAnsi"/>
                <w:color w:val="000000"/>
                <w:sz w:val="22"/>
                <w:szCs w:val="22"/>
              </w:rPr>
              <w:t xml:space="preserve"> investment opportunities offered by the project</w:t>
            </w:r>
          </w:p>
          <w:p w14:paraId="7B28733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Assist IW projects in leveraging additional financing for implementation of SAPs</w:t>
            </w:r>
          </w:p>
        </w:tc>
        <w:tc>
          <w:tcPr>
            <w:tcW w:w="1867" w:type="dxa"/>
            <w:tcBorders>
              <w:top w:val="single" w:sz="4" w:space="0" w:color="000000"/>
              <w:left w:val="single" w:sz="4" w:space="0" w:color="000000"/>
              <w:bottom w:val="single" w:sz="4" w:space="0" w:color="000000"/>
              <w:right w:val="single" w:sz="4" w:space="0" w:color="000000"/>
            </w:tcBorders>
            <w:hideMark/>
          </w:tcPr>
          <w:p w14:paraId="59D846DD"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Obstacles in establishing adequate linkages </w:t>
            </w:r>
            <w:r>
              <w:rPr>
                <w:rFonts w:asciiTheme="minorHAnsi" w:eastAsia="Calibri" w:hAnsiTheme="minorHAnsi" w:cstheme="minorHAnsi"/>
                <w:color w:val="000000"/>
                <w:sz w:val="22"/>
                <w:szCs w:val="22"/>
              </w:rPr>
              <w:lastRenderedPageBreak/>
              <w:t>with projects that might result in investment opportunities</w:t>
            </w:r>
          </w:p>
        </w:tc>
        <w:tc>
          <w:tcPr>
            <w:tcW w:w="2218" w:type="dxa"/>
            <w:tcBorders>
              <w:top w:val="single" w:sz="4" w:space="0" w:color="000000"/>
              <w:left w:val="single" w:sz="4" w:space="0" w:color="000000"/>
              <w:bottom w:val="single" w:sz="4" w:space="0" w:color="000000"/>
              <w:right w:val="single" w:sz="4" w:space="0" w:color="000000"/>
            </w:tcBorders>
          </w:tcPr>
          <w:p w14:paraId="5923764F"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Ensure that IW:LEARN facilitates clear </w:t>
            </w:r>
            <w:r>
              <w:rPr>
                <w:rFonts w:asciiTheme="minorHAnsi" w:eastAsia="Calibri" w:hAnsiTheme="minorHAnsi" w:cstheme="minorHAnsi"/>
                <w:color w:val="000000"/>
                <w:sz w:val="22"/>
                <w:szCs w:val="22"/>
              </w:rPr>
              <w:lastRenderedPageBreak/>
              <w:t>communication with the projects</w:t>
            </w:r>
          </w:p>
          <w:p w14:paraId="407E8F5D" w14:textId="77777777" w:rsidR="001627EC" w:rsidRDefault="001627EC">
            <w:pPr>
              <w:rPr>
                <w:rFonts w:asciiTheme="minorHAnsi" w:eastAsia="Calibri" w:hAnsiTheme="minorHAnsi" w:cstheme="minorHAnsi"/>
                <w:color w:val="000000"/>
                <w:sz w:val="22"/>
                <w:szCs w:val="22"/>
              </w:rPr>
            </w:pPr>
          </w:p>
        </w:tc>
      </w:tr>
      <w:tr w:rsidR="001627EC" w:rsidRPr="001627EC" w14:paraId="1950D551"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306AE606"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Transboundary</w:t>
            </w:r>
            <w:r>
              <w:rPr>
                <w:rFonts w:asciiTheme="minorHAnsi" w:eastAsia="Calibri" w:hAnsiTheme="minorHAnsi" w:cstheme="minorHAnsi"/>
                <w:sz w:val="22"/>
                <w:szCs w:val="22"/>
              </w:rPr>
              <w:t>/ Basin Bodies</w:t>
            </w:r>
          </w:p>
        </w:tc>
        <w:tc>
          <w:tcPr>
            <w:tcW w:w="2838" w:type="dxa"/>
            <w:tcBorders>
              <w:top w:val="single" w:sz="4" w:space="0" w:color="000000"/>
              <w:left w:val="single" w:sz="4" w:space="0" w:color="000000"/>
              <w:bottom w:val="single" w:sz="4" w:space="0" w:color="000000"/>
              <w:right w:val="single" w:sz="4" w:space="0" w:color="000000"/>
            </w:tcBorders>
            <w:hideMark/>
          </w:tcPr>
          <w:p w14:paraId="1007468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Receive scientific knowledge, experiences and lessons learned from IW projects</w:t>
            </w:r>
          </w:p>
          <w:p w14:paraId="0229746D"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Ensure that there is clear communication with the projects</w:t>
            </w:r>
          </w:p>
        </w:tc>
        <w:tc>
          <w:tcPr>
            <w:tcW w:w="1867" w:type="dxa"/>
            <w:tcBorders>
              <w:top w:val="single" w:sz="4" w:space="0" w:color="000000"/>
              <w:left w:val="single" w:sz="4" w:space="0" w:color="000000"/>
              <w:bottom w:val="single" w:sz="4" w:space="0" w:color="000000"/>
              <w:right w:val="single" w:sz="4" w:space="0" w:color="000000"/>
            </w:tcBorders>
            <w:hideMark/>
          </w:tcPr>
          <w:p w14:paraId="0B6422BD"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Transparency of the decision-making and communication processes </w:t>
            </w:r>
          </w:p>
        </w:tc>
        <w:tc>
          <w:tcPr>
            <w:tcW w:w="2218" w:type="dxa"/>
            <w:tcBorders>
              <w:top w:val="single" w:sz="4" w:space="0" w:color="000000"/>
              <w:left w:val="single" w:sz="4" w:space="0" w:color="000000"/>
              <w:bottom w:val="single" w:sz="4" w:space="0" w:color="000000"/>
              <w:right w:val="single" w:sz="4" w:space="0" w:color="000000"/>
            </w:tcBorders>
          </w:tcPr>
          <w:p w14:paraId="1B95556D"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Maintain relationship with IW projects in their regions</w:t>
            </w:r>
          </w:p>
          <w:p w14:paraId="4AFAF9E0" w14:textId="77777777" w:rsidR="001627EC" w:rsidRDefault="001627EC">
            <w:pPr>
              <w:shd w:val="clear" w:color="auto" w:fill="FFFFFF"/>
              <w:rPr>
                <w:rFonts w:asciiTheme="minorHAnsi" w:eastAsia="Calibri" w:hAnsiTheme="minorHAnsi" w:cstheme="minorHAnsi"/>
                <w:color w:val="000000"/>
                <w:sz w:val="22"/>
                <w:szCs w:val="22"/>
              </w:rPr>
            </w:pPr>
          </w:p>
        </w:tc>
      </w:tr>
      <w:tr w:rsidR="001627EC" w:rsidRPr="001627EC" w14:paraId="12FA45B1"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4D14326E"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Vulnerable Groups</w:t>
            </w:r>
          </w:p>
        </w:tc>
        <w:tc>
          <w:tcPr>
            <w:tcW w:w="2838" w:type="dxa"/>
            <w:tcBorders>
              <w:top w:val="single" w:sz="4" w:space="0" w:color="000000"/>
              <w:left w:val="single" w:sz="4" w:space="0" w:color="000000"/>
              <w:bottom w:val="single" w:sz="4" w:space="0" w:color="000000"/>
              <w:right w:val="single" w:sz="4" w:space="0" w:color="000000"/>
            </w:tcBorders>
            <w:hideMark/>
          </w:tcPr>
          <w:p w14:paraId="1ADF9408"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be identified/</w:t>
            </w:r>
            <w:proofErr w:type="spellStart"/>
            <w:r>
              <w:rPr>
                <w:rFonts w:asciiTheme="minorHAnsi" w:eastAsia="Calibri" w:hAnsiTheme="minorHAnsi" w:cstheme="minorHAnsi"/>
                <w:color w:val="000000"/>
                <w:sz w:val="22"/>
                <w:szCs w:val="22"/>
              </w:rPr>
              <w:t>analysed</w:t>
            </w:r>
            <w:proofErr w:type="spellEnd"/>
            <w:r>
              <w:rPr>
                <w:rFonts w:asciiTheme="minorHAnsi" w:eastAsia="Calibri" w:hAnsiTheme="minorHAnsi" w:cstheme="minorHAnsi"/>
                <w:color w:val="000000"/>
                <w:sz w:val="22"/>
                <w:szCs w:val="22"/>
              </w:rPr>
              <w:t xml:space="preserve"> and given more opportunity to interact with IW:LEARN project and air their concerns </w:t>
            </w:r>
          </w:p>
        </w:tc>
        <w:tc>
          <w:tcPr>
            <w:tcW w:w="1867" w:type="dxa"/>
            <w:tcBorders>
              <w:top w:val="single" w:sz="4" w:space="0" w:color="000000"/>
              <w:left w:val="single" w:sz="4" w:space="0" w:color="000000"/>
              <w:bottom w:val="single" w:sz="4" w:space="0" w:color="000000"/>
              <w:right w:val="single" w:sz="4" w:space="0" w:color="000000"/>
            </w:tcBorders>
            <w:hideMark/>
          </w:tcPr>
          <w:p w14:paraId="0E3ECA3B"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Impacts on their lifestyles brought about by projects </w:t>
            </w:r>
          </w:p>
          <w:p w14:paraId="19E0EC50"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Not being given chance to participate in projects </w:t>
            </w:r>
          </w:p>
        </w:tc>
        <w:tc>
          <w:tcPr>
            <w:tcW w:w="2218" w:type="dxa"/>
            <w:tcBorders>
              <w:top w:val="single" w:sz="4" w:space="0" w:color="000000"/>
              <w:left w:val="single" w:sz="4" w:space="0" w:color="000000"/>
              <w:bottom w:val="single" w:sz="4" w:space="0" w:color="000000"/>
              <w:right w:val="single" w:sz="4" w:space="0" w:color="000000"/>
            </w:tcBorders>
            <w:hideMark/>
          </w:tcPr>
          <w:p w14:paraId="64D67959"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Ensure that there is clear communication with these groups and project impacts on </w:t>
            </w:r>
            <w:proofErr w:type="spellStart"/>
            <w:r>
              <w:rPr>
                <w:rFonts w:asciiTheme="minorHAnsi" w:eastAsia="Calibri" w:hAnsiTheme="minorHAnsi" w:cstheme="minorHAnsi"/>
                <w:color w:val="000000"/>
                <w:sz w:val="22"/>
                <w:szCs w:val="22"/>
              </w:rPr>
              <w:t>marginalised</w:t>
            </w:r>
            <w:proofErr w:type="spellEnd"/>
            <w:r>
              <w:rPr>
                <w:rFonts w:asciiTheme="minorHAnsi" w:eastAsia="Calibri" w:hAnsiTheme="minorHAnsi" w:cstheme="minorHAnsi"/>
                <w:color w:val="000000"/>
                <w:sz w:val="22"/>
                <w:szCs w:val="22"/>
              </w:rPr>
              <w:t xml:space="preserve"> groups if any are identified and addressed </w:t>
            </w:r>
          </w:p>
        </w:tc>
      </w:tr>
      <w:tr w:rsidR="001627EC" w:rsidRPr="001627EC" w14:paraId="4F87DBF3" w14:textId="77777777" w:rsidTr="001627EC">
        <w:tc>
          <w:tcPr>
            <w:tcW w:w="2093" w:type="dxa"/>
            <w:tcBorders>
              <w:top w:val="single" w:sz="4" w:space="0" w:color="000000"/>
              <w:left w:val="single" w:sz="4" w:space="0" w:color="000000"/>
              <w:bottom w:val="single" w:sz="4" w:space="0" w:color="000000"/>
              <w:right w:val="single" w:sz="4" w:space="0" w:color="000000"/>
            </w:tcBorders>
            <w:hideMark/>
          </w:tcPr>
          <w:p w14:paraId="2650628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Youth groups and </w:t>
            </w:r>
            <w:proofErr w:type="spellStart"/>
            <w:r>
              <w:rPr>
                <w:rFonts w:asciiTheme="minorHAnsi" w:eastAsia="Calibri" w:hAnsiTheme="minorHAnsi" w:cstheme="minorHAnsi"/>
                <w:color w:val="000000"/>
                <w:sz w:val="22"/>
                <w:szCs w:val="22"/>
              </w:rPr>
              <w:t>entrepeneurs</w:t>
            </w:r>
            <w:proofErr w:type="spellEnd"/>
          </w:p>
        </w:tc>
        <w:tc>
          <w:tcPr>
            <w:tcW w:w="2838" w:type="dxa"/>
            <w:tcBorders>
              <w:top w:val="single" w:sz="4" w:space="0" w:color="000000"/>
              <w:left w:val="single" w:sz="4" w:space="0" w:color="000000"/>
              <w:bottom w:val="single" w:sz="4" w:space="0" w:color="000000"/>
              <w:right w:val="single" w:sz="4" w:space="0" w:color="000000"/>
            </w:tcBorders>
            <w:hideMark/>
          </w:tcPr>
          <w:p w14:paraId="74E0BCF7"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To be identified/</w:t>
            </w:r>
            <w:proofErr w:type="spellStart"/>
            <w:r>
              <w:rPr>
                <w:rFonts w:asciiTheme="minorHAnsi" w:eastAsia="Calibri" w:hAnsiTheme="minorHAnsi" w:cstheme="minorHAnsi"/>
                <w:color w:val="000000"/>
                <w:sz w:val="22"/>
                <w:szCs w:val="22"/>
              </w:rPr>
              <w:t>analysed</w:t>
            </w:r>
            <w:proofErr w:type="spellEnd"/>
            <w:r>
              <w:rPr>
                <w:rFonts w:asciiTheme="minorHAnsi" w:eastAsia="Calibri" w:hAnsiTheme="minorHAnsi" w:cstheme="minorHAnsi"/>
                <w:color w:val="000000"/>
                <w:sz w:val="22"/>
                <w:szCs w:val="22"/>
              </w:rPr>
              <w:t xml:space="preserve"> with the IW portfolio to provide more opportunity to interact with IW:LEARN</w:t>
            </w:r>
          </w:p>
        </w:tc>
        <w:tc>
          <w:tcPr>
            <w:tcW w:w="1867" w:type="dxa"/>
            <w:tcBorders>
              <w:top w:val="single" w:sz="4" w:space="0" w:color="000000"/>
              <w:left w:val="single" w:sz="4" w:space="0" w:color="000000"/>
              <w:bottom w:val="single" w:sz="4" w:space="0" w:color="000000"/>
              <w:right w:val="single" w:sz="4" w:space="0" w:color="000000"/>
            </w:tcBorders>
            <w:hideMark/>
          </w:tcPr>
          <w:p w14:paraId="6CBE4D75"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Not being given the chance to participate in projects</w:t>
            </w:r>
          </w:p>
        </w:tc>
        <w:tc>
          <w:tcPr>
            <w:tcW w:w="2218" w:type="dxa"/>
            <w:tcBorders>
              <w:top w:val="single" w:sz="4" w:space="0" w:color="000000"/>
              <w:left w:val="single" w:sz="4" w:space="0" w:color="000000"/>
              <w:bottom w:val="single" w:sz="4" w:space="0" w:color="000000"/>
              <w:right w:val="single" w:sz="4" w:space="0" w:color="000000"/>
            </w:tcBorders>
            <w:hideMark/>
          </w:tcPr>
          <w:p w14:paraId="5BAE79EA"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Work with the GEF IW portfolio to identify opportunities for youth engagement through their networks and activities</w:t>
            </w:r>
          </w:p>
        </w:tc>
      </w:tr>
    </w:tbl>
    <w:p w14:paraId="2A0DE03B" w14:textId="77777777" w:rsidR="001627EC" w:rsidRDefault="001627EC" w:rsidP="001627EC">
      <w:pPr>
        <w:rPr>
          <w:rFonts w:asciiTheme="minorHAnsi" w:eastAsia="Calibri" w:hAnsiTheme="minorHAnsi" w:cstheme="minorHAnsi"/>
          <w:b/>
          <w:color w:val="000000"/>
          <w:sz w:val="22"/>
          <w:szCs w:val="22"/>
        </w:rPr>
      </w:pPr>
    </w:p>
    <w:p w14:paraId="716000F0" w14:textId="77777777" w:rsidR="001627EC" w:rsidRDefault="001627EC" w:rsidP="001627EC">
      <w:pPr>
        <w:rPr>
          <w:rFonts w:asciiTheme="minorHAnsi" w:hAnsiTheme="minorHAnsi" w:cstheme="minorHAnsi"/>
          <w:b/>
          <w:color w:val="000000"/>
          <w:sz w:val="22"/>
          <w:szCs w:val="22"/>
        </w:rPr>
      </w:pPr>
      <w:r>
        <w:rPr>
          <w:rFonts w:asciiTheme="minorHAnsi" w:eastAsia="Calibri" w:hAnsiTheme="minorHAnsi" w:cstheme="minorHAnsi"/>
          <w:b/>
          <w:color w:val="000000"/>
          <w:sz w:val="22"/>
          <w:szCs w:val="22"/>
        </w:rPr>
        <w:t>4.</w:t>
      </w:r>
      <w:r>
        <w:rPr>
          <w:rFonts w:asciiTheme="minorHAnsi" w:eastAsia="Calibri" w:hAnsiTheme="minorHAnsi" w:cstheme="minorHAnsi"/>
          <w:b/>
          <w:color w:val="000000"/>
          <w:sz w:val="22"/>
          <w:szCs w:val="22"/>
        </w:rPr>
        <w:tab/>
        <w:t xml:space="preserve">Engagement methods </w:t>
      </w:r>
    </w:p>
    <w:p w14:paraId="0B10D84C" w14:textId="77777777" w:rsidR="001627EC" w:rsidRDefault="001627EC" w:rsidP="001627EC">
      <w:pPr>
        <w:rPr>
          <w:rFonts w:asciiTheme="minorHAnsi" w:eastAsia="Calibri" w:hAnsiTheme="minorHAnsi" w:cstheme="minorHAnsi"/>
          <w:sz w:val="22"/>
          <w:szCs w:val="22"/>
        </w:rPr>
      </w:pPr>
    </w:p>
    <w:p w14:paraId="20469EAC" w14:textId="77777777" w:rsidR="001627EC" w:rsidRDefault="001627EC" w:rsidP="001627EC">
      <w:pPr>
        <w:rPr>
          <w:rFonts w:asciiTheme="minorHAnsi" w:hAnsiTheme="minorHAnsi" w:cstheme="minorHAnsi"/>
          <w:sz w:val="22"/>
          <w:szCs w:val="22"/>
        </w:rPr>
      </w:pPr>
      <w:r>
        <w:rPr>
          <w:rFonts w:asciiTheme="minorHAnsi" w:eastAsia="Calibri" w:hAnsiTheme="minorHAnsi" w:cstheme="minorHAnsi"/>
          <w:sz w:val="22"/>
          <w:szCs w:val="22"/>
        </w:rPr>
        <w:t xml:space="preserve">The project will engage or communicate to various identified stakeholders as outlined in Table 3 below. </w:t>
      </w:r>
    </w:p>
    <w:p w14:paraId="5041F5C3" w14:textId="77777777" w:rsidR="001627EC" w:rsidRDefault="001627EC" w:rsidP="001627EC">
      <w:pPr>
        <w:rPr>
          <w:rFonts w:asciiTheme="minorHAnsi" w:eastAsia="Calibri" w:hAnsiTheme="minorHAnsi" w:cstheme="minorHAnsi"/>
          <w:color w:val="000000"/>
          <w:sz w:val="22"/>
          <w:szCs w:val="22"/>
        </w:rPr>
      </w:pPr>
    </w:p>
    <w:p w14:paraId="0D7E2C69" w14:textId="77777777" w:rsidR="001627EC" w:rsidRDefault="001627EC" w:rsidP="001627EC">
      <w:pPr>
        <w:rPr>
          <w:rFonts w:asciiTheme="minorHAnsi" w:hAnsiTheme="minorHAnsi" w:cstheme="minorHAnsi"/>
          <w:color w:val="000000"/>
          <w:sz w:val="22"/>
          <w:szCs w:val="22"/>
        </w:rPr>
      </w:pPr>
      <w:r>
        <w:rPr>
          <w:rFonts w:asciiTheme="minorHAnsi" w:eastAsia="Calibri" w:hAnsiTheme="minorHAnsi" w:cstheme="minorHAnsi"/>
          <w:color w:val="000000"/>
          <w:sz w:val="22"/>
          <w:szCs w:val="22"/>
        </w:rPr>
        <w:t>Table 3: Methods of Communicating to Stakeholders</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5"/>
        <w:gridCol w:w="3006"/>
      </w:tblGrid>
      <w:tr w:rsidR="001627EC" w14:paraId="06430186"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3C7A6135"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Stakeholders group </w:t>
            </w:r>
          </w:p>
        </w:tc>
        <w:tc>
          <w:tcPr>
            <w:tcW w:w="3005" w:type="dxa"/>
            <w:tcBorders>
              <w:top w:val="single" w:sz="4" w:space="0" w:color="000000"/>
              <w:left w:val="single" w:sz="4" w:space="0" w:color="000000"/>
              <w:bottom w:val="single" w:sz="4" w:space="0" w:color="000000"/>
              <w:right w:val="single" w:sz="4" w:space="0" w:color="000000"/>
            </w:tcBorders>
            <w:hideMark/>
          </w:tcPr>
          <w:p w14:paraId="3DEFF669"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Means of engagement</w:t>
            </w:r>
          </w:p>
        </w:tc>
        <w:tc>
          <w:tcPr>
            <w:tcW w:w="3006" w:type="dxa"/>
            <w:tcBorders>
              <w:top w:val="single" w:sz="4" w:space="0" w:color="000000"/>
              <w:left w:val="single" w:sz="4" w:space="0" w:color="000000"/>
              <w:bottom w:val="single" w:sz="4" w:space="0" w:color="000000"/>
              <w:right w:val="single" w:sz="4" w:space="0" w:color="000000"/>
            </w:tcBorders>
            <w:hideMark/>
          </w:tcPr>
          <w:p w14:paraId="39CCF0EA"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Rules for communication</w:t>
            </w:r>
          </w:p>
        </w:tc>
      </w:tr>
      <w:tr w:rsidR="001627EC" w:rsidRPr="001627EC" w14:paraId="2C20A89B"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539E3437"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Stakeholders to be affected, directly or indirectly, by the outcomes of the Project implementation </w:t>
            </w:r>
          </w:p>
        </w:tc>
        <w:tc>
          <w:tcPr>
            <w:tcW w:w="3005" w:type="dxa"/>
            <w:tcBorders>
              <w:top w:val="single" w:sz="4" w:space="0" w:color="000000"/>
              <w:left w:val="single" w:sz="4" w:space="0" w:color="000000"/>
              <w:bottom w:val="single" w:sz="4" w:space="0" w:color="000000"/>
              <w:right w:val="single" w:sz="4" w:space="0" w:color="000000"/>
            </w:tcBorders>
          </w:tcPr>
          <w:p w14:paraId="77460735"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website</w:t>
            </w:r>
          </w:p>
          <w:p w14:paraId="548F654D"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Brochures and other printed materials </w:t>
            </w:r>
          </w:p>
          <w:p w14:paraId="1C2E2E4A"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Face to face trainings and dialogue events</w:t>
            </w:r>
          </w:p>
          <w:p w14:paraId="32B29544" w14:textId="77777777" w:rsidR="001627EC" w:rsidRDefault="001627EC">
            <w:pPr>
              <w:rPr>
                <w:rFonts w:asciiTheme="minorHAnsi" w:eastAsia="Calibri" w:hAnsiTheme="minorHAnsi" w:cstheme="minorHAnsi"/>
                <w:color w:val="000000"/>
                <w:sz w:val="22"/>
                <w:szCs w:val="22"/>
              </w:rPr>
            </w:pPr>
          </w:p>
        </w:tc>
        <w:tc>
          <w:tcPr>
            <w:tcW w:w="3006" w:type="dxa"/>
            <w:tcBorders>
              <w:top w:val="single" w:sz="4" w:space="0" w:color="000000"/>
              <w:left w:val="single" w:sz="4" w:space="0" w:color="000000"/>
              <w:bottom w:val="single" w:sz="4" w:space="0" w:color="000000"/>
              <w:right w:val="single" w:sz="4" w:space="0" w:color="000000"/>
            </w:tcBorders>
            <w:hideMark/>
          </w:tcPr>
          <w:p w14:paraId="08151704"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Communication to be done by PCU </w:t>
            </w:r>
          </w:p>
        </w:tc>
      </w:tr>
      <w:tr w:rsidR="001627EC" w:rsidRPr="001627EC" w14:paraId="4AFB7C11"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7BF105F7" w14:textId="77777777" w:rsidR="001627EC" w:rsidRDefault="001627EC">
            <w:pPr>
              <w:shd w:val="clear" w:color="auto" w:fill="FFFFFF"/>
              <w:ind w:left="-5"/>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partners directly involved in project implementation</w:t>
            </w:r>
          </w:p>
        </w:tc>
        <w:tc>
          <w:tcPr>
            <w:tcW w:w="3005" w:type="dxa"/>
            <w:tcBorders>
              <w:top w:val="single" w:sz="4" w:space="0" w:color="000000"/>
              <w:left w:val="single" w:sz="4" w:space="0" w:color="000000"/>
              <w:bottom w:val="single" w:sz="4" w:space="0" w:color="000000"/>
              <w:right w:val="single" w:sz="4" w:space="0" w:color="000000"/>
            </w:tcBorders>
            <w:hideMark/>
          </w:tcPr>
          <w:p w14:paraId="687ED5C1"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Meetings, exchange of minutes, memos etc.</w:t>
            </w:r>
          </w:p>
        </w:tc>
        <w:tc>
          <w:tcPr>
            <w:tcW w:w="3006" w:type="dxa"/>
            <w:tcBorders>
              <w:top w:val="single" w:sz="4" w:space="0" w:color="000000"/>
              <w:left w:val="single" w:sz="4" w:space="0" w:color="000000"/>
              <w:bottom w:val="single" w:sz="4" w:space="0" w:color="000000"/>
              <w:right w:val="single" w:sz="4" w:space="0" w:color="000000"/>
            </w:tcBorders>
            <w:hideMark/>
          </w:tcPr>
          <w:p w14:paraId="64DB4539"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In accordance with the rules for internal communication </w:t>
            </w:r>
          </w:p>
        </w:tc>
      </w:tr>
      <w:tr w:rsidR="001627EC" w:rsidRPr="001627EC" w14:paraId="7E635479"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2CD36248"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Particularly vulnerable social groups (women, children, </w:t>
            </w:r>
            <w:proofErr w:type="spellStart"/>
            <w:r>
              <w:rPr>
                <w:rFonts w:asciiTheme="minorHAnsi" w:eastAsia="Calibri" w:hAnsiTheme="minorHAnsi" w:cstheme="minorHAnsi"/>
                <w:color w:val="000000"/>
                <w:sz w:val="22"/>
                <w:szCs w:val="22"/>
              </w:rPr>
              <w:t>marginalised</w:t>
            </w:r>
            <w:proofErr w:type="spellEnd"/>
            <w:r>
              <w:rPr>
                <w:rFonts w:asciiTheme="minorHAnsi" w:eastAsia="Calibri" w:hAnsiTheme="minorHAnsi" w:cstheme="minorHAnsi"/>
                <w:color w:val="000000"/>
                <w:sz w:val="22"/>
                <w:szCs w:val="22"/>
              </w:rPr>
              <w:t xml:space="preserve"> societies) </w:t>
            </w:r>
          </w:p>
        </w:tc>
        <w:tc>
          <w:tcPr>
            <w:tcW w:w="3005" w:type="dxa"/>
            <w:tcBorders>
              <w:top w:val="single" w:sz="4" w:space="0" w:color="000000"/>
              <w:left w:val="single" w:sz="4" w:space="0" w:color="000000"/>
              <w:bottom w:val="single" w:sz="4" w:space="0" w:color="000000"/>
              <w:right w:val="single" w:sz="4" w:space="0" w:color="000000"/>
            </w:tcBorders>
            <w:hideMark/>
          </w:tcPr>
          <w:p w14:paraId="446E3049"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Consultation meetings – providing information, exchange of documentation and correspondence associated with projects </w:t>
            </w:r>
          </w:p>
        </w:tc>
        <w:tc>
          <w:tcPr>
            <w:tcW w:w="3006" w:type="dxa"/>
            <w:tcBorders>
              <w:top w:val="single" w:sz="4" w:space="0" w:color="000000"/>
              <w:left w:val="single" w:sz="4" w:space="0" w:color="000000"/>
              <w:bottom w:val="single" w:sz="4" w:space="0" w:color="000000"/>
              <w:right w:val="single" w:sz="4" w:space="0" w:color="000000"/>
            </w:tcBorders>
          </w:tcPr>
          <w:p w14:paraId="523F28F9"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In accordance with the rules for internal communication, and the accepted custom </w:t>
            </w:r>
          </w:p>
          <w:p w14:paraId="5C13CB19" w14:textId="77777777" w:rsidR="001627EC" w:rsidRDefault="001627EC">
            <w:pPr>
              <w:rPr>
                <w:rFonts w:asciiTheme="minorHAnsi" w:eastAsia="Calibri" w:hAnsiTheme="minorHAnsi" w:cstheme="minorHAnsi"/>
                <w:color w:val="000000"/>
                <w:sz w:val="22"/>
                <w:szCs w:val="22"/>
              </w:rPr>
            </w:pPr>
          </w:p>
        </w:tc>
      </w:tr>
      <w:tr w:rsidR="001627EC" w:rsidRPr="001627EC" w14:paraId="5AD7D730"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43AC905B"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County governments and transboundary water commissions</w:t>
            </w:r>
          </w:p>
        </w:tc>
        <w:tc>
          <w:tcPr>
            <w:tcW w:w="3005" w:type="dxa"/>
            <w:tcBorders>
              <w:top w:val="single" w:sz="4" w:space="0" w:color="000000"/>
              <w:left w:val="single" w:sz="4" w:space="0" w:color="000000"/>
              <w:bottom w:val="single" w:sz="4" w:space="0" w:color="000000"/>
              <w:right w:val="single" w:sz="4" w:space="0" w:color="000000"/>
            </w:tcBorders>
            <w:hideMark/>
          </w:tcPr>
          <w:p w14:paraId="4E2ACA33"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website</w:t>
            </w:r>
          </w:p>
          <w:p w14:paraId="5A9BE9E2"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Brochures and other printed materials </w:t>
            </w:r>
          </w:p>
          <w:p w14:paraId="2A685766"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lastRenderedPageBreak/>
              <w:t>Face to face trainings and dialogue events</w:t>
            </w:r>
          </w:p>
        </w:tc>
        <w:tc>
          <w:tcPr>
            <w:tcW w:w="3006" w:type="dxa"/>
            <w:tcBorders>
              <w:top w:val="single" w:sz="4" w:space="0" w:color="000000"/>
              <w:left w:val="single" w:sz="4" w:space="0" w:color="000000"/>
              <w:bottom w:val="single" w:sz="4" w:space="0" w:color="000000"/>
              <w:right w:val="single" w:sz="4" w:space="0" w:color="000000"/>
            </w:tcBorders>
            <w:hideMark/>
          </w:tcPr>
          <w:p w14:paraId="7FEDA4CA"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Communication to be done by PCU </w:t>
            </w:r>
          </w:p>
        </w:tc>
      </w:tr>
      <w:tr w:rsidR="001627EC" w:rsidRPr="001627EC" w14:paraId="6009B08E" w14:textId="77777777" w:rsidTr="001627EC">
        <w:tc>
          <w:tcPr>
            <w:tcW w:w="3005" w:type="dxa"/>
            <w:tcBorders>
              <w:top w:val="single" w:sz="4" w:space="0" w:color="000000"/>
              <w:left w:val="single" w:sz="4" w:space="0" w:color="000000"/>
              <w:bottom w:val="single" w:sz="4" w:space="0" w:color="000000"/>
              <w:right w:val="single" w:sz="4" w:space="0" w:color="000000"/>
            </w:tcBorders>
            <w:hideMark/>
          </w:tcPr>
          <w:p w14:paraId="25672561"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Non-governmental organizations (NGOs) interested in the Project </w:t>
            </w:r>
          </w:p>
        </w:tc>
        <w:tc>
          <w:tcPr>
            <w:tcW w:w="3005" w:type="dxa"/>
            <w:tcBorders>
              <w:top w:val="single" w:sz="4" w:space="0" w:color="000000"/>
              <w:left w:val="single" w:sz="4" w:space="0" w:color="000000"/>
              <w:bottom w:val="single" w:sz="4" w:space="0" w:color="000000"/>
              <w:right w:val="single" w:sz="4" w:space="0" w:color="000000"/>
            </w:tcBorders>
            <w:hideMark/>
          </w:tcPr>
          <w:p w14:paraId="0111C505"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Direct meetings, Official letters </w:t>
            </w:r>
          </w:p>
        </w:tc>
        <w:tc>
          <w:tcPr>
            <w:tcW w:w="3006" w:type="dxa"/>
            <w:tcBorders>
              <w:top w:val="single" w:sz="4" w:space="0" w:color="000000"/>
              <w:left w:val="single" w:sz="4" w:space="0" w:color="000000"/>
              <w:bottom w:val="single" w:sz="4" w:space="0" w:color="000000"/>
              <w:right w:val="single" w:sz="4" w:space="0" w:color="000000"/>
            </w:tcBorders>
            <w:hideMark/>
          </w:tcPr>
          <w:p w14:paraId="21C00EEF"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During meetings and on demand</w:t>
            </w:r>
          </w:p>
        </w:tc>
      </w:tr>
    </w:tbl>
    <w:p w14:paraId="6EC712BC" w14:textId="77777777" w:rsidR="001627EC" w:rsidRDefault="001627EC" w:rsidP="001627EC">
      <w:pPr>
        <w:rPr>
          <w:rFonts w:asciiTheme="minorHAnsi" w:eastAsia="Calibri" w:hAnsiTheme="minorHAnsi" w:cstheme="minorHAnsi"/>
          <w:b/>
          <w:color w:val="000000"/>
          <w:sz w:val="22"/>
          <w:szCs w:val="22"/>
        </w:rPr>
      </w:pPr>
    </w:p>
    <w:p w14:paraId="6626A20B" w14:textId="77777777" w:rsidR="001627EC" w:rsidRDefault="001627EC" w:rsidP="001627EC">
      <w:pPr>
        <w:rPr>
          <w:rFonts w:asciiTheme="minorHAnsi" w:hAnsiTheme="minorHAnsi" w:cstheme="minorHAnsi"/>
          <w:color w:val="000000"/>
          <w:sz w:val="22"/>
          <w:szCs w:val="22"/>
        </w:rPr>
      </w:pPr>
      <w:r>
        <w:rPr>
          <w:rFonts w:asciiTheme="minorHAnsi" w:eastAsia="Calibri" w:hAnsiTheme="minorHAnsi" w:cstheme="minorHAnsi"/>
          <w:b/>
          <w:color w:val="000000"/>
          <w:sz w:val="22"/>
          <w:szCs w:val="22"/>
        </w:rPr>
        <w:t>5.</w:t>
      </w:r>
      <w:r>
        <w:rPr>
          <w:rFonts w:asciiTheme="minorHAnsi" w:eastAsia="Calibri" w:hAnsiTheme="minorHAnsi" w:cstheme="minorHAnsi"/>
          <w:b/>
          <w:color w:val="000000"/>
          <w:sz w:val="22"/>
          <w:szCs w:val="22"/>
        </w:rPr>
        <w:tab/>
        <w:t xml:space="preserve">Making Available Information </w:t>
      </w:r>
    </w:p>
    <w:p w14:paraId="732361A0" w14:textId="77777777" w:rsidR="001627EC" w:rsidRDefault="001627EC" w:rsidP="001627EC">
      <w:pPr>
        <w:rPr>
          <w:rFonts w:asciiTheme="minorHAnsi" w:eastAsia="Calibri" w:hAnsiTheme="minorHAnsi" w:cstheme="minorHAnsi"/>
          <w:color w:val="000000"/>
          <w:sz w:val="22"/>
          <w:szCs w:val="22"/>
        </w:rPr>
      </w:pPr>
    </w:p>
    <w:p w14:paraId="2F652AF7" w14:textId="77777777" w:rsidR="001627EC" w:rsidRDefault="001627EC" w:rsidP="001627EC">
      <w:pPr>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The project will </w:t>
      </w:r>
      <w:proofErr w:type="spellStart"/>
      <w:r>
        <w:rPr>
          <w:rFonts w:asciiTheme="minorHAnsi" w:eastAsia="Calibri" w:hAnsiTheme="minorHAnsi" w:cstheme="minorHAnsi"/>
          <w:color w:val="000000"/>
          <w:sz w:val="22"/>
          <w:szCs w:val="22"/>
        </w:rPr>
        <w:t>endeavour</w:t>
      </w:r>
      <w:proofErr w:type="spellEnd"/>
      <w:r>
        <w:rPr>
          <w:rFonts w:asciiTheme="minorHAnsi" w:eastAsia="Calibri" w:hAnsiTheme="minorHAnsi" w:cstheme="minorHAnsi"/>
          <w:color w:val="000000"/>
          <w:sz w:val="22"/>
          <w:szCs w:val="22"/>
        </w:rPr>
        <w:t xml:space="preserve"> to make information available to the public to allow stakeholders to get to know and understand both the environmental and social risks and impacts associated with the project, as well as opportunities provided by the project. This will enable them to </w:t>
      </w:r>
      <w:proofErr w:type="spellStart"/>
      <w:r>
        <w:rPr>
          <w:rFonts w:asciiTheme="minorHAnsi" w:eastAsia="Calibri" w:hAnsiTheme="minorHAnsi" w:cstheme="minorHAnsi"/>
          <w:color w:val="000000"/>
          <w:sz w:val="22"/>
          <w:szCs w:val="22"/>
        </w:rPr>
        <w:t>utilise</w:t>
      </w:r>
      <w:proofErr w:type="spellEnd"/>
      <w:r>
        <w:rPr>
          <w:rFonts w:asciiTheme="minorHAnsi" w:eastAsia="Calibri" w:hAnsiTheme="minorHAnsi" w:cstheme="minorHAnsi"/>
          <w:color w:val="000000"/>
          <w:sz w:val="22"/>
          <w:szCs w:val="22"/>
        </w:rPr>
        <w:t xml:space="preserve"> the project results and outputs to make informed decision in areas associated with trans-boundary water management. </w:t>
      </w:r>
    </w:p>
    <w:p w14:paraId="572E18AD" w14:textId="77777777" w:rsidR="001627EC" w:rsidRDefault="001627EC" w:rsidP="001627EC">
      <w:pPr>
        <w:rPr>
          <w:rFonts w:asciiTheme="minorHAnsi" w:eastAsia="Calibri" w:hAnsiTheme="minorHAnsi" w:cstheme="minorHAnsi"/>
          <w:color w:val="000000"/>
          <w:sz w:val="22"/>
          <w:szCs w:val="22"/>
        </w:rPr>
      </w:pPr>
    </w:p>
    <w:p w14:paraId="1E75819C" w14:textId="77777777" w:rsidR="001627EC" w:rsidRDefault="001627EC" w:rsidP="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On an ongoing basis, the project will have consultation on the new emerging issues of the project. The disclosures will be done to all stakeholders through project briefs or technical annual/biannual meetings and conferences. </w:t>
      </w:r>
    </w:p>
    <w:p w14:paraId="1CFA1291" w14:textId="77777777" w:rsidR="001627EC" w:rsidRDefault="001627EC" w:rsidP="001627EC">
      <w:pPr>
        <w:rPr>
          <w:rFonts w:asciiTheme="minorHAnsi" w:eastAsia="Calibri" w:hAnsiTheme="minorHAnsi" w:cstheme="minorHAnsi"/>
          <w:b/>
          <w:color w:val="000000"/>
          <w:sz w:val="22"/>
          <w:szCs w:val="22"/>
        </w:rPr>
      </w:pPr>
    </w:p>
    <w:p w14:paraId="40A716CC" w14:textId="77777777" w:rsidR="001627EC" w:rsidRDefault="001627EC" w:rsidP="001627EC">
      <w:pPr>
        <w:rPr>
          <w:rFonts w:asciiTheme="minorHAnsi" w:hAnsiTheme="minorHAnsi" w:cstheme="minorHAnsi"/>
          <w:b/>
          <w:color w:val="000000"/>
          <w:sz w:val="22"/>
          <w:szCs w:val="22"/>
        </w:rPr>
      </w:pPr>
      <w:r>
        <w:rPr>
          <w:rFonts w:asciiTheme="minorHAnsi" w:eastAsia="Calibri" w:hAnsiTheme="minorHAnsi" w:cstheme="minorHAnsi"/>
          <w:b/>
          <w:color w:val="000000"/>
          <w:sz w:val="22"/>
          <w:szCs w:val="22"/>
        </w:rPr>
        <w:t>6.</w:t>
      </w:r>
      <w:r>
        <w:rPr>
          <w:rFonts w:asciiTheme="minorHAnsi" w:eastAsia="Calibri" w:hAnsiTheme="minorHAnsi" w:cstheme="minorHAnsi"/>
          <w:b/>
          <w:color w:val="000000"/>
          <w:sz w:val="22"/>
          <w:szCs w:val="22"/>
        </w:rPr>
        <w:tab/>
        <w:t>Monitoring and reporting</w:t>
      </w:r>
    </w:p>
    <w:p w14:paraId="65226CF2" w14:textId="77777777" w:rsidR="001627EC" w:rsidRDefault="001627EC" w:rsidP="001627EC">
      <w:pPr>
        <w:rPr>
          <w:rFonts w:asciiTheme="minorHAnsi" w:eastAsia="Calibri" w:hAnsiTheme="minorHAnsi" w:cstheme="minorHAnsi"/>
          <w:sz w:val="22"/>
          <w:szCs w:val="22"/>
        </w:rPr>
      </w:pPr>
    </w:p>
    <w:p w14:paraId="74BA5BC6" w14:textId="77777777" w:rsidR="001627EC" w:rsidRDefault="001627EC" w:rsidP="001627EC">
      <w:pPr>
        <w:rPr>
          <w:rFonts w:asciiTheme="minorHAnsi" w:hAnsiTheme="minorHAnsi" w:cstheme="minorHAnsi"/>
          <w:sz w:val="22"/>
          <w:szCs w:val="22"/>
        </w:rPr>
      </w:pPr>
      <w:r>
        <w:rPr>
          <w:rFonts w:asciiTheme="minorHAnsi" w:eastAsia="Calibri" w:hAnsiTheme="minorHAnsi" w:cstheme="minorHAnsi"/>
          <w:sz w:val="22"/>
          <w:szCs w:val="22"/>
        </w:rPr>
        <w:t xml:space="preserve">Monitoring is an integral component of project management as it tracks and assesses progress towards achieving tangible development results associated with the project being implemented. It is an essential management tool which provides an opportunity to know whether results are being achieved as planned, what corrective action are needed to ensure delivery of the intended results and how they are making positive development contributions. This helps to detect problems earlier and coming up with appropriate measures to address them. Therefore, monitoring usually provides data used for analysis and synthesis prior to reporting for decision making. </w:t>
      </w:r>
    </w:p>
    <w:p w14:paraId="2C5FAF4B" w14:textId="77777777" w:rsidR="001627EC" w:rsidRDefault="001627EC" w:rsidP="001627EC">
      <w:pPr>
        <w:rPr>
          <w:rFonts w:asciiTheme="minorHAnsi" w:eastAsia="Calibri" w:hAnsiTheme="minorHAnsi" w:cstheme="minorHAnsi"/>
          <w:color w:val="000000"/>
          <w:sz w:val="22"/>
          <w:szCs w:val="22"/>
        </w:rPr>
      </w:pPr>
    </w:p>
    <w:p w14:paraId="6DD4AD88" w14:textId="77777777" w:rsidR="001627EC" w:rsidRDefault="001627EC" w:rsidP="001627EC">
      <w:pPr>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Table 4: Reporting Format </w:t>
      </w: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602"/>
        <w:gridCol w:w="1904"/>
        <w:gridCol w:w="1932"/>
      </w:tblGrid>
      <w:tr w:rsidR="001627EC" w14:paraId="32F4EB5F" w14:textId="77777777" w:rsidTr="001627EC">
        <w:tc>
          <w:tcPr>
            <w:tcW w:w="562" w:type="dxa"/>
            <w:tcBorders>
              <w:top w:val="single" w:sz="4" w:space="0" w:color="000000"/>
              <w:left w:val="single" w:sz="4" w:space="0" w:color="000000"/>
              <w:bottom w:val="single" w:sz="4" w:space="0" w:color="000000"/>
              <w:right w:val="single" w:sz="4" w:space="0" w:color="000000"/>
            </w:tcBorders>
          </w:tcPr>
          <w:p w14:paraId="131219B8" w14:textId="77777777" w:rsidR="001627EC" w:rsidRDefault="001627EC">
            <w:pPr>
              <w:rPr>
                <w:rFonts w:asciiTheme="minorHAnsi" w:eastAsia="Calibri" w:hAnsiTheme="minorHAnsi" w:cstheme="minorHAnsi"/>
                <w:color w:val="000000"/>
                <w:sz w:val="22"/>
                <w:szCs w:val="22"/>
              </w:rPr>
            </w:pPr>
          </w:p>
        </w:tc>
        <w:tc>
          <w:tcPr>
            <w:tcW w:w="4605" w:type="dxa"/>
            <w:tcBorders>
              <w:top w:val="single" w:sz="4" w:space="0" w:color="000000"/>
              <w:left w:val="single" w:sz="4" w:space="0" w:color="000000"/>
              <w:bottom w:val="single" w:sz="4" w:space="0" w:color="000000"/>
              <w:right w:val="single" w:sz="4" w:space="0" w:color="000000"/>
            </w:tcBorders>
            <w:hideMark/>
          </w:tcPr>
          <w:p w14:paraId="38715D1E"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Parameter</w:t>
            </w:r>
          </w:p>
        </w:tc>
        <w:tc>
          <w:tcPr>
            <w:tcW w:w="1905" w:type="dxa"/>
            <w:tcBorders>
              <w:top w:val="single" w:sz="4" w:space="0" w:color="000000"/>
              <w:left w:val="single" w:sz="4" w:space="0" w:color="000000"/>
              <w:bottom w:val="single" w:sz="4" w:space="0" w:color="000000"/>
              <w:right w:val="single" w:sz="4" w:space="0" w:color="000000"/>
            </w:tcBorders>
            <w:hideMark/>
          </w:tcPr>
          <w:p w14:paraId="700E275B"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Monitoring and reporting responsibility </w:t>
            </w:r>
          </w:p>
        </w:tc>
        <w:tc>
          <w:tcPr>
            <w:tcW w:w="1933" w:type="dxa"/>
            <w:tcBorders>
              <w:top w:val="single" w:sz="4" w:space="0" w:color="000000"/>
              <w:left w:val="single" w:sz="4" w:space="0" w:color="000000"/>
              <w:bottom w:val="single" w:sz="4" w:space="0" w:color="000000"/>
              <w:right w:val="single" w:sz="4" w:space="0" w:color="000000"/>
            </w:tcBorders>
          </w:tcPr>
          <w:p w14:paraId="6A08B7A1" w14:textId="77777777" w:rsidR="001627EC" w:rsidRDefault="001627EC">
            <w:pPr>
              <w:rPr>
                <w:rFonts w:asciiTheme="minorHAnsi" w:hAnsiTheme="minorHAnsi" w:cstheme="minorHAnsi"/>
                <w:b/>
                <w:color w:val="000000"/>
                <w:sz w:val="22"/>
                <w:szCs w:val="22"/>
              </w:rPr>
            </w:pPr>
            <w:r>
              <w:rPr>
                <w:rFonts w:asciiTheme="minorHAnsi" w:eastAsia="Calibri" w:hAnsiTheme="minorHAnsi" w:cstheme="minorHAnsi"/>
                <w:b/>
                <w:color w:val="000000"/>
                <w:sz w:val="22"/>
                <w:szCs w:val="22"/>
              </w:rPr>
              <w:t xml:space="preserve">Reporting period </w:t>
            </w:r>
          </w:p>
          <w:p w14:paraId="6B799924" w14:textId="77777777" w:rsidR="001627EC" w:rsidRDefault="001627EC">
            <w:pPr>
              <w:rPr>
                <w:rFonts w:asciiTheme="minorHAnsi" w:eastAsia="Calibri" w:hAnsiTheme="minorHAnsi" w:cstheme="minorHAnsi"/>
                <w:b/>
                <w:color w:val="000000"/>
                <w:sz w:val="22"/>
                <w:szCs w:val="22"/>
              </w:rPr>
            </w:pPr>
          </w:p>
        </w:tc>
      </w:tr>
      <w:tr w:rsidR="001627EC" w14:paraId="6BF35B0F" w14:textId="77777777" w:rsidTr="001627EC">
        <w:tc>
          <w:tcPr>
            <w:tcW w:w="562" w:type="dxa"/>
            <w:tcBorders>
              <w:top w:val="single" w:sz="4" w:space="0" w:color="000000"/>
              <w:left w:val="single" w:sz="4" w:space="0" w:color="000000"/>
              <w:bottom w:val="single" w:sz="4" w:space="0" w:color="000000"/>
              <w:right w:val="single" w:sz="4" w:space="0" w:color="000000"/>
            </w:tcBorders>
            <w:hideMark/>
          </w:tcPr>
          <w:p w14:paraId="78F6679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1</w:t>
            </w:r>
          </w:p>
        </w:tc>
        <w:tc>
          <w:tcPr>
            <w:tcW w:w="4605" w:type="dxa"/>
            <w:tcBorders>
              <w:top w:val="single" w:sz="4" w:space="0" w:color="000000"/>
              <w:left w:val="single" w:sz="4" w:space="0" w:color="000000"/>
              <w:bottom w:val="single" w:sz="4" w:space="0" w:color="000000"/>
              <w:right w:val="single" w:sz="4" w:space="0" w:color="000000"/>
            </w:tcBorders>
            <w:hideMark/>
          </w:tcPr>
          <w:p w14:paraId="1FEFE72A"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Number of government agencies, transboundary water commissions, civil society organizations, private sector companies, indigenous groups and other stakeholder groups that have been involved in the project implementation phase </w:t>
            </w:r>
          </w:p>
        </w:tc>
        <w:tc>
          <w:tcPr>
            <w:tcW w:w="1905" w:type="dxa"/>
            <w:tcBorders>
              <w:top w:val="single" w:sz="4" w:space="0" w:color="000000"/>
              <w:left w:val="single" w:sz="4" w:space="0" w:color="000000"/>
              <w:bottom w:val="single" w:sz="4" w:space="0" w:color="000000"/>
              <w:right w:val="single" w:sz="4" w:space="0" w:color="000000"/>
            </w:tcBorders>
            <w:hideMark/>
          </w:tcPr>
          <w:p w14:paraId="518406CE"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PCU</w:t>
            </w:r>
          </w:p>
        </w:tc>
        <w:tc>
          <w:tcPr>
            <w:tcW w:w="1933" w:type="dxa"/>
            <w:tcBorders>
              <w:top w:val="single" w:sz="4" w:space="0" w:color="000000"/>
              <w:left w:val="single" w:sz="4" w:space="0" w:color="000000"/>
              <w:bottom w:val="single" w:sz="4" w:space="0" w:color="000000"/>
              <w:right w:val="single" w:sz="4" w:space="0" w:color="000000"/>
            </w:tcBorders>
            <w:hideMark/>
          </w:tcPr>
          <w:p w14:paraId="5105F0C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Annual basis</w:t>
            </w:r>
          </w:p>
        </w:tc>
      </w:tr>
      <w:tr w:rsidR="001627EC" w14:paraId="6AEBE962" w14:textId="77777777" w:rsidTr="001627EC">
        <w:tc>
          <w:tcPr>
            <w:tcW w:w="562" w:type="dxa"/>
            <w:tcBorders>
              <w:top w:val="single" w:sz="4" w:space="0" w:color="000000"/>
              <w:left w:val="single" w:sz="4" w:space="0" w:color="000000"/>
              <w:bottom w:val="single" w:sz="4" w:space="0" w:color="000000"/>
              <w:right w:val="single" w:sz="4" w:space="0" w:color="000000"/>
            </w:tcBorders>
            <w:hideMark/>
          </w:tcPr>
          <w:p w14:paraId="71F93AF1"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2</w:t>
            </w:r>
          </w:p>
        </w:tc>
        <w:tc>
          <w:tcPr>
            <w:tcW w:w="4605" w:type="dxa"/>
            <w:tcBorders>
              <w:top w:val="single" w:sz="4" w:space="0" w:color="000000"/>
              <w:left w:val="single" w:sz="4" w:space="0" w:color="000000"/>
              <w:bottom w:val="single" w:sz="4" w:space="0" w:color="000000"/>
              <w:right w:val="single" w:sz="4" w:space="0" w:color="000000"/>
            </w:tcBorders>
            <w:hideMark/>
          </w:tcPr>
          <w:p w14:paraId="0157305B" w14:textId="77777777" w:rsidR="001627EC" w:rsidRDefault="001627EC">
            <w:pPr>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Number of persons (sex disaggregated) that have been involved in project implementation phase </w:t>
            </w:r>
          </w:p>
        </w:tc>
        <w:tc>
          <w:tcPr>
            <w:tcW w:w="1905" w:type="dxa"/>
            <w:tcBorders>
              <w:top w:val="single" w:sz="4" w:space="0" w:color="000000"/>
              <w:left w:val="single" w:sz="4" w:space="0" w:color="000000"/>
              <w:bottom w:val="single" w:sz="4" w:space="0" w:color="000000"/>
              <w:right w:val="single" w:sz="4" w:space="0" w:color="000000"/>
            </w:tcBorders>
            <w:hideMark/>
          </w:tcPr>
          <w:p w14:paraId="08E6CFD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PCU</w:t>
            </w:r>
          </w:p>
        </w:tc>
        <w:tc>
          <w:tcPr>
            <w:tcW w:w="1933" w:type="dxa"/>
            <w:tcBorders>
              <w:top w:val="single" w:sz="4" w:space="0" w:color="000000"/>
              <w:left w:val="single" w:sz="4" w:space="0" w:color="000000"/>
              <w:bottom w:val="single" w:sz="4" w:space="0" w:color="000000"/>
              <w:right w:val="single" w:sz="4" w:space="0" w:color="000000"/>
            </w:tcBorders>
            <w:hideMark/>
          </w:tcPr>
          <w:p w14:paraId="19BFB769"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Annual basis</w:t>
            </w:r>
          </w:p>
        </w:tc>
      </w:tr>
      <w:tr w:rsidR="001627EC" w14:paraId="76783BBD" w14:textId="77777777" w:rsidTr="001627EC">
        <w:tc>
          <w:tcPr>
            <w:tcW w:w="562" w:type="dxa"/>
            <w:tcBorders>
              <w:top w:val="single" w:sz="4" w:space="0" w:color="000000"/>
              <w:left w:val="single" w:sz="4" w:space="0" w:color="000000"/>
              <w:bottom w:val="single" w:sz="4" w:space="0" w:color="000000"/>
              <w:right w:val="single" w:sz="4" w:space="0" w:color="000000"/>
            </w:tcBorders>
            <w:hideMark/>
          </w:tcPr>
          <w:p w14:paraId="7765399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3</w:t>
            </w:r>
          </w:p>
        </w:tc>
        <w:tc>
          <w:tcPr>
            <w:tcW w:w="4605" w:type="dxa"/>
            <w:tcBorders>
              <w:top w:val="single" w:sz="4" w:space="0" w:color="000000"/>
              <w:left w:val="single" w:sz="4" w:space="0" w:color="000000"/>
              <w:bottom w:val="single" w:sz="4" w:space="0" w:color="000000"/>
              <w:right w:val="single" w:sz="4" w:space="0" w:color="000000"/>
            </w:tcBorders>
            <w:hideMark/>
          </w:tcPr>
          <w:p w14:paraId="015E538F"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Number of engagement (e.g. meeting, workshops, consultations, conferences) with stakeholders during the project implementation phase </w:t>
            </w:r>
          </w:p>
        </w:tc>
        <w:tc>
          <w:tcPr>
            <w:tcW w:w="1905" w:type="dxa"/>
            <w:tcBorders>
              <w:top w:val="single" w:sz="4" w:space="0" w:color="000000"/>
              <w:left w:val="single" w:sz="4" w:space="0" w:color="000000"/>
              <w:bottom w:val="single" w:sz="4" w:space="0" w:color="000000"/>
              <w:right w:val="single" w:sz="4" w:space="0" w:color="000000"/>
            </w:tcBorders>
            <w:hideMark/>
          </w:tcPr>
          <w:p w14:paraId="1AB84D5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PCU</w:t>
            </w:r>
          </w:p>
        </w:tc>
        <w:tc>
          <w:tcPr>
            <w:tcW w:w="1933" w:type="dxa"/>
            <w:tcBorders>
              <w:top w:val="single" w:sz="4" w:space="0" w:color="000000"/>
              <w:left w:val="single" w:sz="4" w:space="0" w:color="000000"/>
              <w:bottom w:val="single" w:sz="4" w:space="0" w:color="000000"/>
              <w:right w:val="single" w:sz="4" w:space="0" w:color="000000"/>
            </w:tcBorders>
            <w:hideMark/>
          </w:tcPr>
          <w:p w14:paraId="2B7D06BD"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Annual basis</w:t>
            </w:r>
          </w:p>
        </w:tc>
      </w:tr>
      <w:tr w:rsidR="001627EC" w14:paraId="08300668" w14:textId="77777777" w:rsidTr="001627EC">
        <w:tc>
          <w:tcPr>
            <w:tcW w:w="562" w:type="dxa"/>
            <w:tcBorders>
              <w:top w:val="single" w:sz="4" w:space="0" w:color="000000"/>
              <w:left w:val="single" w:sz="4" w:space="0" w:color="000000"/>
              <w:bottom w:val="single" w:sz="4" w:space="0" w:color="000000"/>
              <w:right w:val="single" w:sz="4" w:space="0" w:color="000000"/>
            </w:tcBorders>
            <w:hideMark/>
          </w:tcPr>
          <w:p w14:paraId="7D98B74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4</w:t>
            </w:r>
          </w:p>
        </w:tc>
        <w:tc>
          <w:tcPr>
            <w:tcW w:w="4605" w:type="dxa"/>
            <w:tcBorders>
              <w:top w:val="single" w:sz="4" w:space="0" w:color="000000"/>
              <w:left w:val="single" w:sz="4" w:space="0" w:color="000000"/>
              <w:bottom w:val="single" w:sz="4" w:space="0" w:color="000000"/>
              <w:right w:val="single" w:sz="4" w:space="0" w:color="000000"/>
            </w:tcBorders>
            <w:hideMark/>
          </w:tcPr>
          <w:p w14:paraId="66BB4F4B"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Percentage of stakeholders who rate as satisfactory the quality of the services they receive </w:t>
            </w:r>
          </w:p>
        </w:tc>
        <w:tc>
          <w:tcPr>
            <w:tcW w:w="1905" w:type="dxa"/>
            <w:tcBorders>
              <w:top w:val="single" w:sz="4" w:space="0" w:color="000000"/>
              <w:left w:val="single" w:sz="4" w:space="0" w:color="000000"/>
              <w:bottom w:val="single" w:sz="4" w:space="0" w:color="000000"/>
              <w:right w:val="single" w:sz="4" w:space="0" w:color="000000"/>
            </w:tcBorders>
            <w:hideMark/>
          </w:tcPr>
          <w:p w14:paraId="3ADDD4E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UNDP/UNEP-GEF (externally hired consultant)</w:t>
            </w:r>
          </w:p>
        </w:tc>
        <w:tc>
          <w:tcPr>
            <w:tcW w:w="1933" w:type="dxa"/>
            <w:tcBorders>
              <w:top w:val="single" w:sz="4" w:space="0" w:color="000000"/>
              <w:left w:val="single" w:sz="4" w:space="0" w:color="000000"/>
              <w:bottom w:val="single" w:sz="4" w:space="0" w:color="000000"/>
              <w:right w:val="single" w:sz="4" w:space="0" w:color="000000"/>
            </w:tcBorders>
            <w:hideMark/>
          </w:tcPr>
          <w:p w14:paraId="6B3C6D0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Biannual basis</w:t>
            </w:r>
          </w:p>
        </w:tc>
      </w:tr>
    </w:tbl>
    <w:p w14:paraId="35727B4E" w14:textId="77777777" w:rsidR="001627EC" w:rsidRDefault="001627EC" w:rsidP="001627EC">
      <w:pPr>
        <w:rPr>
          <w:rFonts w:asciiTheme="minorHAnsi" w:eastAsia="Calibri" w:hAnsiTheme="minorHAnsi" w:cstheme="minorHAnsi"/>
          <w:color w:val="000000"/>
          <w:sz w:val="22"/>
          <w:szCs w:val="22"/>
        </w:rPr>
      </w:pPr>
    </w:p>
    <w:p w14:paraId="03F129AB" w14:textId="77777777" w:rsidR="001627EC" w:rsidRDefault="001627EC" w:rsidP="001627EC">
      <w:pPr>
        <w:rPr>
          <w:rFonts w:asciiTheme="minorHAnsi" w:eastAsia="Calibri" w:hAnsiTheme="minorHAnsi" w:cstheme="minorHAnsi"/>
          <w:color w:val="000000"/>
          <w:sz w:val="22"/>
          <w:szCs w:val="22"/>
        </w:rPr>
      </w:pPr>
    </w:p>
    <w:p w14:paraId="55D83FCA" w14:textId="77777777" w:rsidR="001627EC" w:rsidRDefault="001627EC" w:rsidP="001627EC">
      <w:pPr>
        <w:rPr>
          <w:rFonts w:asciiTheme="minorHAnsi" w:eastAsia="Calibri" w:hAnsiTheme="minorHAnsi" w:cstheme="minorHAnsi"/>
          <w:color w:val="000000"/>
          <w:sz w:val="22"/>
          <w:szCs w:val="22"/>
        </w:rPr>
      </w:pPr>
    </w:p>
    <w:p w14:paraId="64140AD6" w14:textId="77777777" w:rsidR="001627EC" w:rsidRDefault="001627EC" w:rsidP="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Table 7: Stakeholder Engagement </w:t>
      </w:r>
      <w:proofErr w:type="spellStart"/>
      <w:r>
        <w:rPr>
          <w:rFonts w:asciiTheme="minorHAnsi" w:eastAsia="Calibri" w:hAnsiTheme="minorHAnsi" w:cstheme="minorHAnsi"/>
          <w:color w:val="000000"/>
          <w:sz w:val="22"/>
          <w:szCs w:val="22"/>
        </w:rPr>
        <w:t>Programme</w:t>
      </w:r>
      <w:proofErr w:type="spellEnd"/>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1654"/>
        <w:gridCol w:w="1448"/>
        <w:gridCol w:w="1220"/>
        <w:gridCol w:w="1723"/>
        <w:gridCol w:w="1317"/>
      </w:tblGrid>
      <w:tr w:rsidR="001627EC" w14:paraId="351AF171" w14:textId="77777777" w:rsidTr="001627EC">
        <w:tc>
          <w:tcPr>
            <w:tcW w:w="1654" w:type="dxa"/>
            <w:tcBorders>
              <w:top w:val="single" w:sz="4" w:space="0" w:color="000000"/>
              <w:left w:val="single" w:sz="4" w:space="0" w:color="000000"/>
              <w:bottom w:val="single" w:sz="4" w:space="0" w:color="000000"/>
              <w:right w:val="single" w:sz="4" w:space="0" w:color="000000"/>
            </w:tcBorders>
            <w:hideMark/>
          </w:tcPr>
          <w:p w14:paraId="6FF0A781" w14:textId="77777777" w:rsidR="001627EC" w:rsidRDefault="001627EC">
            <w:pPr>
              <w:shd w:val="clear" w:color="auto" w:fill="FFFFFF"/>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Stakeholder group </w:t>
            </w:r>
          </w:p>
        </w:tc>
        <w:tc>
          <w:tcPr>
            <w:tcW w:w="1654" w:type="dxa"/>
            <w:tcBorders>
              <w:top w:val="single" w:sz="4" w:space="0" w:color="000000"/>
              <w:left w:val="single" w:sz="4" w:space="0" w:color="000000"/>
              <w:bottom w:val="single" w:sz="4" w:space="0" w:color="000000"/>
              <w:right w:val="single" w:sz="4" w:space="0" w:color="000000"/>
            </w:tcBorders>
            <w:hideMark/>
          </w:tcPr>
          <w:p w14:paraId="7E56F20D" w14:textId="77777777" w:rsidR="001627EC" w:rsidRDefault="001627EC">
            <w:pPr>
              <w:shd w:val="clear" w:color="auto" w:fill="FFFFFF"/>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Engagement method </w:t>
            </w:r>
          </w:p>
        </w:tc>
        <w:tc>
          <w:tcPr>
            <w:tcW w:w="1448" w:type="dxa"/>
            <w:tcBorders>
              <w:top w:val="single" w:sz="4" w:space="0" w:color="000000"/>
              <w:left w:val="single" w:sz="4" w:space="0" w:color="000000"/>
              <w:bottom w:val="single" w:sz="4" w:space="0" w:color="000000"/>
              <w:right w:val="single" w:sz="4" w:space="0" w:color="000000"/>
            </w:tcBorders>
            <w:hideMark/>
          </w:tcPr>
          <w:p w14:paraId="6890D608" w14:textId="77777777" w:rsidR="001627EC" w:rsidRDefault="001627EC">
            <w:pPr>
              <w:shd w:val="clear" w:color="auto" w:fill="FFFFFF"/>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Materials to be used </w:t>
            </w:r>
          </w:p>
        </w:tc>
        <w:tc>
          <w:tcPr>
            <w:tcW w:w="1220" w:type="dxa"/>
            <w:tcBorders>
              <w:top w:val="single" w:sz="4" w:space="0" w:color="000000"/>
              <w:left w:val="single" w:sz="4" w:space="0" w:color="000000"/>
              <w:bottom w:val="single" w:sz="4" w:space="0" w:color="000000"/>
              <w:right w:val="single" w:sz="4" w:space="0" w:color="000000"/>
            </w:tcBorders>
            <w:hideMark/>
          </w:tcPr>
          <w:p w14:paraId="176FCDBF" w14:textId="77777777" w:rsidR="001627EC" w:rsidRDefault="001627EC">
            <w:pPr>
              <w:shd w:val="clear" w:color="auto" w:fill="FFFFFF"/>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Location </w:t>
            </w:r>
          </w:p>
        </w:tc>
        <w:tc>
          <w:tcPr>
            <w:tcW w:w="1723" w:type="dxa"/>
            <w:tcBorders>
              <w:top w:val="single" w:sz="4" w:space="0" w:color="000000"/>
              <w:left w:val="single" w:sz="4" w:space="0" w:color="000000"/>
              <w:bottom w:val="single" w:sz="4" w:space="0" w:color="000000"/>
              <w:right w:val="single" w:sz="4" w:space="0" w:color="000000"/>
            </w:tcBorders>
            <w:hideMark/>
          </w:tcPr>
          <w:p w14:paraId="3734CDE3" w14:textId="77777777" w:rsidR="001627EC" w:rsidRDefault="001627EC">
            <w:pPr>
              <w:shd w:val="clear" w:color="auto" w:fill="FFFFFF"/>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 xml:space="preserve">Responsible </w:t>
            </w:r>
            <w:proofErr w:type="spellStart"/>
            <w:r>
              <w:rPr>
                <w:rFonts w:asciiTheme="minorHAnsi" w:eastAsia="Calibri" w:hAnsiTheme="minorHAnsi" w:cstheme="minorHAnsi"/>
                <w:b/>
                <w:color w:val="000000"/>
                <w:sz w:val="22"/>
                <w:szCs w:val="22"/>
              </w:rPr>
              <w:t>organisation</w:t>
            </w:r>
            <w:proofErr w:type="spellEnd"/>
            <w:r>
              <w:rPr>
                <w:rFonts w:asciiTheme="minorHAnsi" w:eastAsia="Calibri" w:hAnsiTheme="minorHAnsi" w:cstheme="minorHAnsi"/>
                <w:b/>
                <w:color w:val="000000"/>
                <w:sz w:val="22"/>
                <w:szCs w:val="22"/>
              </w:rPr>
              <w:t xml:space="preserve">, person </w:t>
            </w:r>
          </w:p>
        </w:tc>
        <w:tc>
          <w:tcPr>
            <w:tcW w:w="1317" w:type="dxa"/>
            <w:tcBorders>
              <w:top w:val="single" w:sz="4" w:space="0" w:color="000000"/>
              <w:left w:val="single" w:sz="4" w:space="0" w:color="000000"/>
              <w:bottom w:val="single" w:sz="4" w:space="0" w:color="000000"/>
              <w:right w:val="single" w:sz="4" w:space="0" w:color="000000"/>
            </w:tcBorders>
            <w:hideMark/>
          </w:tcPr>
          <w:p w14:paraId="7FCB4B76" w14:textId="77777777" w:rsidR="001627EC" w:rsidRDefault="001627EC">
            <w:pPr>
              <w:rPr>
                <w:rFonts w:asciiTheme="minorHAnsi" w:eastAsia="Calibri" w:hAnsiTheme="minorHAnsi" w:cstheme="minorHAnsi"/>
                <w:b/>
                <w:color w:val="000000"/>
                <w:sz w:val="22"/>
                <w:szCs w:val="22"/>
              </w:rPr>
            </w:pPr>
            <w:r>
              <w:rPr>
                <w:rFonts w:asciiTheme="minorHAnsi" w:eastAsia="Calibri" w:hAnsiTheme="minorHAnsi" w:cstheme="minorHAnsi"/>
                <w:b/>
                <w:color w:val="000000"/>
                <w:sz w:val="22"/>
                <w:szCs w:val="22"/>
              </w:rPr>
              <w:t>Frequency</w:t>
            </w:r>
          </w:p>
        </w:tc>
      </w:tr>
      <w:tr w:rsidR="001627EC" w14:paraId="1B36B426" w14:textId="77777777" w:rsidTr="001627EC">
        <w:tc>
          <w:tcPr>
            <w:tcW w:w="1654" w:type="dxa"/>
            <w:tcBorders>
              <w:top w:val="single" w:sz="4" w:space="0" w:color="000000"/>
              <w:left w:val="single" w:sz="4" w:space="0" w:color="000000"/>
              <w:bottom w:val="single" w:sz="4" w:space="0" w:color="000000"/>
              <w:right w:val="single" w:sz="4" w:space="0" w:color="000000"/>
            </w:tcBorders>
            <w:hideMark/>
          </w:tcPr>
          <w:p w14:paraId="65AD5464"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Stakeholders to be affected, directly or indirectly, by the outcomes of the Project implementation</w:t>
            </w:r>
          </w:p>
        </w:tc>
        <w:tc>
          <w:tcPr>
            <w:tcW w:w="1654" w:type="dxa"/>
            <w:tcBorders>
              <w:top w:val="single" w:sz="4" w:space="0" w:color="000000"/>
              <w:left w:val="single" w:sz="4" w:space="0" w:color="000000"/>
              <w:bottom w:val="single" w:sz="4" w:space="0" w:color="000000"/>
              <w:right w:val="single" w:sz="4" w:space="0" w:color="000000"/>
            </w:tcBorders>
            <w:hideMark/>
          </w:tcPr>
          <w:p w14:paraId="458B6016"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Steering Committee Meeting</w:t>
            </w:r>
          </w:p>
          <w:p w14:paraId="0EF20B14"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Inform on the project implementation status</w:t>
            </w:r>
          </w:p>
          <w:p w14:paraId="769FC4FF"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Collect opinions and concerns</w:t>
            </w:r>
          </w:p>
          <w:p w14:paraId="6A555675"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Consultation meetings</w:t>
            </w:r>
          </w:p>
          <w:p w14:paraId="66E2AF07"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Holding targeted group meetings, as necessary</w:t>
            </w:r>
          </w:p>
          <w:p w14:paraId="2161884B"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Inform on the internal Project development issues, success and difficulties</w:t>
            </w:r>
          </w:p>
        </w:tc>
        <w:tc>
          <w:tcPr>
            <w:tcW w:w="1448" w:type="dxa"/>
            <w:tcBorders>
              <w:top w:val="single" w:sz="4" w:space="0" w:color="000000"/>
              <w:left w:val="single" w:sz="4" w:space="0" w:color="000000"/>
              <w:bottom w:val="single" w:sz="4" w:space="0" w:color="000000"/>
              <w:right w:val="single" w:sz="4" w:space="0" w:color="000000"/>
            </w:tcBorders>
          </w:tcPr>
          <w:p w14:paraId="35B67C8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Presentations</w:t>
            </w:r>
          </w:p>
          <w:p w14:paraId="34D4851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Booklets, Brochures and progress leaflets</w:t>
            </w:r>
          </w:p>
          <w:p w14:paraId="580182DD"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Website posting</w:t>
            </w:r>
          </w:p>
          <w:p w14:paraId="4D06402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GEF agencies reports</w:t>
            </w:r>
          </w:p>
          <w:p w14:paraId="03D74F1E" w14:textId="77777777" w:rsidR="001627EC" w:rsidRDefault="001627EC">
            <w:pPr>
              <w:rPr>
                <w:rFonts w:asciiTheme="minorHAnsi" w:eastAsia="Calibri" w:hAnsiTheme="minorHAnsi" w:cstheme="minorHAnsi"/>
                <w:color w:val="000000"/>
                <w:sz w:val="22"/>
                <w:szCs w:val="22"/>
              </w:rPr>
            </w:pPr>
          </w:p>
        </w:tc>
        <w:tc>
          <w:tcPr>
            <w:tcW w:w="1220" w:type="dxa"/>
            <w:tcBorders>
              <w:top w:val="single" w:sz="4" w:space="0" w:color="000000"/>
              <w:left w:val="single" w:sz="4" w:space="0" w:color="000000"/>
              <w:bottom w:val="single" w:sz="4" w:space="0" w:color="000000"/>
              <w:right w:val="single" w:sz="4" w:space="0" w:color="000000"/>
            </w:tcBorders>
            <w:hideMark/>
          </w:tcPr>
          <w:p w14:paraId="7602E18D"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PCU</w:t>
            </w:r>
          </w:p>
        </w:tc>
        <w:tc>
          <w:tcPr>
            <w:tcW w:w="1723" w:type="dxa"/>
            <w:tcBorders>
              <w:top w:val="single" w:sz="4" w:space="0" w:color="000000"/>
              <w:left w:val="single" w:sz="4" w:space="0" w:color="000000"/>
              <w:bottom w:val="single" w:sz="4" w:space="0" w:color="000000"/>
              <w:right w:val="single" w:sz="4" w:space="0" w:color="000000"/>
            </w:tcBorders>
            <w:hideMark/>
          </w:tcPr>
          <w:p w14:paraId="6793CC2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coordinator</w:t>
            </w:r>
          </w:p>
          <w:p w14:paraId="2C0B6CE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Communications officer</w:t>
            </w:r>
          </w:p>
        </w:tc>
        <w:tc>
          <w:tcPr>
            <w:tcW w:w="1317" w:type="dxa"/>
            <w:tcBorders>
              <w:top w:val="single" w:sz="4" w:space="0" w:color="000000"/>
              <w:left w:val="single" w:sz="4" w:space="0" w:color="000000"/>
              <w:bottom w:val="single" w:sz="4" w:space="0" w:color="000000"/>
              <w:right w:val="single" w:sz="4" w:space="0" w:color="000000"/>
            </w:tcBorders>
            <w:hideMark/>
          </w:tcPr>
          <w:p w14:paraId="4D5D9C01"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Annually</w:t>
            </w:r>
          </w:p>
        </w:tc>
      </w:tr>
      <w:tr w:rsidR="001627EC" w14:paraId="14FA32D6" w14:textId="77777777" w:rsidTr="001627EC">
        <w:tc>
          <w:tcPr>
            <w:tcW w:w="1654" w:type="dxa"/>
            <w:tcBorders>
              <w:top w:val="single" w:sz="4" w:space="0" w:color="000000"/>
              <w:left w:val="single" w:sz="4" w:space="0" w:color="000000"/>
              <w:bottom w:val="single" w:sz="4" w:space="0" w:color="000000"/>
              <w:right w:val="single" w:sz="4" w:space="0" w:color="000000"/>
            </w:tcBorders>
            <w:hideMark/>
          </w:tcPr>
          <w:p w14:paraId="1CA9CADB"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Stakeholders that participate in the project directly or indirectly</w:t>
            </w:r>
          </w:p>
        </w:tc>
        <w:tc>
          <w:tcPr>
            <w:tcW w:w="1654" w:type="dxa"/>
            <w:tcBorders>
              <w:top w:val="single" w:sz="4" w:space="0" w:color="000000"/>
              <w:left w:val="single" w:sz="4" w:space="0" w:color="000000"/>
              <w:bottom w:val="single" w:sz="4" w:space="0" w:color="000000"/>
              <w:right w:val="single" w:sz="4" w:space="0" w:color="000000"/>
            </w:tcBorders>
            <w:hideMark/>
          </w:tcPr>
          <w:p w14:paraId="38D7FE1D"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Steering Committee</w:t>
            </w:r>
          </w:p>
          <w:p w14:paraId="513C6E1C"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Consultation meetings</w:t>
            </w:r>
          </w:p>
          <w:p w14:paraId="1658FE44" w14:textId="77777777" w:rsidR="001627EC" w:rsidRDefault="001627EC">
            <w:pPr>
              <w:shd w:val="clear" w:color="auto" w:fill="FFFFFF"/>
              <w:rPr>
                <w:rFonts w:asciiTheme="minorHAnsi" w:hAnsiTheme="minorHAnsi" w:cstheme="minorHAnsi"/>
                <w:color w:val="000000"/>
                <w:sz w:val="22"/>
                <w:szCs w:val="22"/>
              </w:rPr>
            </w:pPr>
            <w:r>
              <w:rPr>
                <w:rFonts w:asciiTheme="minorHAnsi" w:eastAsia="Calibri" w:hAnsiTheme="minorHAnsi" w:cstheme="minorHAnsi"/>
                <w:color w:val="000000"/>
                <w:sz w:val="22"/>
                <w:szCs w:val="22"/>
              </w:rPr>
              <w:t xml:space="preserve">Inform via direct meetings and reporting </w:t>
            </w:r>
          </w:p>
        </w:tc>
        <w:tc>
          <w:tcPr>
            <w:tcW w:w="1448" w:type="dxa"/>
            <w:tcBorders>
              <w:top w:val="single" w:sz="4" w:space="0" w:color="000000"/>
              <w:left w:val="single" w:sz="4" w:space="0" w:color="000000"/>
              <w:bottom w:val="single" w:sz="4" w:space="0" w:color="000000"/>
              <w:right w:val="single" w:sz="4" w:space="0" w:color="000000"/>
            </w:tcBorders>
            <w:hideMark/>
          </w:tcPr>
          <w:p w14:paraId="6F1F453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Monitoring and Evaluation System</w:t>
            </w:r>
          </w:p>
        </w:tc>
        <w:tc>
          <w:tcPr>
            <w:tcW w:w="1220" w:type="dxa"/>
            <w:tcBorders>
              <w:top w:val="single" w:sz="4" w:space="0" w:color="000000"/>
              <w:left w:val="single" w:sz="4" w:space="0" w:color="000000"/>
              <w:bottom w:val="single" w:sz="4" w:space="0" w:color="000000"/>
              <w:right w:val="single" w:sz="4" w:space="0" w:color="000000"/>
            </w:tcBorders>
            <w:hideMark/>
          </w:tcPr>
          <w:p w14:paraId="1DAFA9B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PCU</w:t>
            </w:r>
          </w:p>
        </w:tc>
        <w:tc>
          <w:tcPr>
            <w:tcW w:w="1723" w:type="dxa"/>
            <w:tcBorders>
              <w:top w:val="single" w:sz="4" w:space="0" w:color="000000"/>
              <w:left w:val="single" w:sz="4" w:space="0" w:color="000000"/>
              <w:bottom w:val="single" w:sz="4" w:space="0" w:color="000000"/>
              <w:right w:val="single" w:sz="4" w:space="0" w:color="000000"/>
            </w:tcBorders>
            <w:hideMark/>
          </w:tcPr>
          <w:p w14:paraId="770DF398"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coordinator</w:t>
            </w:r>
          </w:p>
        </w:tc>
        <w:tc>
          <w:tcPr>
            <w:tcW w:w="1317" w:type="dxa"/>
            <w:tcBorders>
              <w:top w:val="single" w:sz="4" w:space="0" w:color="000000"/>
              <w:left w:val="single" w:sz="4" w:space="0" w:color="000000"/>
              <w:bottom w:val="single" w:sz="4" w:space="0" w:color="000000"/>
              <w:right w:val="single" w:sz="4" w:space="0" w:color="000000"/>
            </w:tcBorders>
            <w:hideMark/>
          </w:tcPr>
          <w:p w14:paraId="6D46F791"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Ad-hoc</w:t>
            </w:r>
          </w:p>
          <w:p w14:paraId="56945E8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Annually</w:t>
            </w:r>
          </w:p>
        </w:tc>
      </w:tr>
      <w:tr w:rsidR="001627EC" w14:paraId="160DC1E8" w14:textId="77777777" w:rsidTr="001627EC">
        <w:tc>
          <w:tcPr>
            <w:tcW w:w="1654" w:type="dxa"/>
            <w:tcBorders>
              <w:top w:val="single" w:sz="4" w:space="0" w:color="000000"/>
              <w:left w:val="single" w:sz="4" w:space="0" w:color="000000"/>
              <w:bottom w:val="single" w:sz="4" w:space="0" w:color="000000"/>
              <w:right w:val="single" w:sz="4" w:space="0" w:color="000000"/>
            </w:tcBorders>
            <w:hideMark/>
          </w:tcPr>
          <w:p w14:paraId="5D7D0984"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Stakeholders who are able to influence and decide the outcomes and the manner of the Project implementation or make decisions based on the outputs of the project</w:t>
            </w:r>
          </w:p>
        </w:tc>
        <w:tc>
          <w:tcPr>
            <w:tcW w:w="1654" w:type="dxa"/>
            <w:tcBorders>
              <w:top w:val="single" w:sz="4" w:space="0" w:color="000000"/>
              <w:left w:val="single" w:sz="4" w:space="0" w:color="000000"/>
              <w:bottom w:val="single" w:sz="4" w:space="0" w:color="000000"/>
              <w:right w:val="single" w:sz="4" w:space="0" w:color="000000"/>
            </w:tcBorders>
          </w:tcPr>
          <w:p w14:paraId="20E2FBA0"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steering committee</w:t>
            </w:r>
          </w:p>
          <w:p w14:paraId="3EDBE777"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Inform on the project implementation status </w:t>
            </w:r>
          </w:p>
          <w:p w14:paraId="154B9EDE"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Consultation meetings</w:t>
            </w:r>
          </w:p>
          <w:p w14:paraId="111A6DF0" w14:textId="77777777" w:rsidR="001627EC" w:rsidRDefault="001627EC">
            <w:pPr>
              <w:shd w:val="clear" w:color="auto" w:fill="FFFFFF"/>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Holding targeted group meetings</w:t>
            </w:r>
          </w:p>
          <w:p w14:paraId="3DF84802" w14:textId="77777777" w:rsidR="001627EC" w:rsidRDefault="001627EC">
            <w:pPr>
              <w:shd w:val="clear" w:color="auto" w:fill="FFFFFF"/>
              <w:rPr>
                <w:rFonts w:asciiTheme="minorHAnsi" w:hAnsiTheme="minorHAnsi" w:cstheme="minorHAnsi"/>
                <w:color w:val="000000"/>
                <w:sz w:val="22"/>
                <w:szCs w:val="22"/>
              </w:rPr>
            </w:pPr>
          </w:p>
          <w:p w14:paraId="78EF5AED" w14:textId="77777777" w:rsidR="001627EC" w:rsidRDefault="001627EC">
            <w:pPr>
              <w:rPr>
                <w:rFonts w:asciiTheme="minorHAnsi" w:eastAsia="Calibri" w:hAnsiTheme="minorHAnsi" w:cstheme="minorHAnsi"/>
                <w:color w:val="000000"/>
                <w:sz w:val="22"/>
                <w:szCs w:val="22"/>
              </w:rPr>
            </w:pPr>
          </w:p>
        </w:tc>
        <w:tc>
          <w:tcPr>
            <w:tcW w:w="1448" w:type="dxa"/>
            <w:tcBorders>
              <w:top w:val="single" w:sz="4" w:space="0" w:color="000000"/>
              <w:left w:val="single" w:sz="4" w:space="0" w:color="000000"/>
              <w:bottom w:val="single" w:sz="4" w:space="0" w:color="000000"/>
              <w:right w:val="single" w:sz="4" w:space="0" w:color="000000"/>
            </w:tcBorders>
            <w:hideMark/>
          </w:tcPr>
          <w:p w14:paraId="11802D03"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Surveys</w:t>
            </w:r>
          </w:p>
          <w:p w14:paraId="7D4B89C1"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Leaflets</w:t>
            </w:r>
          </w:p>
          <w:p w14:paraId="55F09DC2"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Presentations</w:t>
            </w:r>
          </w:p>
          <w:p w14:paraId="0AE10401"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Newsletters</w:t>
            </w:r>
          </w:p>
          <w:p w14:paraId="75635CBF"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website posting</w:t>
            </w:r>
          </w:p>
          <w:p w14:paraId="7FEA090A"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reports</w:t>
            </w:r>
          </w:p>
        </w:tc>
        <w:tc>
          <w:tcPr>
            <w:tcW w:w="1220" w:type="dxa"/>
            <w:tcBorders>
              <w:top w:val="single" w:sz="4" w:space="0" w:color="000000"/>
              <w:left w:val="single" w:sz="4" w:space="0" w:color="000000"/>
              <w:bottom w:val="single" w:sz="4" w:space="0" w:color="000000"/>
              <w:right w:val="single" w:sz="4" w:space="0" w:color="000000"/>
            </w:tcBorders>
            <w:hideMark/>
          </w:tcPr>
          <w:p w14:paraId="5069B60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PCU</w:t>
            </w:r>
          </w:p>
        </w:tc>
        <w:tc>
          <w:tcPr>
            <w:tcW w:w="1723" w:type="dxa"/>
            <w:tcBorders>
              <w:top w:val="single" w:sz="4" w:space="0" w:color="000000"/>
              <w:left w:val="single" w:sz="4" w:space="0" w:color="000000"/>
              <w:bottom w:val="single" w:sz="4" w:space="0" w:color="000000"/>
              <w:right w:val="single" w:sz="4" w:space="0" w:color="000000"/>
            </w:tcBorders>
            <w:hideMark/>
          </w:tcPr>
          <w:p w14:paraId="0277F119"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Project coordinator</w:t>
            </w:r>
          </w:p>
          <w:p w14:paraId="4E69106B"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Training Specialist</w:t>
            </w:r>
          </w:p>
          <w:p w14:paraId="2FA7A587"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Communication Officer</w:t>
            </w:r>
          </w:p>
        </w:tc>
        <w:tc>
          <w:tcPr>
            <w:tcW w:w="1317" w:type="dxa"/>
            <w:tcBorders>
              <w:top w:val="single" w:sz="4" w:space="0" w:color="000000"/>
              <w:left w:val="single" w:sz="4" w:space="0" w:color="000000"/>
              <w:bottom w:val="single" w:sz="4" w:space="0" w:color="000000"/>
              <w:right w:val="single" w:sz="4" w:space="0" w:color="000000"/>
            </w:tcBorders>
            <w:hideMark/>
          </w:tcPr>
          <w:p w14:paraId="4D85EF8E"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Annually</w:t>
            </w:r>
          </w:p>
          <w:p w14:paraId="2643E750" w14:textId="77777777" w:rsidR="001627EC" w:rsidRDefault="001627EC">
            <w:pP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Ad-hoc</w:t>
            </w:r>
          </w:p>
        </w:tc>
      </w:tr>
    </w:tbl>
    <w:p w14:paraId="222953B1" w14:textId="54801BDC" w:rsidR="002B55C1" w:rsidRPr="001627EC" w:rsidRDefault="002B55C1" w:rsidP="001627EC">
      <w:pPr>
        <w:rPr>
          <w:rFonts w:cs="Calibri"/>
          <w:sz w:val="22"/>
          <w:szCs w:val="22"/>
        </w:rPr>
      </w:pPr>
      <w:r>
        <w:br w:type="page"/>
      </w:r>
    </w:p>
    <w:p w14:paraId="37D4899B" w14:textId="21A788F0" w:rsidR="002B55C1" w:rsidRDefault="002B55C1" w:rsidP="002B55C1">
      <w:pPr>
        <w:pStyle w:val="Heading2"/>
        <w:rPr>
          <w:rFonts w:asciiTheme="minorHAnsi" w:hAnsiTheme="minorHAnsi" w:cstheme="minorHAnsi"/>
          <w:b/>
          <w:bCs/>
          <w:color w:val="000000" w:themeColor="text1"/>
          <w:sz w:val="28"/>
          <w:szCs w:val="28"/>
        </w:rPr>
      </w:pPr>
      <w:bookmarkStart w:id="66" w:name="_Toc115094401"/>
      <w:r w:rsidRPr="002B55C1">
        <w:rPr>
          <w:rFonts w:asciiTheme="minorHAnsi" w:hAnsiTheme="minorHAnsi" w:cstheme="minorHAnsi"/>
          <w:b/>
          <w:bCs/>
          <w:color w:val="000000" w:themeColor="text1"/>
          <w:sz w:val="28"/>
          <w:szCs w:val="28"/>
        </w:rPr>
        <w:lastRenderedPageBreak/>
        <w:t>Annex 8: Gender Analysis and Gender Action Plan</w:t>
      </w:r>
      <w:bookmarkEnd w:id="66"/>
    </w:p>
    <w:p w14:paraId="78266FDC" w14:textId="77777777" w:rsidR="001627EC" w:rsidRDefault="001627EC" w:rsidP="001627EC">
      <w:pPr>
        <w:pStyle w:val="NormalWeb"/>
      </w:pPr>
      <w:r>
        <w:t xml:space="preserve">In order to ensure that the IW:LEARN project meets GEF Gender Mainstreaming Policy and UNDP Gender Mainstreaming Approach, a “Gender Analysis and Action Plan” has been developed to ensure the mainstreaming of gender issues throughout the project. Mainstreaming gender through GEF programs and projects presents opportunities to increase the effectiveness of its investment in enhancing global environmental benefits. The GEF recognizes gender equality as an important social goal in and of itself, with associated implications for the projects that receive GEF support. This gender mainstreaming Policy has been developed following guidance provided by GEF Gender Equality Plan. </w:t>
      </w:r>
    </w:p>
    <w:p w14:paraId="759E30BF" w14:textId="77777777" w:rsidR="001627EC" w:rsidRDefault="001627EC" w:rsidP="001627EC">
      <w:pPr>
        <w:pStyle w:val="NormalWeb"/>
        <w:rPr>
          <w:b/>
        </w:rPr>
      </w:pPr>
      <w:r>
        <w:rPr>
          <w:b/>
        </w:rPr>
        <w:t xml:space="preserve">Gender Mainstreaming </w:t>
      </w:r>
    </w:p>
    <w:p w14:paraId="50C109E5" w14:textId="77777777" w:rsidR="001627EC" w:rsidRDefault="001627EC" w:rsidP="001627EC">
      <w:pPr>
        <w:pStyle w:val="NormalWeb"/>
      </w:pPr>
      <w:r>
        <w:t xml:space="preserve">Gender mainstreaming refers to a strategy for promoting gender equality, involving integration of the gender perspective and the promotion of gender equality in all activities throughout the project lifecycles. Gender mainstreaming aims at the introduction of gender-conscious thinking and procedures in project activities. This means taking conscious note of the significance of gender and the impact of gender differences on the activity, while ensuring that the activity promotes gender equality in addition to other objectives. The aim is for programming and project activity to take conscious account of the significance of gender, rather than being gender neutral. </w:t>
      </w:r>
    </w:p>
    <w:p w14:paraId="18A56F6F" w14:textId="77777777" w:rsidR="001627EC" w:rsidRDefault="001627EC" w:rsidP="001627EC">
      <w:pPr>
        <w:spacing w:before="100" w:beforeAutospacing="1" w:after="100" w:afterAutospacing="1"/>
        <w:jc w:val="both"/>
        <w:rPr>
          <w:rFonts w:asciiTheme="minorHAnsi" w:hAnsiTheme="minorHAnsi" w:cstheme="minorHAnsi"/>
          <w:b/>
          <w:sz w:val="22"/>
          <w:szCs w:val="22"/>
        </w:rPr>
      </w:pPr>
      <w:r>
        <w:rPr>
          <w:rFonts w:asciiTheme="minorHAnsi" w:hAnsiTheme="minorHAnsi" w:cstheme="minorHAnsi"/>
          <w:b/>
          <w:sz w:val="22"/>
          <w:szCs w:val="22"/>
        </w:rPr>
        <w:t xml:space="preserve">Gender Action Plan </w:t>
      </w:r>
    </w:p>
    <w:p w14:paraId="1DB0B59D"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This plan is aimed at ensuring that both men and women have equal opportunities to participate in and benefit from the GEF project. The plan is achieved through progressive and efficient mainstreaming of gender dimensions throughout the project components and phases. </w:t>
      </w:r>
    </w:p>
    <w:p w14:paraId="1F341C08"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By developing a Gender Action Plan, the project will ensure that any gender-related adverse impact in the project is avoided, </w:t>
      </w:r>
      <w:proofErr w:type="spellStart"/>
      <w:r>
        <w:rPr>
          <w:rFonts w:asciiTheme="minorHAnsi" w:hAnsiTheme="minorHAnsi" w:cstheme="minorHAnsi"/>
          <w:sz w:val="22"/>
          <w:szCs w:val="22"/>
        </w:rPr>
        <w:t>minimised</w:t>
      </w:r>
      <w:proofErr w:type="spellEnd"/>
      <w:r>
        <w:rPr>
          <w:rFonts w:asciiTheme="minorHAnsi" w:hAnsiTheme="minorHAnsi" w:cstheme="minorHAnsi"/>
          <w:sz w:val="22"/>
          <w:szCs w:val="22"/>
        </w:rPr>
        <w:t xml:space="preserve"> and/or mitigated. The objective of this Plan is to outline actions that will be specifically taken within the duration of the project. </w:t>
      </w:r>
    </w:p>
    <w:p w14:paraId="2D242A23"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The Plan is divided into three parts: </w:t>
      </w:r>
    </w:p>
    <w:p w14:paraId="5F714247" w14:textId="77777777" w:rsidR="001627EC" w:rsidRDefault="001627EC" w:rsidP="001627EC">
      <w:pPr>
        <w:numPr>
          <w:ilvl w:val="0"/>
          <w:numId w:val="97"/>
        </w:num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Project overview. </w:t>
      </w:r>
    </w:p>
    <w:p w14:paraId="1708752A" w14:textId="77777777" w:rsidR="001627EC" w:rsidRDefault="001627EC" w:rsidP="001627EC">
      <w:pPr>
        <w:numPr>
          <w:ilvl w:val="0"/>
          <w:numId w:val="97"/>
        </w:num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Implementation throughout the GEF-project. </w:t>
      </w:r>
    </w:p>
    <w:p w14:paraId="3A8377CB" w14:textId="77777777" w:rsidR="001627EC" w:rsidRDefault="001627EC" w:rsidP="001627EC">
      <w:pPr>
        <w:numPr>
          <w:ilvl w:val="0"/>
          <w:numId w:val="97"/>
        </w:num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Monitoring &amp; Evaluation and dissemination of lessons learned. </w:t>
      </w:r>
    </w:p>
    <w:p w14:paraId="60976EAD" w14:textId="77777777" w:rsidR="001627EC" w:rsidRDefault="001627EC" w:rsidP="001627EC">
      <w:pPr>
        <w:spacing w:before="100" w:beforeAutospacing="1" w:after="100" w:afterAutospacing="1"/>
        <w:jc w:val="both"/>
        <w:rPr>
          <w:rFonts w:asciiTheme="minorHAnsi" w:hAnsiTheme="minorHAnsi" w:cstheme="minorHAnsi"/>
          <w:b/>
          <w:sz w:val="22"/>
          <w:szCs w:val="22"/>
        </w:rPr>
      </w:pPr>
      <w:r>
        <w:rPr>
          <w:rFonts w:asciiTheme="minorHAnsi" w:hAnsiTheme="minorHAnsi" w:cstheme="minorHAnsi"/>
          <w:b/>
          <w:sz w:val="22"/>
          <w:szCs w:val="22"/>
        </w:rPr>
        <w:t xml:space="preserve">GEF Policy on Gender Mainstreaming </w:t>
      </w:r>
    </w:p>
    <w:p w14:paraId="2C7DCB13" w14:textId="77777777" w:rsidR="001627EC" w:rsidRDefault="001627EC" w:rsidP="001627EC">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Gender mainstreaming and promoting women’s empowerment are strategic and operational imperatives for the GEF. Having launched its initial gender policy in 2011, the GEF approved a reinforced policy in October 2017, shifting the focus from </w:t>
      </w:r>
      <w:r>
        <w:rPr>
          <w:rFonts w:asciiTheme="minorHAnsi" w:hAnsiTheme="minorHAnsi" w:cstheme="minorHAnsi"/>
          <w:i/>
          <w:color w:val="000000"/>
          <w:sz w:val="22"/>
          <w:szCs w:val="22"/>
        </w:rPr>
        <w:t>a gender-aware do no harm</w:t>
      </w:r>
      <w:r>
        <w:rPr>
          <w:rFonts w:asciiTheme="minorHAnsi" w:hAnsiTheme="minorHAnsi" w:cstheme="minorHAnsi"/>
          <w:color w:val="000000"/>
          <w:sz w:val="22"/>
          <w:szCs w:val="22"/>
        </w:rPr>
        <w:t xml:space="preserve"> approach to a </w:t>
      </w:r>
      <w:r>
        <w:rPr>
          <w:rFonts w:asciiTheme="minorHAnsi" w:hAnsiTheme="minorHAnsi" w:cstheme="minorHAnsi"/>
          <w:i/>
          <w:color w:val="000000"/>
          <w:sz w:val="22"/>
          <w:szCs w:val="22"/>
        </w:rPr>
        <w:t>gender-responsive do good</w:t>
      </w:r>
      <w:r>
        <w:rPr>
          <w:rFonts w:asciiTheme="minorHAnsi" w:hAnsiTheme="minorHAnsi" w:cstheme="minorHAnsi"/>
          <w:color w:val="000000"/>
          <w:sz w:val="22"/>
          <w:szCs w:val="22"/>
        </w:rPr>
        <w:t xml:space="preserve"> approach. Men and women have differentiated access to natural resources and, as a result, they are affected differently by changes to these resources and dependent livelihoods. Gender inequality and social exclusion increase the negative effects of environmental degradation on women and girls. Despite recent promising policy and legal reforms, and the full </w:t>
      </w:r>
      <w:r>
        <w:rPr>
          <w:rFonts w:asciiTheme="minorHAnsi" w:hAnsiTheme="minorHAnsi" w:cstheme="minorHAnsi"/>
          <w:color w:val="000000"/>
          <w:sz w:val="22"/>
          <w:szCs w:val="22"/>
        </w:rPr>
        <w:lastRenderedPageBreak/>
        <w:t>appreciation in the region that women in decision-making spaces can promote sustainable water resource use and management</w:t>
      </w:r>
      <w:r>
        <w:rPr>
          <w:rFonts w:asciiTheme="minorHAnsi" w:hAnsiTheme="minorHAnsi" w:cstheme="minorHAnsi"/>
          <w:color w:val="555555"/>
          <w:sz w:val="22"/>
          <w:szCs w:val="22"/>
        </w:rPr>
        <w:t xml:space="preserve">, </w:t>
      </w:r>
      <w:r>
        <w:rPr>
          <w:rFonts w:asciiTheme="minorHAnsi" w:hAnsiTheme="minorHAnsi" w:cstheme="minorHAnsi"/>
          <w:color w:val="000000"/>
          <w:sz w:val="22"/>
          <w:szCs w:val="22"/>
        </w:rPr>
        <w:t>persistent gender-discriminatory social and cultural norms, unequal access to land, water and productive assets, and unequal decision-making power continue to constrain women and men from equally participating in, contributing to, and benefitting from environmental projects and programs.</w:t>
      </w:r>
    </w:p>
    <w:p w14:paraId="70E464C7" w14:textId="77777777" w:rsidR="001627EC" w:rsidRDefault="001627EC" w:rsidP="001627EC">
      <w:pPr>
        <w:jc w:val="both"/>
        <w:rPr>
          <w:rFonts w:asciiTheme="minorHAnsi" w:eastAsia="Calibri" w:hAnsiTheme="minorHAnsi" w:cstheme="minorHAnsi"/>
          <w:sz w:val="22"/>
          <w:szCs w:val="22"/>
        </w:rPr>
      </w:pPr>
    </w:p>
    <w:p w14:paraId="04FB0E13" w14:textId="77777777" w:rsidR="001627EC" w:rsidRDefault="001627EC" w:rsidP="001627EC">
      <w:pPr>
        <w:jc w:val="both"/>
        <w:rPr>
          <w:rFonts w:asciiTheme="minorHAnsi" w:eastAsia="Calibri" w:hAnsiTheme="minorHAnsi" w:cstheme="minorHAnsi"/>
          <w:b/>
          <w:sz w:val="22"/>
          <w:szCs w:val="22"/>
        </w:rPr>
      </w:pPr>
      <w:r>
        <w:rPr>
          <w:rFonts w:asciiTheme="minorHAnsi" w:eastAsia="Calibri" w:hAnsiTheme="minorHAnsi" w:cstheme="minorHAnsi"/>
          <w:b/>
          <w:sz w:val="22"/>
          <w:szCs w:val="22"/>
        </w:rPr>
        <w:t>Project Overview of Gender Assessment</w:t>
      </w:r>
    </w:p>
    <w:p w14:paraId="2E57920C" w14:textId="77777777" w:rsidR="001627EC" w:rsidRDefault="001627EC" w:rsidP="001627EC">
      <w:pPr>
        <w:jc w:val="both"/>
        <w:rPr>
          <w:rFonts w:asciiTheme="minorHAnsi" w:eastAsia="Calibri" w:hAnsiTheme="minorHAnsi" w:cstheme="minorHAnsi"/>
          <w:sz w:val="22"/>
          <w:szCs w:val="22"/>
        </w:rPr>
      </w:pPr>
    </w:p>
    <w:p w14:paraId="708A911A" w14:textId="77777777" w:rsidR="001627EC" w:rsidRDefault="001627EC" w:rsidP="001627EC">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Women play a central role in the provision, management and safeguarding of freshwater and marine ecosystems. How water and marine resources are distributed, who has access and can make decisions on its use, depends on various social factors, including gender norms. While in the majority of societies women and girls are responsible for fetching and carrying water, and for using it for the health and wellbeing of their families, these women and girls rarely have the decision-making power it takes to control and preserve water and marine resources. This is true at the community, national, transboundary and international level. In addition, women are rarely represented in ministries responsible for decision making about water and marine ecosystems, and are generally not found in technical management roles. </w:t>
      </w:r>
    </w:p>
    <w:p w14:paraId="0EED7BDF" w14:textId="77777777" w:rsidR="001627EC" w:rsidRDefault="001627EC" w:rsidP="001627EC">
      <w:pPr>
        <w:jc w:val="both"/>
        <w:rPr>
          <w:rFonts w:asciiTheme="minorHAnsi" w:eastAsia="Calibri" w:hAnsiTheme="minorHAnsi" w:cstheme="minorHAnsi"/>
          <w:sz w:val="22"/>
          <w:szCs w:val="22"/>
        </w:rPr>
      </w:pPr>
    </w:p>
    <w:p w14:paraId="47B5E35E" w14:textId="77777777" w:rsidR="001627EC" w:rsidRDefault="001627EC" w:rsidP="001627EC">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During its new phase, GEF IW:LEARN, as the portfolio coordination mechanism, has the responsibility to provide programmatic guidance support to the IW portfolio as well as execute other activities to help portfolio projects support gender mainstreaming throughout the portfolio. Making a case for gender mainstreaming activities means to provide a learning example for external partners, governments and institutions on how to improve their own water and marine programs and training tools. </w:t>
      </w:r>
    </w:p>
    <w:p w14:paraId="27E06052" w14:textId="77777777" w:rsidR="001627EC" w:rsidRDefault="001627EC" w:rsidP="001627EC">
      <w:pPr>
        <w:shd w:val="clear" w:color="auto" w:fill="FFFFFF"/>
        <w:jc w:val="both"/>
        <w:rPr>
          <w:rFonts w:asciiTheme="minorHAnsi" w:hAnsiTheme="minorHAnsi" w:cstheme="minorHAnsi"/>
          <w:color w:val="000000"/>
          <w:sz w:val="22"/>
          <w:szCs w:val="22"/>
        </w:rPr>
      </w:pPr>
    </w:p>
    <w:p w14:paraId="65DBF517" w14:textId="77777777" w:rsidR="001627EC" w:rsidRDefault="001627EC" w:rsidP="001627EC">
      <w:pPr>
        <w:jc w:val="both"/>
        <w:rPr>
          <w:rFonts w:asciiTheme="minorHAnsi" w:eastAsia="Calibri" w:hAnsiTheme="minorHAnsi" w:cstheme="minorHAnsi"/>
          <w:b/>
          <w:sz w:val="22"/>
          <w:szCs w:val="22"/>
        </w:rPr>
      </w:pPr>
      <w:r>
        <w:rPr>
          <w:rFonts w:asciiTheme="minorHAnsi" w:eastAsia="Calibri" w:hAnsiTheme="minorHAnsi" w:cstheme="minorHAnsi"/>
          <w:b/>
          <w:sz w:val="22"/>
          <w:szCs w:val="22"/>
        </w:rPr>
        <w:t>Gender Analysis</w:t>
      </w:r>
    </w:p>
    <w:p w14:paraId="42566240"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The first step of the Plan is to conduct a gender analysis at the early stage of project preparation in order to determine the different roles, needs and knowledge of women and men, thereby setting a baseline. This will then enable the development of gender-responsive project design, including the allocation of an appropriate budget and roles and responsibilities. </w:t>
      </w:r>
    </w:p>
    <w:p w14:paraId="07040480"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The gender goal of the project is to have appropriate skilled gender mix in the project. Since the project is global, and its activities are not directly geared towards the improvement of conditions of gender in specific national and local settings, the project aims at establishing a gender balance through equal participation in all of its activities. This should be reflected in the recommendations in the context of detailed explanations of the project’s activities.</w:t>
      </w:r>
    </w:p>
    <w:p w14:paraId="402D4E69"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Adequate financial resource allocation is key to the achievement of all steps in the gender mainstreaming process in any project and is one of the biggest challenges in efforts to implement gender mainstreaming. While the project’s budget structure does not explicitly present allocations for gender mainstreaming, it will implicitly identify resources required to mainstream gender during implementation and will allocate enough money to ensure that gender considerations are met during the life of the project. </w:t>
      </w:r>
    </w:p>
    <w:p w14:paraId="2525D68E" w14:textId="77777777" w:rsidR="001627EC" w:rsidRDefault="001627EC" w:rsidP="001627EC">
      <w:pPr>
        <w:spacing w:before="100" w:beforeAutospacing="1" w:after="100" w:afterAutospacing="1"/>
        <w:rPr>
          <w:rFonts w:asciiTheme="minorHAnsi" w:hAnsiTheme="minorHAnsi" w:cstheme="minorHAnsi"/>
          <w:b/>
          <w:sz w:val="22"/>
          <w:szCs w:val="22"/>
        </w:rPr>
      </w:pPr>
      <w:r>
        <w:rPr>
          <w:rFonts w:asciiTheme="minorHAnsi" w:hAnsiTheme="minorHAnsi" w:cstheme="minorHAnsi"/>
          <w:b/>
          <w:sz w:val="22"/>
          <w:szCs w:val="22"/>
        </w:rPr>
        <w:t xml:space="preserve">Implementation </w:t>
      </w:r>
    </w:p>
    <w:p w14:paraId="37A4D935"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Implementation of gender mainstreaming involves strengthening the gender expertise involved in the project. This will ensure the longevity of gender responsiveness following completion of the project. </w:t>
      </w:r>
      <w:r>
        <w:rPr>
          <w:rFonts w:asciiTheme="minorHAnsi" w:hAnsiTheme="minorHAnsi" w:cstheme="minorHAnsi"/>
          <w:sz w:val="22"/>
          <w:szCs w:val="22"/>
        </w:rPr>
        <w:lastRenderedPageBreak/>
        <w:t xml:space="preserve">Therefore, it’s key during implementation that the project builds gender capacities in both the project staff, partners and stakeholders. </w:t>
      </w:r>
    </w:p>
    <w:p w14:paraId="4A2D9501"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The capacities to be build will focus on identifying gender needs, how to monitor gender parameters, how to report them, listing gender-responsive activities (e.g. gender analysis, monitoring and reporting of disaggregated data) etc. the project will therefore ensure that senior staff have information on how gender is mainstreamed in the project and how to ensure that all genders play their part during implementation. </w:t>
      </w:r>
    </w:p>
    <w:p w14:paraId="51BA1D88" w14:textId="77777777" w:rsidR="001627EC" w:rsidRDefault="001627EC" w:rsidP="001627EC">
      <w:pPr>
        <w:pStyle w:val="NormalWeb"/>
      </w:pPr>
      <w:r>
        <w:t xml:space="preserve">The project will </w:t>
      </w:r>
      <w:proofErr w:type="spellStart"/>
      <w:r>
        <w:t>endeavour</w:t>
      </w:r>
      <w:proofErr w:type="spellEnd"/>
      <w:r>
        <w:t xml:space="preserve"> to ensure that women and men are represented equally in the project management, governance and activities. More significantly the project will assist the IW portfolio of projects to understand how the work can best assist women with water management issues. </w:t>
      </w:r>
    </w:p>
    <w:p w14:paraId="6C0BBFE6" w14:textId="77777777" w:rsidR="001627EC" w:rsidRDefault="001627EC" w:rsidP="001627EC">
      <w:pPr>
        <w:pStyle w:val="NormalWeb"/>
      </w:pPr>
      <w:r>
        <w:t xml:space="preserve">The Project Management Unit will be staffed with considerations of gender balance and will also promote the use of women in technical roles within the project. </w:t>
      </w:r>
    </w:p>
    <w:p w14:paraId="19CDBE10" w14:textId="77777777" w:rsidR="001627EC" w:rsidRDefault="001627EC" w:rsidP="001627EC">
      <w:pPr>
        <w:pStyle w:val="NormalWeb"/>
      </w:pPr>
      <w:r>
        <w:t xml:space="preserve">Through management and technical capacity training sessions the project will encourage a balance of women and men to further encourage the role of women in senior positions in water management. </w:t>
      </w:r>
    </w:p>
    <w:p w14:paraId="050127AF" w14:textId="77777777" w:rsidR="001627EC" w:rsidRDefault="001627EC" w:rsidP="001627EC">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project will continue to address the gender dimension, in particular through activity 4.4.3 with the aim of streamlining this aspect into the TDA-SAP process. The project will capitalize on the materials developed and lessons learned and apply these to maximize uptake by the GEF IW portfolio either via innovative training techniques (online/face to face) or committed targeted support delivered by partners. The aim will continue to be to introduce systematic consideration of gender equity, woman empowerment and social inclusion in GEF’s international waters portfolio approach for the improved management of transboundary waters and for more integrated resources management initiatives. The project will accelerate portfolio learning on this key thematic priority for the GEF portfolio. It will provide access to GEF IW partners, IW projects, and recipient countries (scientific institutes, national bodies, basin organizations, non-governmental organizations, universities, students) to relevant training materials, and cutting-edge experience on gender-responsive indicators, including but not limited to sex-disaggregated data collection. </w:t>
      </w:r>
    </w:p>
    <w:p w14:paraId="185C1D13" w14:textId="77777777" w:rsidR="001627EC" w:rsidRDefault="001627EC" w:rsidP="001627EC">
      <w:pPr>
        <w:shd w:val="clear" w:color="auto" w:fill="FFFFFF"/>
        <w:jc w:val="both"/>
        <w:rPr>
          <w:rFonts w:asciiTheme="minorHAnsi" w:hAnsiTheme="minorHAnsi" w:cstheme="minorHAnsi"/>
          <w:color w:val="000000"/>
          <w:sz w:val="22"/>
          <w:szCs w:val="22"/>
        </w:rPr>
      </w:pPr>
    </w:p>
    <w:p w14:paraId="20D413BB" w14:textId="77777777" w:rsidR="001627EC" w:rsidRDefault="001627EC" w:rsidP="001627EC">
      <w:pPr>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project could also facilitate exchanges of experiences and online learning mechanisms on gender integration and the use of gender indicators. These may include ad-hoc trainings and workshops on sex-disaggregated water data collection and analysis, and on gender sensitive indicators. These </w:t>
      </w:r>
      <w:proofErr w:type="spellStart"/>
      <w:r>
        <w:rPr>
          <w:rFonts w:asciiTheme="minorHAnsi" w:hAnsiTheme="minorHAnsi" w:cstheme="minorHAnsi"/>
          <w:color w:val="000000"/>
          <w:sz w:val="22"/>
          <w:szCs w:val="22"/>
        </w:rPr>
        <w:t>twinnings</w:t>
      </w:r>
      <w:proofErr w:type="spellEnd"/>
      <w:r>
        <w:rPr>
          <w:rFonts w:asciiTheme="minorHAnsi" w:hAnsiTheme="minorHAnsi" w:cstheme="minorHAnsi"/>
          <w:color w:val="000000"/>
          <w:sz w:val="22"/>
          <w:szCs w:val="22"/>
        </w:rPr>
        <w:t xml:space="preserve"> (between projects) or wider trainings could be based on the 5 multi-faceted macro-modules – each composed by one or more sub-modules and exercises already developed in the previous phase, which offer a theoretical, interactive and practical learning experience. </w:t>
      </w:r>
    </w:p>
    <w:p w14:paraId="0305BEC2" w14:textId="77777777" w:rsidR="001627EC" w:rsidRDefault="001627EC" w:rsidP="001627EC">
      <w:pPr>
        <w:jc w:val="both"/>
        <w:rPr>
          <w:rFonts w:asciiTheme="minorHAnsi" w:eastAsia="Calibri" w:hAnsiTheme="minorHAnsi" w:cstheme="minorHAnsi"/>
          <w:sz w:val="22"/>
          <w:szCs w:val="22"/>
        </w:rPr>
      </w:pPr>
    </w:p>
    <w:p w14:paraId="0E73D971" w14:textId="77777777" w:rsidR="001627EC" w:rsidRDefault="001627EC" w:rsidP="001627EC">
      <w:pPr>
        <w:jc w:val="both"/>
        <w:rPr>
          <w:rFonts w:asciiTheme="minorHAnsi" w:eastAsia="Calibri" w:hAnsiTheme="minorHAnsi" w:cstheme="minorHAnsi"/>
          <w:sz w:val="22"/>
          <w:szCs w:val="22"/>
        </w:rPr>
      </w:pPr>
      <w:r>
        <w:rPr>
          <w:rFonts w:asciiTheme="minorHAnsi" w:eastAsia="Calibri" w:hAnsiTheme="minorHAnsi" w:cstheme="minorHAnsi"/>
          <w:sz w:val="22"/>
          <w:szCs w:val="22"/>
        </w:rPr>
        <w:t>The PCU will coordinate all dialogue events, in collaboration with the partners. This sub-component will seek to leverage further partner contributions by working with FAO, UNDP, UNEP, the World Bank and regional development banks, all focused on coastal and marine issues. Collaboration with SIWI’s Source to Sea Action Platform, ICPDR and UNECE will bring in the freshwater focus in the context of this complex issue. Specific gender mainstreaming issues will be brought in the project through collaboration with WWF-US and UNESCO-WWAP.</w:t>
      </w:r>
    </w:p>
    <w:p w14:paraId="0D698A0A" w14:textId="77777777" w:rsidR="001627EC" w:rsidRDefault="001627EC" w:rsidP="001627EC">
      <w:pPr>
        <w:jc w:val="both"/>
        <w:rPr>
          <w:rFonts w:asciiTheme="minorHAnsi" w:eastAsia="Calibri" w:hAnsiTheme="minorHAnsi" w:cstheme="minorHAnsi"/>
          <w:b/>
          <w:sz w:val="22"/>
          <w:szCs w:val="22"/>
        </w:rPr>
      </w:pPr>
    </w:p>
    <w:p w14:paraId="24E15EC7" w14:textId="77777777" w:rsidR="001627EC" w:rsidRDefault="001627EC" w:rsidP="001627EC">
      <w:pPr>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 xml:space="preserve">In activity 4.4.3: Enhancement of the TDA-SAP Methodology to integrate Source-to-Sea management considerations as well as gender mainstreaming, the project will focus on including gender considerations as regards the TDA-SAP methodology. </w:t>
      </w:r>
    </w:p>
    <w:p w14:paraId="74FDB428" w14:textId="77777777" w:rsidR="001627EC" w:rsidRDefault="001627EC" w:rsidP="001627EC">
      <w:pPr>
        <w:rPr>
          <w:rFonts w:asciiTheme="minorHAnsi" w:hAnsiTheme="minorHAnsi" w:cstheme="minorHAnsi"/>
          <w:b/>
          <w:sz w:val="22"/>
          <w:szCs w:val="22"/>
        </w:rPr>
      </w:pPr>
    </w:p>
    <w:p w14:paraId="43F567C1" w14:textId="77777777" w:rsidR="001627EC" w:rsidRDefault="001627EC" w:rsidP="001627EC">
      <w:pPr>
        <w:spacing w:before="100" w:beforeAutospacing="1" w:after="100" w:afterAutospacing="1"/>
        <w:jc w:val="both"/>
        <w:rPr>
          <w:rFonts w:asciiTheme="minorHAnsi" w:hAnsiTheme="minorHAnsi" w:cstheme="minorHAnsi"/>
          <w:b/>
          <w:sz w:val="22"/>
          <w:szCs w:val="22"/>
        </w:rPr>
      </w:pPr>
      <w:r>
        <w:rPr>
          <w:rFonts w:asciiTheme="minorHAnsi" w:hAnsiTheme="minorHAnsi" w:cstheme="minorHAnsi"/>
          <w:b/>
          <w:sz w:val="22"/>
          <w:szCs w:val="22"/>
        </w:rPr>
        <w:t xml:space="preserve">Monitoring and reporting </w:t>
      </w:r>
    </w:p>
    <w:p w14:paraId="389A2F74" w14:textId="77777777" w:rsidR="001627EC" w:rsidRDefault="001627EC" w:rsidP="001627EC">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Monitoring and reporting of gender-sensitive targets and indicators, both qualitative and quantitative are identified as key to the efficacy of these processes. Using baseline data, gender-responsive indicators are established at the project design stage. The indicators should be formulated to monitor impacts and progress in relation to the gender goals and targets and be integrated throughout the overall monitoring plan in order to identify good practices and lessons learned that promote gender equality, and incorporate remedial action that will redress any gender inequalities that arise during project implementation. </w:t>
      </w:r>
    </w:p>
    <w:p w14:paraId="0E1B54E7" w14:textId="77777777" w:rsidR="001627EC" w:rsidRDefault="001627EC" w:rsidP="001627EC">
      <w:pPr>
        <w:spacing w:before="100" w:beforeAutospacing="1" w:after="100" w:afterAutospacing="1"/>
        <w:rPr>
          <w:rFonts w:asciiTheme="minorHAnsi" w:hAnsiTheme="minorHAnsi" w:cstheme="minorHAnsi"/>
          <w:b/>
          <w:sz w:val="22"/>
          <w:szCs w:val="22"/>
        </w:rPr>
      </w:pPr>
      <w:r>
        <w:rPr>
          <w:rFonts w:asciiTheme="minorHAnsi" w:hAnsiTheme="minorHAnsi" w:cstheme="minorHAnsi"/>
          <w:b/>
          <w:sz w:val="22"/>
          <w:szCs w:val="22"/>
        </w:rPr>
        <w:t xml:space="preserve">Gender Indicators </w:t>
      </w:r>
    </w:p>
    <w:tbl>
      <w:tblPr>
        <w:tblStyle w:val="TableGrid"/>
        <w:tblW w:w="0" w:type="auto"/>
        <w:tblInd w:w="0" w:type="dxa"/>
        <w:tblLook w:val="04A0" w:firstRow="1" w:lastRow="0" w:firstColumn="1" w:lastColumn="0" w:noHBand="0" w:noVBand="1"/>
      </w:tblPr>
      <w:tblGrid>
        <w:gridCol w:w="1975"/>
        <w:gridCol w:w="3239"/>
        <w:gridCol w:w="1835"/>
        <w:gridCol w:w="1967"/>
      </w:tblGrid>
      <w:tr w:rsidR="001627EC" w14:paraId="3BCFECDB" w14:textId="77777777" w:rsidTr="001627EC">
        <w:tc>
          <w:tcPr>
            <w:tcW w:w="1980" w:type="dxa"/>
            <w:tcBorders>
              <w:top w:val="single" w:sz="4" w:space="0" w:color="auto"/>
              <w:left w:val="single" w:sz="4" w:space="0" w:color="auto"/>
              <w:bottom w:val="single" w:sz="4" w:space="0" w:color="auto"/>
              <w:right w:val="single" w:sz="4" w:space="0" w:color="auto"/>
            </w:tcBorders>
            <w:hideMark/>
          </w:tcPr>
          <w:p w14:paraId="4994DAA3" w14:textId="77777777" w:rsidR="001627EC" w:rsidRDefault="001627EC">
            <w:pPr>
              <w:rPr>
                <w:rFonts w:asciiTheme="minorHAnsi" w:hAnsiTheme="minorHAnsi" w:cstheme="minorHAnsi"/>
                <w:b/>
                <w:sz w:val="22"/>
                <w:szCs w:val="22"/>
              </w:rPr>
            </w:pPr>
            <w:r>
              <w:rPr>
                <w:rFonts w:asciiTheme="minorHAnsi" w:hAnsiTheme="minorHAnsi" w:cstheme="minorHAnsi"/>
                <w:b/>
                <w:sz w:val="22"/>
                <w:szCs w:val="22"/>
              </w:rPr>
              <w:t>Indicator</w:t>
            </w:r>
          </w:p>
        </w:tc>
        <w:tc>
          <w:tcPr>
            <w:tcW w:w="3260" w:type="dxa"/>
            <w:tcBorders>
              <w:top w:val="single" w:sz="4" w:space="0" w:color="auto"/>
              <w:left w:val="single" w:sz="4" w:space="0" w:color="auto"/>
              <w:bottom w:val="single" w:sz="4" w:space="0" w:color="auto"/>
              <w:right w:val="single" w:sz="4" w:space="0" w:color="auto"/>
            </w:tcBorders>
            <w:hideMark/>
          </w:tcPr>
          <w:p w14:paraId="6E948C4F" w14:textId="77777777" w:rsidR="001627EC" w:rsidRDefault="001627EC">
            <w:pPr>
              <w:rPr>
                <w:rFonts w:asciiTheme="minorHAnsi" w:hAnsiTheme="minorHAnsi" w:cstheme="minorHAnsi"/>
                <w:b/>
                <w:sz w:val="22"/>
                <w:szCs w:val="22"/>
              </w:rPr>
            </w:pPr>
            <w:r>
              <w:rPr>
                <w:rFonts w:asciiTheme="minorHAnsi" w:hAnsiTheme="minorHAnsi" w:cstheme="minorHAnsi"/>
                <w:b/>
                <w:sz w:val="22"/>
                <w:szCs w:val="22"/>
              </w:rPr>
              <w:t>Data Type</w:t>
            </w:r>
          </w:p>
        </w:tc>
        <w:tc>
          <w:tcPr>
            <w:tcW w:w="1843" w:type="dxa"/>
            <w:tcBorders>
              <w:top w:val="single" w:sz="4" w:space="0" w:color="auto"/>
              <w:left w:val="single" w:sz="4" w:space="0" w:color="auto"/>
              <w:bottom w:val="single" w:sz="4" w:space="0" w:color="auto"/>
              <w:right w:val="single" w:sz="4" w:space="0" w:color="auto"/>
            </w:tcBorders>
            <w:hideMark/>
          </w:tcPr>
          <w:p w14:paraId="53D79E85" w14:textId="77777777" w:rsidR="001627EC" w:rsidRDefault="001627EC">
            <w:pPr>
              <w:rPr>
                <w:rFonts w:asciiTheme="minorHAnsi" w:hAnsiTheme="minorHAnsi" w:cstheme="minorHAnsi"/>
                <w:b/>
                <w:sz w:val="22"/>
                <w:szCs w:val="22"/>
              </w:rPr>
            </w:pPr>
            <w:r>
              <w:rPr>
                <w:rFonts w:asciiTheme="minorHAnsi" w:hAnsiTheme="minorHAnsi" w:cstheme="minorHAnsi"/>
                <w:b/>
                <w:sz w:val="22"/>
                <w:szCs w:val="22"/>
              </w:rPr>
              <w:t>Frequency of reporting</w:t>
            </w:r>
          </w:p>
        </w:tc>
        <w:tc>
          <w:tcPr>
            <w:tcW w:w="1973" w:type="dxa"/>
            <w:tcBorders>
              <w:top w:val="single" w:sz="4" w:space="0" w:color="auto"/>
              <w:left w:val="single" w:sz="4" w:space="0" w:color="auto"/>
              <w:bottom w:val="single" w:sz="4" w:space="0" w:color="auto"/>
              <w:right w:val="single" w:sz="4" w:space="0" w:color="auto"/>
            </w:tcBorders>
            <w:hideMark/>
          </w:tcPr>
          <w:p w14:paraId="11E93CD8" w14:textId="77777777" w:rsidR="001627EC" w:rsidRDefault="001627EC">
            <w:pPr>
              <w:rPr>
                <w:rFonts w:asciiTheme="minorHAnsi" w:hAnsiTheme="minorHAnsi" w:cstheme="minorHAnsi"/>
                <w:b/>
                <w:sz w:val="22"/>
                <w:szCs w:val="22"/>
              </w:rPr>
            </w:pPr>
            <w:r>
              <w:rPr>
                <w:rFonts w:asciiTheme="minorHAnsi" w:hAnsiTheme="minorHAnsi" w:cstheme="minorHAnsi"/>
                <w:b/>
                <w:sz w:val="22"/>
                <w:szCs w:val="22"/>
              </w:rPr>
              <w:t>Responsibility</w:t>
            </w:r>
          </w:p>
        </w:tc>
      </w:tr>
      <w:tr w:rsidR="001627EC" w14:paraId="77C4286C" w14:textId="77777777" w:rsidTr="001627EC">
        <w:tc>
          <w:tcPr>
            <w:tcW w:w="1980" w:type="dxa"/>
            <w:tcBorders>
              <w:top w:val="single" w:sz="4" w:space="0" w:color="auto"/>
              <w:left w:val="single" w:sz="4" w:space="0" w:color="auto"/>
              <w:bottom w:val="single" w:sz="4" w:space="0" w:color="auto"/>
              <w:right w:val="single" w:sz="4" w:space="0" w:color="auto"/>
            </w:tcBorders>
            <w:hideMark/>
          </w:tcPr>
          <w:p w14:paraId="32BE64DA"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Participation</w:t>
            </w:r>
          </w:p>
        </w:tc>
        <w:tc>
          <w:tcPr>
            <w:tcW w:w="3260" w:type="dxa"/>
            <w:tcBorders>
              <w:top w:val="single" w:sz="4" w:space="0" w:color="auto"/>
              <w:left w:val="single" w:sz="4" w:space="0" w:color="auto"/>
              <w:bottom w:val="single" w:sz="4" w:space="0" w:color="auto"/>
              <w:right w:val="single" w:sz="4" w:space="0" w:color="auto"/>
            </w:tcBorders>
            <w:hideMark/>
          </w:tcPr>
          <w:p w14:paraId="4D2FCA20" w14:textId="77777777" w:rsidR="001627EC" w:rsidRDefault="001627EC">
            <w:pPr>
              <w:pStyle w:val="NormalWeb"/>
              <w:jc w:val="left"/>
            </w:pPr>
            <w:r>
              <w:t xml:space="preserve">Number of men and women that participated in project activities (e.g. meetings, workshops, etc.) </w:t>
            </w:r>
          </w:p>
        </w:tc>
        <w:tc>
          <w:tcPr>
            <w:tcW w:w="1843" w:type="dxa"/>
            <w:tcBorders>
              <w:top w:val="single" w:sz="4" w:space="0" w:color="auto"/>
              <w:left w:val="single" w:sz="4" w:space="0" w:color="auto"/>
              <w:bottom w:val="single" w:sz="4" w:space="0" w:color="auto"/>
              <w:right w:val="single" w:sz="4" w:space="0" w:color="auto"/>
            </w:tcBorders>
            <w:hideMark/>
          </w:tcPr>
          <w:p w14:paraId="3D69F9AD"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Annually</w:t>
            </w:r>
          </w:p>
        </w:tc>
        <w:tc>
          <w:tcPr>
            <w:tcW w:w="1973" w:type="dxa"/>
            <w:tcBorders>
              <w:top w:val="single" w:sz="4" w:space="0" w:color="auto"/>
              <w:left w:val="single" w:sz="4" w:space="0" w:color="auto"/>
              <w:bottom w:val="single" w:sz="4" w:space="0" w:color="auto"/>
              <w:right w:val="single" w:sz="4" w:space="0" w:color="auto"/>
            </w:tcBorders>
            <w:hideMark/>
          </w:tcPr>
          <w:p w14:paraId="259C49B3"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Project coordinator</w:t>
            </w:r>
          </w:p>
        </w:tc>
      </w:tr>
      <w:tr w:rsidR="001627EC" w14:paraId="7331F90E" w14:textId="77777777" w:rsidTr="001627EC">
        <w:tc>
          <w:tcPr>
            <w:tcW w:w="1980" w:type="dxa"/>
            <w:tcBorders>
              <w:top w:val="single" w:sz="4" w:space="0" w:color="auto"/>
              <w:left w:val="single" w:sz="4" w:space="0" w:color="auto"/>
              <w:bottom w:val="single" w:sz="4" w:space="0" w:color="auto"/>
              <w:right w:val="single" w:sz="4" w:space="0" w:color="auto"/>
            </w:tcBorders>
            <w:hideMark/>
          </w:tcPr>
          <w:p w14:paraId="3B4FB39E"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Benefits</w:t>
            </w:r>
          </w:p>
        </w:tc>
        <w:tc>
          <w:tcPr>
            <w:tcW w:w="3260" w:type="dxa"/>
            <w:tcBorders>
              <w:top w:val="single" w:sz="4" w:space="0" w:color="auto"/>
              <w:left w:val="single" w:sz="4" w:space="0" w:color="auto"/>
              <w:bottom w:val="single" w:sz="4" w:space="0" w:color="auto"/>
              <w:right w:val="single" w:sz="4" w:space="0" w:color="auto"/>
            </w:tcBorders>
            <w:hideMark/>
          </w:tcPr>
          <w:p w14:paraId="7BAA7BF4" w14:textId="77777777" w:rsidR="001627EC" w:rsidRDefault="001627EC">
            <w:pPr>
              <w:pStyle w:val="NormalWeb"/>
              <w:jc w:val="left"/>
            </w:pPr>
            <w:r>
              <w:t xml:space="preserve">Number of men and women that received benefits (e.g. training, twinning, participation at global conferences etc..) from the project </w:t>
            </w:r>
          </w:p>
        </w:tc>
        <w:tc>
          <w:tcPr>
            <w:tcW w:w="1843" w:type="dxa"/>
            <w:tcBorders>
              <w:top w:val="single" w:sz="4" w:space="0" w:color="auto"/>
              <w:left w:val="single" w:sz="4" w:space="0" w:color="auto"/>
              <w:bottom w:val="single" w:sz="4" w:space="0" w:color="auto"/>
              <w:right w:val="single" w:sz="4" w:space="0" w:color="auto"/>
            </w:tcBorders>
            <w:hideMark/>
          </w:tcPr>
          <w:p w14:paraId="56622B63"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Annually</w:t>
            </w:r>
          </w:p>
        </w:tc>
        <w:tc>
          <w:tcPr>
            <w:tcW w:w="1973" w:type="dxa"/>
            <w:tcBorders>
              <w:top w:val="single" w:sz="4" w:space="0" w:color="auto"/>
              <w:left w:val="single" w:sz="4" w:space="0" w:color="auto"/>
              <w:bottom w:val="single" w:sz="4" w:space="0" w:color="auto"/>
              <w:right w:val="single" w:sz="4" w:space="0" w:color="auto"/>
            </w:tcBorders>
            <w:hideMark/>
          </w:tcPr>
          <w:p w14:paraId="0F27569A"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Project coordinator</w:t>
            </w:r>
          </w:p>
        </w:tc>
      </w:tr>
      <w:tr w:rsidR="001627EC" w14:paraId="33717AA1" w14:textId="77777777" w:rsidTr="001627EC">
        <w:tc>
          <w:tcPr>
            <w:tcW w:w="1980" w:type="dxa"/>
            <w:tcBorders>
              <w:top w:val="single" w:sz="4" w:space="0" w:color="auto"/>
              <w:left w:val="single" w:sz="4" w:space="0" w:color="auto"/>
              <w:bottom w:val="single" w:sz="4" w:space="0" w:color="auto"/>
              <w:right w:val="single" w:sz="4" w:space="0" w:color="auto"/>
            </w:tcBorders>
            <w:hideMark/>
          </w:tcPr>
          <w:p w14:paraId="5F2C873E"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Project planning considerations</w:t>
            </w:r>
          </w:p>
        </w:tc>
        <w:tc>
          <w:tcPr>
            <w:tcW w:w="3260" w:type="dxa"/>
            <w:tcBorders>
              <w:top w:val="single" w:sz="4" w:space="0" w:color="auto"/>
              <w:left w:val="single" w:sz="4" w:space="0" w:color="auto"/>
              <w:bottom w:val="single" w:sz="4" w:space="0" w:color="auto"/>
              <w:right w:val="single" w:sz="4" w:space="0" w:color="auto"/>
            </w:tcBorders>
            <w:hideMark/>
          </w:tcPr>
          <w:p w14:paraId="4A4D4AC9" w14:textId="77777777" w:rsidR="001627EC" w:rsidRDefault="001627EC">
            <w:pPr>
              <w:pStyle w:val="NormalWeb"/>
              <w:jc w:val="left"/>
            </w:pPr>
            <w:r>
              <w:t>Number of strategies, plans and policies derived from the project that include gender considerations and were implemented within the IW portfolio</w:t>
            </w:r>
          </w:p>
        </w:tc>
        <w:tc>
          <w:tcPr>
            <w:tcW w:w="1843" w:type="dxa"/>
            <w:tcBorders>
              <w:top w:val="single" w:sz="4" w:space="0" w:color="auto"/>
              <w:left w:val="single" w:sz="4" w:space="0" w:color="auto"/>
              <w:bottom w:val="single" w:sz="4" w:space="0" w:color="auto"/>
              <w:right w:val="single" w:sz="4" w:space="0" w:color="auto"/>
            </w:tcBorders>
            <w:hideMark/>
          </w:tcPr>
          <w:p w14:paraId="123AE520"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Bi-annually</w:t>
            </w:r>
          </w:p>
        </w:tc>
        <w:tc>
          <w:tcPr>
            <w:tcW w:w="1973" w:type="dxa"/>
            <w:tcBorders>
              <w:top w:val="single" w:sz="4" w:space="0" w:color="auto"/>
              <w:left w:val="single" w:sz="4" w:space="0" w:color="auto"/>
              <w:bottom w:val="single" w:sz="4" w:space="0" w:color="auto"/>
              <w:right w:val="single" w:sz="4" w:space="0" w:color="auto"/>
            </w:tcBorders>
            <w:hideMark/>
          </w:tcPr>
          <w:p w14:paraId="7874C9DF"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Project coordinator</w:t>
            </w:r>
          </w:p>
        </w:tc>
      </w:tr>
      <w:tr w:rsidR="001627EC" w14:paraId="64F33EA7" w14:textId="77777777" w:rsidTr="001627EC">
        <w:tc>
          <w:tcPr>
            <w:tcW w:w="1980" w:type="dxa"/>
            <w:tcBorders>
              <w:top w:val="single" w:sz="4" w:space="0" w:color="auto"/>
              <w:left w:val="single" w:sz="4" w:space="0" w:color="auto"/>
              <w:bottom w:val="single" w:sz="4" w:space="0" w:color="auto"/>
              <w:right w:val="single" w:sz="4" w:space="0" w:color="auto"/>
            </w:tcBorders>
            <w:hideMark/>
          </w:tcPr>
          <w:p w14:paraId="237A4DD4"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Gender balance of staff</w:t>
            </w:r>
          </w:p>
        </w:tc>
        <w:tc>
          <w:tcPr>
            <w:tcW w:w="3260" w:type="dxa"/>
            <w:tcBorders>
              <w:top w:val="single" w:sz="4" w:space="0" w:color="auto"/>
              <w:left w:val="single" w:sz="4" w:space="0" w:color="auto"/>
              <w:bottom w:val="single" w:sz="4" w:space="0" w:color="auto"/>
              <w:right w:val="single" w:sz="4" w:space="0" w:color="auto"/>
            </w:tcBorders>
            <w:hideMark/>
          </w:tcPr>
          <w:p w14:paraId="2608819A" w14:textId="77777777" w:rsidR="001627EC" w:rsidRDefault="001627EC">
            <w:pPr>
              <w:pStyle w:val="NormalWeb"/>
              <w:jc w:val="left"/>
            </w:pPr>
            <w:r>
              <w:t>Balanced gender at both management and technical consultancies of the project</w:t>
            </w:r>
          </w:p>
        </w:tc>
        <w:tc>
          <w:tcPr>
            <w:tcW w:w="1843" w:type="dxa"/>
            <w:tcBorders>
              <w:top w:val="single" w:sz="4" w:space="0" w:color="auto"/>
              <w:left w:val="single" w:sz="4" w:space="0" w:color="auto"/>
              <w:bottom w:val="single" w:sz="4" w:space="0" w:color="auto"/>
              <w:right w:val="single" w:sz="4" w:space="0" w:color="auto"/>
            </w:tcBorders>
            <w:hideMark/>
          </w:tcPr>
          <w:p w14:paraId="2F60C4A4"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Annually</w:t>
            </w:r>
          </w:p>
        </w:tc>
        <w:tc>
          <w:tcPr>
            <w:tcW w:w="1973" w:type="dxa"/>
            <w:tcBorders>
              <w:top w:val="single" w:sz="4" w:space="0" w:color="auto"/>
              <w:left w:val="single" w:sz="4" w:space="0" w:color="auto"/>
              <w:bottom w:val="single" w:sz="4" w:space="0" w:color="auto"/>
              <w:right w:val="single" w:sz="4" w:space="0" w:color="auto"/>
            </w:tcBorders>
            <w:hideMark/>
          </w:tcPr>
          <w:p w14:paraId="2E649D4C" w14:textId="77777777" w:rsidR="001627EC" w:rsidRDefault="001627EC">
            <w:pPr>
              <w:rPr>
                <w:rFonts w:asciiTheme="minorHAnsi" w:hAnsiTheme="minorHAnsi" w:cstheme="minorHAnsi"/>
                <w:sz w:val="22"/>
                <w:szCs w:val="22"/>
              </w:rPr>
            </w:pPr>
            <w:r>
              <w:rPr>
                <w:rFonts w:asciiTheme="minorHAnsi" w:hAnsiTheme="minorHAnsi" w:cstheme="minorHAnsi"/>
                <w:sz w:val="22"/>
                <w:szCs w:val="22"/>
              </w:rPr>
              <w:t>Project coordinator</w:t>
            </w:r>
          </w:p>
        </w:tc>
      </w:tr>
    </w:tbl>
    <w:p w14:paraId="10F4D1CA" w14:textId="27A2550B" w:rsidR="002B55C1" w:rsidRPr="002B55C1" w:rsidRDefault="002B55C1" w:rsidP="002B55C1">
      <w:pPr>
        <w:spacing w:after="160" w:line="259" w:lineRule="auto"/>
      </w:pPr>
      <w:r>
        <w:br w:type="page"/>
      </w:r>
    </w:p>
    <w:p w14:paraId="6FAFCA89" w14:textId="4B2F7C57" w:rsidR="002B55C1" w:rsidRDefault="002B55C1" w:rsidP="002B55C1">
      <w:pPr>
        <w:pStyle w:val="Heading2"/>
        <w:rPr>
          <w:rFonts w:asciiTheme="minorHAnsi" w:hAnsiTheme="minorHAnsi" w:cstheme="minorHAnsi"/>
          <w:b/>
          <w:bCs/>
          <w:color w:val="000000" w:themeColor="text1"/>
          <w:sz w:val="28"/>
          <w:szCs w:val="28"/>
        </w:rPr>
      </w:pPr>
      <w:bookmarkStart w:id="67" w:name="_Toc115094402"/>
      <w:r w:rsidRPr="002B55C1">
        <w:rPr>
          <w:rFonts w:asciiTheme="minorHAnsi" w:hAnsiTheme="minorHAnsi" w:cstheme="minorHAnsi"/>
          <w:b/>
          <w:bCs/>
          <w:color w:val="000000" w:themeColor="text1"/>
          <w:sz w:val="28"/>
          <w:szCs w:val="28"/>
        </w:rPr>
        <w:lastRenderedPageBreak/>
        <w:t>Annex 9: Procurement Plan</w:t>
      </w:r>
      <w:bookmarkEnd w:id="67"/>
    </w:p>
    <w:p w14:paraId="64917C42" w14:textId="77777777" w:rsidR="001627EC" w:rsidRDefault="001627EC" w:rsidP="001627EC">
      <w:pPr>
        <w:rPr>
          <w:rFonts w:asciiTheme="minorHAnsi" w:hAnsiTheme="minorHAnsi" w:cstheme="minorHAnsi"/>
          <w:sz w:val="22"/>
          <w:szCs w:val="22"/>
        </w:rPr>
      </w:pPr>
      <w:r>
        <w:rPr>
          <w:rFonts w:asciiTheme="minorHAnsi" w:hAnsiTheme="minorHAnsi" w:cstheme="minorHAnsi"/>
          <w:sz w:val="22"/>
          <w:szCs w:val="22"/>
        </w:rPr>
        <w:t>GEFID: 10374</w:t>
      </w:r>
    </w:p>
    <w:p w14:paraId="3C58C94B" w14:textId="77777777" w:rsidR="001627EC" w:rsidRDefault="001627EC" w:rsidP="001627EC">
      <w:pPr>
        <w:rPr>
          <w:rFonts w:asciiTheme="minorHAnsi" w:hAnsiTheme="minorHAnsi" w:cstheme="minorHAnsi"/>
          <w:sz w:val="22"/>
          <w:szCs w:val="22"/>
        </w:rPr>
      </w:pPr>
      <w:r>
        <w:rPr>
          <w:rFonts w:asciiTheme="minorHAnsi" w:hAnsiTheme="minorHAnsi" w:cstheme="minorHAnsi"/>
          <w:sz w:val="22"/>
          <w:szCs w:val="22"/>
        </w:rPr>
        <w:t>UNDP Atlas: 6438</w:t>
      </w:r>
    </w:p>
    <w:p w14:paraId="352F0981" w14:textId="77777777" w:rsidR="001627EC" w:rsidRDefault="001627EC" w:rsidP="001627EC">
      <w:pPr>
        <w:rPr>
          <w:rFonts w:asciiTheme="minorHAnsi" w:hAnsiTheme="minorHAnsi" w:cstheme="minorHAnsi"/>
          <w:sz w:val="22"/>
          <w:szCs w:val="22"/>
        </w:rPr>
      </w:pPr>
      <w:r>
        <w:rPr>
          <w:rFonts w:asciiTheme="minorHAnsi" w:hAnsiTheme="minorHAnsi" w:cstheme="minorHAnsi"/>
          <w:sz w:val="22"/>
          <w:szCs w:val="22"/>
        </w:rPr>
        <w:t>GEF IW:LEARN 5: Supporting Portfolio Coordination Within and Beyond the International Waters Focal Area, particularly in Small Island Developing States, Through Knowledge Sharing, Information Management, Partnership Building and Programmatic Guidance Services</w:t>
      </w:r>
    </w:p>
    <w:p w14:paraId="688C69BC" w14:textId="77777777" w:rsidR="001627EC" w:rsidRDefault="001627EC" w:rsidP="001627EC">
      <w:pPr>
        <w:rPr>
          <w:szCs w:val="22"/>
        </w:rPr>
      </w:pPr>
    </w:p>
    <w:tbl>
      <w:tblPr>
        <w:tblStyle w:val="TableGrid"/>
        <w:tblW w:w="9179" w:type="dxa"/>
        <w:tblInd w:w="0" w:type="dxa"/>
        <w:tblLook w:val="04A0" w:firstRow="1" w:lastRow="0" w:firstColumn="1" w:lastColumn="0" w:noHBand="0" w:noVBand="1"/>
      </w:tblPr>
      <w:tblGrid>
        <w:gridCol w:w="1071"/>
        <w:gridCol w:w="2609"/>
        <w:gridCol w:w="988"/>
        <w:gridCol w:w="988"/>
        <w:gridCol w:w="825"/>
        <w:gridCol w:w="1074"/>
        <w:gridCol w:w="1624"/>
      </w:tblGrid>
      <w:tr w:rsidR="001627EC" w:rsidRPr="001627EC" w14:paraId="773DAA37" w14:textId="77777777" w:rsidTr="001627EC">
        <w:tc>
          <w:tcPr>
            <w:tcW w:w="10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C14343" w14:textId="77777777" w:rsidR="001627EC" w:rsidRDefault="001627EC">
            <w:pPr>
              <w:rPr>
                <w:rFonts w:asciiTheme="minorHAnsi" w:hAnsiTheme="minorHAnsi"/>
                <w:b/>
                <w:sz w:val="20"/>
                <w:szCs w:val="20"/>
              </w:rPr>
            </w:pPr>
            <w:r>
              <w:rPr>
                <w:rFonts w:asciiTheme="minorHAnsi" w:hAnsiTheme="minorHAnsi"/>
                <w:b/>
                <w:sz w:val="20"/>
                <w:szCs w:val="20"/>
              </w:rPr>
              <w:t>Budget Line</w:t>
            </w:r>
          </w:p>
        </w:tc>
        <w:tc>
          <w:tcPr>
            <w:tcW w:w="26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3E45BF" w14:textId="77777777" w:rsidR="001627EC" w:rsidRDefault="001627EC">
            <w:pPr>
              <w:rPr>
                <w:rFonts w:asciiTheme="minorHAnsi" w:hAnsiTheme="minorHAnsi"/>
                <w:b/>
                <w:sz w:val="20"/>
                <w:szCs w:val="20"/>
              </w:rPr>
            </w:pPr>
            <w:r>
              <w:rPr>
                <w:rFonts w:asciiTheme="minorHAnsi" w:hAnsiTheme="minorHAnsi"/>
                <w:b/>
                <w:sz w:val="20"/>
                <w:szCs w:val="20"/>
              </w:rPr>
              <w:t>List of Goods and Services Required</w:t>
            </w:r>
          </w:p>
        </w:tc>
        <w:tc>
          <w:tcPr>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67326" w14:textId="77777777" w:rsidR="001627EC" w:rsidRDefault="001627EC">
            <w:pPr>
              <w:rPr>
                <w:rFonts w:asciiTheme="minorHAnsi" w:hAnsiTheme="minorHAnsi"/>
                <w:b/>
                <w:sz w:val="20"/>
                <w:szCs w:val="20"/>
              </w:rPr>
            </w:pPr>
            <w:r>
              <w:rPr>
                <w:rFonts w:asciiTheme="minorHAnsi" w:hAnsiTheme="minorHAnsi"/>
                <w:b/>
                <w:sz w:val="20"/>
                <w:szCs w:val="20"/>
              </w:rPr>
              <w:t>Budget ($)</w:t>
            </w:r>
          </w:p>
          <w:p w14:paraId="3C7C4C93" w14:textId="77777777" w:rsidR="001627EC" w:rsidRDefault="001627EC">
            <w:pPr>
              <w:rPr>
                <w:rFonts w:asciiTheme="minorHAnsi" w:hAnsiTheme="minorHAnsi"/>
                <w:b/>
                <w:sz w:val="20"/>
                <w:szCs w:val="20"/>
              </w:rPr>
            </w:pPr>
          </w:p>
          <w:p w14:paraId="07928018" w14:textId="77777777" w:rsidR="001627EC" w:rsidRDefault="001627EC">
            <w:pPr>
              <w:rPr>
                <w:rFonts w:asciiTheme="minorHAnsi" w:hAnsiTheme="minorHAnsi"/>
                <w:b/>
                <w:sz w:val="20"/>
                <w:szCs w:val="20"/>
              </w:rPr>
            </w:pPr>
            <w:r>
              <w:rPr>
                <w:rFonts w:asciiTheme="minorHAnsi" w:hAnsiTheme="minorHAnsi"/>
                <w:b/>
                <w:sz w:val="20"/>
                <w:szCs w:val="20"/>
              </w:rPr>
              <w:t>Year 1 (2021)</w:t>
            </w:r>
          </w:p>
        </w:tc>
        <w:tc>
          <w:tcPr>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48C049" w14:textId="77777777" w:rsidR="001627EC" w:rsidRDefault="001627EC">
            <w:pPr>
              <w:rPr>
                <w:rFonts w:asciiTheme="minorHAnsi" w:hAnsiTheme="minorHAnsi"/>
                <w:b/>
                <w:sz w:val="20"/>
                <w:szCs w:val="20"/>
              </w:rPr>
            </w:pPr>
            <w:r>
              <w:rPr>
                <w:rFonts w:asciiTheme="minorHAnsi" w:hAnsiTheme="minorHAnsi"/>
                <w:b/>
                <w:sz w:val="20"/>
                <w:szCs w:val="20"/>
              </w:rPr>
              <w:t>Budget ($)</w:t>
            </w:r>
          </w:p>
          <w:p w14:paraId="74056065" w14:textId="77777777" w:rsidR="001627EC" w:rsidRDefault="001627EC">
            <w:pPr>
              <w:rPr>
                <w:rFonts w:asciiTheme="minorHAnsi" w:hAnsiTheme="minorHAnsi"/>
                <w:b/>
                <w:sz w:val="20"/>
                <w:szCs w:val="20"/>
              </w:rPr>
            </w:pPr>
          </w:p>
          <w:p w14:paraId="0D500585" w14:textId="77777777" w:rsidR="001627EC" w:rsidRDefault="001627EC">
            <w:pPr>
              <w:rPr>
                <w:rFonts w:asciiTheme="minorHAnsi" w:hAnsiTheme="minorHAnsi"/>
                <w:b/>
                <w:sz w:val="20"/>
                <w:szCs w:val="20"/>
              </w:rPr>
            </w:pPr>
            <w:r>
              <w:rPr>
                <w:rFonts w:asciiTheme="minorHAnsi" w:hAnsiTheme="minorHAnsi"/>
                <w:b/>
                <w:sz w:val="20"/>
                <w:szCs w:val="20"/>
              </w:rPr>
              <w:t>Year 2 (2022)</w:t>
            </w:r>
          </w:p>
        </w:tc>
        <w:tc>
          <w:tcPr>
            <w:tcW w:w="8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F0787C" w14:textId="77777777" w:rsidR="001627EC" w:rsidRDefault="001627EC">
            <w:pPr>
              <w:rPr>
                <w:rFonts w:asciiTheme="minorHAnsi" w:hAnsiTheme="minorHAnsi"/>
                <w:b/>
                <w:sz w:val="20"/>
                <w:szCs w:val="20"/>
              </w:rPr>
            </w:pPr>
            <w:r>
              <w:rPr>
                <w:rFonts w:asciiTheme="minorHAnsi" w:hAnsiTheme="minorHAnsi"/>
                <w:b/>
                <w:sz w:val="20"/>
                <w:szCs w:val="20"/>
              </w:rPr>
              <w:t>Budget ($)</w:t>
            </w:r>
          </w:p>
          <w:p w14:paraId="114B1D98" w14:textId="77777777" w:rsidR="001627EC" w:rsidRDefault="001627EC">
            <w:pPr>
              <w:rPr>
                <w:rFonts w:asciiTheme="minorHAnsi" w:hAnsiTheme="minorHAnsi"/>
                <w:b/>
                <w:sz w:val="20"/>
                <w:szCs w:val="20"/>
              </w:rPr>
            </w:pPr>
          </w:p>
          <w:p w14:paraId="09BAFCF4" w14:textId="77777777" w:rsidR="001627EC" w:rsidRDefault="001627EC">
            <w:pPr>
              <w:rPr>
                <w:rFonts w:asciiTheme="minorHAnsi" w:hAnsiTheme="minorHAnsi"/>
                <w:b/>
                <w:sz w:val="20"/>
                <w:szCs w:val="20"/>
              </w:rPr>
            </w:pPr>
            <w:r>
              <w:rPr>
                <w:rFonts w:asciiTheme="minorHAnsi" w:hAnsiTheme="minorHAnsi"/>
                <w:b/>
                <w:sz w:val="20"/>
                <w:szCs w:val="20"/>
              </w:rPr>
              <w:t>Year 3 (2023)</w:t>
            </w: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86E0F9" w14:textId="77777777" w:rsidR="001627EC" w:rsidRDefault="001627EC">
            <w:pPr>
              <w:rPr>
                <w:rFonts w:asciiTheme="minorHAnsi" w:hAnsiTheme="minorHAnsi"/>
                <w:b/>
                <w:sz w:val="20"/>
                <w:szCs w:val="20"/>
              </w:rPr>
            </w:pPr>
            <w:r>
              <w:rPr>
                <w:rFonts w:asciiTheme="minorHAnsi" w:hAnsiTheme="minorHAnsi"/>
                <w:b/>
                <w:sz w:val="20"/>
                <w:szCs w:val="20"/>
              </w:rPr>
              <w:t>Budget ($)</w:t>
            </w:r>
          </w:p>
          <w:p w14:paraId="0271A37A" w14:textId="77777777" w:rsidR="001627EC" w:rsidRDefault="001627EC">
            <w:pPr>
              <w:rPr>
                <w:rFonts w:asciiTheme="minorHAnsi" w:hAnsiTheme="minorHAnsi"/>
                <w:b/>
                <w:sz w:val="20"/>
                <w:szCs w:val="20"/>
              </w:rPr>
            </w:pPr>
          </w:p>
          <w:p w14:paraId="5C992BD4" w14:textId="77777777" w:rsidR="001627EC" w:rsidRDefault="001627EC">
            <w:pPr>
              <w:rPr>
                <w:rFonts w:asciiTheme="minorHAnsi" w:hAnsiTheme="minorHAnsi"/>
                <w:b/>
                <w:sz w:val="20"/>
                <w:szCs w:val="20"/>
              </w:rPr>
            </w:pPr>
            <w:r>
              <w:rPr>
                <w:rFonts w:asciiTheme="minorHAnsi" w:hAnsiTheme="minorHAnsi"/>
                <w:b/>
                <w:sz w:val="20"/>
                <w:szCs w:val="20"/>
              </w:rPr>
              <w:t>Year 4 (2024)</w:t>
            </w:r>
          </w:p>
        </w:tc>
        <w:tc>
          <w:tcPr>
            <w:tcW w:w="162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3339CF" w14:textId="77777777" w:rsidR="001627EC" w:rsidRDefault="001627EC">
            <w:pPr>
              <w:rPr>
                <w:rFonts w:asciiTheme="minorHAnsi" w:hAnsiTheme="minorHAnsi"/>
                <w:b/>
                <w:sz w:val="20"/>
                <w:szCs w:val="20"/>
              </w:rPr>
            </w:pPr>
            <w:r>
              <w:rPr>
                <w:rFonts w:asciiTheme="minorHAnsi" w:hAnsiTheme="minorHAnsi"/>
                <w:b/>
                <w:sz w:val="20"/>
                <w:szCs w:val="20"/>
              </w:rPr>
              <w:t>Brief Description of Procurement Process</w:t>
            </w:r>
          </w:p>
        </w:tc>
      </w:tr>
      <w:tr w:rsidR="001627EC" w14:paraId="125C7A4F" w14:textId="77777777" w:rsidTr="001627EC">
        <w:tc>
          <w:tcPr>
            <w:tcW w:w="9179"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13B7EF1A" w14:textId="77777777" w:rsidR="001627EC" w:rsidRDefault="001627EC">
            <w:pPr>
              <w:rPr>
                <w:rFonts w:asciiTheme="minorHAnsi" w:hAnsiTheme="minorHAnsi"/>
                <w:sz w:val="20"/>
                <w:szCs w:val="20"/>
              </w:rPr>
            </w:pPr>
            <w:r>
              <w:rPr>
                <w:rFonts w:asciiTheme="minorHAnsi" w:hAnsiTheme="minorHAnsi"/>
                <w:sz w:val="20"/>
                <w:szCs w:val="20"/>
              </w:rPr>
              <w:t>COMPONENT ONE</w:t>
            </w:r>
          </w:p>
        </w:tc>
      </w:tr>
      <w:tr w:rsidR="001627EC" w:rsidRPr="001627EC" w14:paraId="4A12D47C"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00CCF594"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51F5F02D" w14:textId="77777777" w:rsidR="001627EC" w:rsidRDefault="001627EC">
            <w:pPr>
              <w:rPr>
                <w:rFonts w:asciiTheme="minorHAnsi" w:hAnsiTheme="minorHAnsi"/>
                <w:sz w:val="20"/>
                <w:szCs w:val="20"/>
              </w:rPr>
            </w:pPr>
            <w:r>
              <w:rPr>
                <w:rFonts w:asciiTheme="minorHAnsi" w:hAnsiTheme="minorHAnsi"/>
                <w:sz w:val="20"/>
                <w:szCs w:val="20"/>
              </w:rPr>
              <w:t>Contribute to training on Water Conflict Prevention and  Nature based solutions, make it useful for both marine and freshwater projects</w:t>
            </w:r>
          </w:p>
        </w:tc>
        <w:tc>
          <w:tcPr>
            <w:tcW w:w="988" w:type="dxa"/>
            <w:tcBorders>
              <w:top w:val="single" w:sz="4" w:space="0" w:color="auto"/>
              <w:left w:val="single" w:sz="4" w:space="0" w:color="auto"/>
              <w:bottom w:val="single" w:sz="4" w:space="0" w:color="auto"/>
              <w:right w:val="single" w:sz="4" w:space="0" w:color="auto"/>
            </w:tcBorders>
            <w:hideMark/>
          </w:tcPr>
          <w:p w14:paraId="630BDE24"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5955F0AE"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tcPr>
          <w:p w14:paraId="50FF28BD"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67CAB938"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67307C06" w14:textId="77777777" w:rsidR="001627EC" w:rsidRDefault="001627EC">
            <w:pPr>
              <w:rPr>
                <w:rFonts w:asciiTheme="minorHAnsi" w:hAnsiTheme="minorHAnsi"/>
                <w:sz w:val="20"/>
                <w:szCs w:val="20"/>
              </w:rPr>
            </w:pPr>
            <w:r>
              <w:rPr>
                <w:rFonts w:asciiTheme="minorHAnsi" w:hAnsiTheme="minorHAnsi"/>
                <w:sz w:val="20"/>
                <w:szCs w:val="20"/>
              </w:rPr>
              <w:t>UN2UN Interagency Agreement with UNECE</w:t>
            </w:r>
          </w:p>
        </w:tc>
      </w:tr>
      <w:tr w:rsidR="001627EC" w14:paraId="29BFBACD"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4F6E7EE0"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5D062B71" w14:textId="77777777" w:rsidR="001627EC" w:rsidRDefault="001627EC">
            <w:pPr>
              <w:rPr>
                <w:rFonts w:asciiTheme="minorHAnsi" w:hAnsiTheme="minorHAnsi"/>
                <w:sz w:val="20"/>
                <w:szCs w:val="20"/>
              </w:rPr>
            </w:pPr>
            <w:r>
              <w:rPr>
                <w:rFonts w:asciiTheme="minorHAnsi" w:hAnsiTheme="minorHAnsi"/>
                <w:sz w:val="20"/>
                <w:szCs w:val="20"/>
              </w:rPr>
              <w:t>Services for the 10</w:t>
            </w:r>
            <w:r>
              <w:rPr>
                <w:rFonts w:asciiTheme="minorHAnsi" w:hAnsiTheme="minorHAnsi"/>
                <w:sz w:val="20"/>
                <w:szCs w:val="20"/>
                <w:vertAlign w:val="superscript"/>
              </w:rPr>
              <w:t>th</w:t>
            </w:r>
            <w:r>
              <w:rPr>
                <w:rFonts w:asciiTheme="minorHAnsi" w:hAnsiTheme="minorHAnsi"/>
                <w:sz w:val="20"/>
                <w:szCs w:val="20"/>
              </w:rPr>
              <w:t xml:space="preserve"> GEF Biennial International Waters Conference</w:t>
            </w:r>
          </w:p>
        </w:tc>
        <w:tc>
          <w:tcPr>
            <w:tcW w:w="988" w:type="dxa"/>
            <w:tcBorders>
              <w:top w:val="single" w:sz="4" w:space="0" w:color="auto"/>
              <w:left w:val="single" w:sz="4" w:space="0" w:color="auto"/>
              <w:bottom w:val="single" w:sz="4" w:space="0" w:color="auto"/>
              <w:right w:val="single" w:sz="4" w:space="0" w:color="auto"/>
            </w:tcBorders>
            <w:hideMark/>
          </w:tcPr>
          <w:p w14:paraId="50BD869C" w14:textId="77777777" w:rsidR="001627EC" w:rsidRDefault="001627EC">
            <w:pPr>
              <w:rPr>
                <w:rFonts w:asciiTheme="minorHAnsi" w:hAnsiTheme="minorHAnsi"/>
                <w:sz w:val="20"/>
                <w:szCs w:val="20"/>
              </w:rPr>
            </w:pPr>
            <w:r>
              <w:rPr>
                <w:rFonts w:asciiTheme="minorHAnsi" w:hAnsiTheme="minorHAnsi"/>
                <w:sz w:val="20"/>
                <w:szCs w:val="20"/>
              </w:rPr>
              <w:t>240000</w:t>
            </w:r>
          </w:p>
        </w:tc>
        <w:tc>
          <w:tcPr>
            <w:tcW w:w="988" w:type="dxa"/>
            <w:tcBorders>
              <w:top w:val="single" w:sz="4" w:space="0" w:color="auto"/>
              <w:left w:val="single" w:sz="4" w:space="0" w:color="auto"/>
              <w:bottom w:val="single" w:sz="4" w:space="0" w:color="auto"/>
              <w:right w:val="single" w:sz="4" w:space="0" w:color="auto"/>
            </w:tcBorders>
          </w:tcPr>
          <w:p w14:paraId="11E1F27B"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24200A10"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7C2ED62F"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BDBC921" w14:textId="77777777" w:rsidR="001627EC" w:rsidRDefault="001627EC">
            <w:pPr>
              <w:rPr>
                <w:rFonts w:asciiTheme="minorHAnsi" w:hAnsiTheme="minorHAnsi"/>
                <w:sz w:val="20"/>
                <w:szCs w:val="20"/>
              </w:rPr>
            </w:pPr>
            <w:r>
              <w:rPr>
                <w:rFonts w:asciiTheme="minorHAnsi" w:hAnsiTheme="minorHAnsi"/>
                <w:sz w:val="20"/>
                <w:szCs w:val="20"/>
              </w:rPr>
              <w:t>Request for Proposal</w:t>
            </w:r>
          </w:p>
        </w:tc>
      </w:tr>
      <w:tr w:rsidR="001627EC" w14:paraId="52E6F110"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B6E0CB6"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07EA6B7A" w14:textId="77777777" w:rsidR="001627EC" w:rsidRDefault="001627EC">
            <w:pPr>
              <w:rPr>
                <w:rFonts w:asciiTheme="minorHAnsi" w:hAnsiTheme="minorHAnsi"/>
                <w:sz w:val="20"/>
                <w:szCs w:val="20"/>
              </w:rPr>
            </w:pPr>
            <w:r>
              <w:rPr>
                <w:rFonts w:asciiTheme="minorHAnsi" w:hAnsiTheme="minorHAnsi"/>
                <w:sz w:val="20"/>
                <w:szCs w:val="20"/>
              </w:rPr>
              <w:t>Services for the 11</w:t>
            </w:r>
            <w:r>
              <w:rPr>
                <w:rFonts w:asciiTheme="minorHAnsi" w:hAnsiTheme="minorHAnsi"/>
                <w:sz w:val="20"/>
                <w:szCs w:val="20"/>
                <w:vertAlign w:val="superscript"/>
              </w:rPr>
              <w:t>th</w:t>
            </w:r>
            <w:r>
              <w:rPr>
                <w:rFonts w:asciiTheme="minorHAnsi" w:hAnsiTheme="minorHAnsi"/>
                <w:sz w:val="20"/>
                <w:szCs w:val="20"/>
              </w:rPr>
              <w:t xml:space="preserve"> GEF Biennial International Waters Conference</w:t>
            </w:r>
          </w:p>
        </w:tc>
        <w:tc>
          <w:tcPr>
            <w:tcW w:w="988" w:type="dxa"/>
            <w:tcBorders>
              <w:top w:val="single" w:sz="4" w:space="0" w:color="auto"/>
              <w:left w:val="single" w:sz="4" w:space="0" w:color="auto"/>
              <w:bottom w:val="single" w:sz="4" w:space="0" w:color="auto"/>
              <w:right w:val="single" w:sz="4" w:space="0" w:color="auto"/>
            </w:tcBorders>
          </w:tcPr>
          <w:p w14:paraId="4729D421"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2ABBC14B"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hideMark/>
          </w:tcPr>
          <w:p w14:paraId="7FF322C6" w14:textId="77777777" w:rsidR="001627EC" w:rsidRDefault="001627EC">
            <w:pPr>
              <w:rPr>
                <w:rFonts w:asciiTheme="minorHAnsi" w:hAnsiTheme="minorHAnsi"/>
                <w:sz w:val="20"/>
                <w:szCs w:val="20"/>
              </w:rPr>
            </w:pPr>
            <w:r>
              <w:rPr>
                <w:rFonts w:asciiTheme="minorHAnsi" w:hAnsiTheme="minorHAnsi"/>
                <w:sz w:val="20"/>
                <w:szCs w:val="20"/>
              </w:rPr>
              <w:t>210000</w:t>
            </w:r>
          </w:p>
        </w:tc>
        <w:tc>
          <w:tcPr>
            <w:tcW w:w="1074" w:type="dxa"/>
            <w:tcBorders>
              <w:top w:val="single" w:sz="4" w:space="0" w:color="auto"/>
              <w:left w:val="single" w:sz="4" w:space="0" w:color="auto"/>
              <w:bottom w:val="single" w:sz="4" w:space="0" w:color="auto"/>
              <w:right w:val="single" w:sz="4" w:space="0" w:color="auto"/>
            </w:tcBorders>
          </w:tcPr>
          <w:p w14:paraId="2D89FF8A"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21D237B" w14:textId="77777777" w:rsidR="001627EC" w:rsidRDefault="001627EC">
            <w:pPr>
              <w:rPr>
                <w:rFonts w:asciiTheme="minorHAnsi" w:hAnsiTheme="minorHAnsi"/>
                <w:sz w:val="20"/>
                <w:szCs w:val="20"/>
              </w:rPr>
            </w:pPr>
            <w:r>
              <w:rPr>
                <w:rFonts w:asciiTheme="minorHAnsi" w:hAnsiTheme="minorHAnsi"/>
                <w:sz w:val="20"/>
                <w:szCs w:val="20"/>
              </w:rPr>
              <w:t>Request for Proposal</w:t>
            </w:r>
          </w:p>
        </w:tc>
      </w:tr>
      <w:tr w:rsidR="001627EC" w14:paraId="624243C1"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00BAC251"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17BD463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Contracts for online course platform</w:t>
            </w:r>
          </w:p>
        </w:tc>
        <w:tc>
          <w:tcPr>
            <w:tcW w:w="988" w:type="dxa"/>
            <w:tcBorders>
              <w:top w:val="single" w:sz="4" w:space="0" w:color="auto"/>
              <w:left w:val="single" w:sz="4" w:space="0" w:color="auto"/>
              <w:bottom w:val="single" w:sz="4" w:space="0" w:color="auto"/>
              <w:right w:val="single" w:sz="4" w:space="0" w:color="auto"/>
            </w:tcBorders>
            <w:hideMark/>
          </w:tcPr>
          <w:p w14:paraId="533A7215" w14:textId="77777777" w:rsidR="001627EC" w:rsidRDefault="001627EC">
            <w:pPr>
              <w:rPr>
                <w:rFonts w:asciiTheme="minorHAnsi" w:hAnsiTheme="minorHAnsi"/>
                <w:sz w:val="20"/>
                <w:szCs w:val="20"/>
              </w:rPr>
            </w:pPr>
            <w:r>
              <w:rPr>
                <w:rFonts w:asciiTheme="minorHAnsi" w:hAnsiTheme="minorHAnsi"/>
                <w:sz w:val="20"/>
                <w:szCs w:val="20"/>
              </w:rPr>
              <w:t>25000</w:t>
            </w:r>
          </w:p>
        </w:tc>
        <w:tc>
          <w:tcPr>
            <w:tcW w:w="988" w:type="dxa"/>
            <w:tcBorders>
              <w:top w:val="single" w:sz="4" w:space="0" w:color="auto"/>
              <w:left w:val="single" w:sz="4" w:space="0" w:color="auto"/>
              <w:bottom w:val="single" w:sz="4" w:space="0" w:color="auto"/>
              <w:right w:val="single" w:sz="4" w:space="0" w:color="auto"/>
            </w:tcBorders>
          </w:tcPr>
          <w:p w14:paraId="04378263"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6091B73A"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512F0CCD"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150B016C"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7354DEF7"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232E33CF"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3E8646DE"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Catering and other expenses</w:t>
            </w:r>
          </w:p>
        </w:tc>
        <w:tc>
          <w:tcPr>
            <w:tcW w:w="988" w:type="dxa"/>
            <w:tcBorders>
              <w:top w:val="single" w:sz="4" w:space="0" w:color="auto"/>
              <w:left w:val="single" w:sz="4" w:space="0" w:color="auto"/>
              <w:bottom w:val="single" w:sz="4" w:space="0" w:color="auto"/>
              <w:right w:val="single" w:sz="4" w:space="0" w:color="auto"/>
            </w:tcBorders>
            <w:hideMark/>
          </w:tcPr>
          <w:p w14:paraId="4059951B" w14:textId="77777777" w:rsidR="001627EC" w:rsidRDefault="001627EC">
            <w:pPr>
              <w:rPr>
                <w:rFonts w:asciiTheme="minorHAnsi" w:hAnsiTheme="minorHAnsi"/>
                <w:sz w:val="20"/>
                <w:szCs w:val="20"/>
              </w:rPr>
            </w:pPr>
            <w:r>
              <w:rPr>
                <w:rFonts w:asciiTheme="minorHAnsi" w:hAnsiTheme="minorHAnsi"/>
                <w:sz w:val="20"/>
                <w:szCs w:val="20"/>
              </w:rPr>
              <w:t>7500</w:t>
            </w:r>
          </w:p>
        </w:tc>
        <w:tc>
          <w:tcPr>
            <w:tcW w:w="988" w:type="dxa"/>
            <w:tcBorders>
              <w:top w:val="single" w:sz="4" w:space="0" w:color="auto"/>
              <w:left w:val="single" w:sz="4" w:space="0" w:color="auto"/>
              <w:bottom w:val="single" w:sz="4" w:space="0" w:color="auto"/>
              <w:right w:val="single" w:sz="4" w:space="0" w:color="auto"/>
            </w:tcBorders>
            <w:hideMark/>
          </w:tcPr>
          <w:p w14:paraId="47B9FA36" w14:textId="77777777" w:rsidR="001627EC" w:rsidRDefault="001627EC">
            <w:pPr>
              <w:rPr>
                <w:rFonts w:asciiTheme="minorHAnsi" w:hAnsiTheme="minorHAnsi"/>
                <w:sz w:val="20"/>
                <w:szCs w:val="20"/>
              </w:rPr>
            </w:pPr>
            <w:r>
              <w:rPr>
                <w:rFonts w:asciiTheme="minorHAnsi" w:hAnsiTheme="minorHAnsi"/>
                <w:sz w:val="20"/>
                <w:szCs w:val="20"/>
              </w:rPr>
              <w:t>75000</w:t>
            </w:r>
          </w:p>
        </w:tc>
        <w:tc>
          <w:tcPr>
            <w:tcW w:w="825" w:type="dxa"/>
            <w:tcBorders>
              <w:top w:val="single" w:sz="4" w:space="0" w:color="auto"/>
              <w:left w:val="single" w:sz="4" w:space="0" w:color="auto"/>
              <w:bottom w:val="single" w:sz="4" w:space="0" w:color="auto"/>
              <w:right w:val="single" w:sz="4" w:space="0" w:color="auto"/>
            </w:tcBorders>
            <w:hideMark/>
          </w:tcPr>
          <w:p w14:paraId="44C0B572" w14:textId="77777777" w:rsidR="001627EC" w:rsidRDefault="001627EC">
            <w:pPr>
              <w:rPr>
                <w:rFonts w:asciiTheme="minorHAnsi" w:hAnsiTheme="minorHAnsi"/>
                <w:sz w:val="20"/>
                <w:szCs w:val="20"/>
              </w:rPr>
            </w:pPr>
            <w:r>
              <w:rPr>
                <w:rFonts w:asciiTheme="minorHAnsi" w:hAnsiTheme="minorHAnsi"/>
                <w:sz w:val="20"/>
                <w:szCs w:val="20"/>
              </w:rPr>
              <w:t>7500</w:t>
            </w:r>
          </w:p>
        </w:tc>
        <w:tc>
          <w:tcPr>
            <w:tcW w:w="1074" w:type="dxa"/>
            <w:tcBorders>
              <w:top w:val="single" w:sz="4" w:space="0" w:color="auto"/>
              <w:left w:val="single" w:sz="4" w:space="0" w:color="auto"/>
              <w:bottom w:val="single" w:sz="4" w:space="0" w:color="auto"/>
              <w:right w:val="single" w:sz="4" w:space="0" w:color="auto"/>
            </w:tcBorders>
            <w:hideMark/>
          </w:tcPr>
          <w:p w14:paraId="2FFDA95C" w14:textId="77777777" w:rsidR="001627EC" w:rsidRDefault="001627EC">
            <w:pPr>
              <w:rPr>
                <w:rFonts w:asciiTheme="minorHAnsi" w:hAnsiTheme="minorHAnsi"/>
                <w:sz w:val="20"/>
                <w:szCs w:val="20"/>
              </w:rPr>
            </w:pPr>
            <w:r>
              <w:rPr>
                <w:rFonts w:asciiTheme="minorHAnsi" w:hAnsiTheme="minorHAnsi"/>
                <w:sz w:val="20"/>
                <w:szCs w:val="20"/>
              </w:rPr>
              <w:t>7500</w:t>
            </w:r>
          </w:p>
        </w:tc>
        <w:tc>
          <w:tcPr>
            <w:tcW w:w="1624" w:type="dxa"/>
            <w:tcBorders>
              <w:top w:val="single" w:sz="4" w:space="0" w:color="auto"/>
              <w:left w:val="single" w:sz="4" w:space="0" w:color="auto"/>
              <w:bottom w:val="single" w:sz="4" w:space="0" w:color="auto"/>
              <w:right w:val="single" w:sz="4" w:space="0" w:color="auto"/>
            </w:tcBorders>
            <w:hideMark/>
          </w:tcPr>
          <w:p w14:paraId="31570B2F"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61224BEE"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9FAA238"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3F2DF4D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Training on water conflict prevention</w:t>
            </w:r>
            <w:r>
              <w:rPr>
                <w:rFonts w:asciiTheme="minorHAnsi" w:hAnsiTheme="minorHAnsi" w:cs="Arial"/>
                <w:color w:val="000000"/>
                <w:sz w:val="20"/>
                <w:szCs w:val="20"/>
              </w:rPr>
              <w:br/>
            </w:r>
            <w:r>
              <w:rPr>
                <w:rFonts w:asciiTheme="minorHAnsi" w:hAnsiTheme="minorHAnsi" w:cs="Arial"/>
                <w:color w:val="000000"/>
                <w:sz w:val="20"/>
                <w:szCs w:val="20"/>
              </w:rPr>
              <w:br/>
              <w:t>Expertise to regional and thematic dialogues</w:t>
            </w:r>
          </w:p>
        </w:tc>
        <w:tc>
          <w:tcPr>
            <w:tcW w:w="988" w:type="dxa"/>
            <w:tcBorders>
              <w:top w:val="single" w:sz="4" w:space="0" w:color="auto"/>
              <w:left w:val="single" w:sz="4" w:space="0" w:color="auto"/>
              <w:bottom w:val="single" w:sz="4" w:space="0" w:color="auto"/>
              <w:right w:val="single" w:sz="4" w:space="0" w:color="auto"/>
            </w:tcBorders>
            <w:hideMark/>
          </w:tcPr>
          <w:p w14:paraId="6115D1C9"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1D1E0063"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tcPr>
          <w:p w14:paraId="23018CD0"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0D83DFE8"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173180AE"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ICPDR</w:t>
            </w:r>
          </w:p>
        </w:tc>
      </w:tr>
      <w:tr w:rsidR="001627EC" w:rsidRPr="001627EC" w14:paraId="66608490"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BC7D68E"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3C7EF169"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Training on water conflict prevention and management</w:t>
            </w:r>
            <w:r>
              <w:rPr>
                <w:rFonts w:asciiTheme="minorHAnsi" w:hAnsiTheme="minorHAnsi" w:cs="Arial"/>
                <w:color w:val="000000"/>
                <w:sz w:val="20"/>
                <w:szCs w:val="20"/>
              </w:rPr>
              <w:br/>
            </w:r>
            <w:r>
              <w:rPr>
                <w:rFonts w:asciiTheme="minorHAnsi" w:hAnsiTheme="minorHAnsi" w:cs="Arial"/>
                <w:color w:val="000000"/>
                <w:sz w:val="20"/>
                <w:szCs w:val="20"/>
              </w:rPr>
              <w:br/>
              <w:t>Supporting regional and thematic dialogues</w:t>
            </w:r>
          </w:p>
          <w:p w14:paraId="6D000B4E"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35BE9816"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6BDD5B6E"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hideMark/>
          </w:tcPr>
          <w:p w14:paraId="26098A31" w14:textId="77777777" w:rsidR="001627EC" w:rsidRDefault="001627EC">
            <w:pPr>
              <w:rPr>
                <w:rFonts w:asciiTheme="minorHAnsi" w:hAnsiTheme="minorHAnsi"/>
                <w:sz w:val="20"/>
                <w:szCs w:val="20"/>
              </w:rPr>
            </w:pPr>
            <w:r>
              <w:rPr>
                <w:rFonts w:asciiTheme="minorHAnsi" w:hAnsiTheme="minorHAnsi"/>
                <w:sz w:val="20"/>
                <w:szCs w:val="20"/>
              </w:rPr>
              <w:t>3000</w:t>
            </w:r>
          </w:p>
        </w:tc>
        <w:tc>
          <w:tcPr>
            <w:tcW w:w="1074" w:type="dxa"/>
            <w:tcBorders>
              <w:top w:val="single" w:sz="4" w:space="0" w:color="auto"/>
              <w:left w:val="single" w:sz="4" w:space="0" w:color="auto"/>
              <w:bottom w:val="single" w:sz="4" w:space="0" w:color="auto"/>
              <w:right w:val="single" w:sz="4" w:space="0" w:color="auto"/>
            </w:tcBorders>
          </w:tcPr>
          <w:p w14:paraId="57073DC2"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4BD93203"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SIWI</w:t>
            </w:r>
          </w:p>
        </w:tc>
      </w:tr>
      <w:tr w:rsidR="001627EC" w:rsidRPr="001627EC" w14:paraId="31D7BF76"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FCA8299"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3700EBD8"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Stockholm World Water Week Contracts for Booths, Events and Catering</w:t>
            </w:r>
          </w:p>
        </w:tc>
        <w:tc>
          <w:tcPr>
            <w:tcW w:w="988" w:type="dxa"/>
            <w:tcBorders>
              <w:top w:val="single" w:sz="4" w:space="0" w:color="auto"/>
              <w:left w:val="single" w:sz="4" w:space="0" w:color="auto"/>
              <w:bottom w:val="single" w:sz="4" w:space="0" w:color="auto"/>
              <w:right w:val="single" w:sz="4" w:space="0" w:color="auto"/>
            </w:tcBorders>
            <w:hideMark/>
          </w:tcPr>
          <w:p w14:paraId="39648327"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60084628"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hideMark/>
          </w:tcPr>
          <w:p w14:paraId="38786850" w14:textId="77777777" w:rsidR="001627EC" w:rsidRDefault="001627EC">
            <w:pPr>
              <w:rPr>
                <w:rFonts w:asciiTheme="minorHAnsi" w:hAnsiTheme="minorHAnsi"/>
                <w:sz w:val="20"/>
                <w:szCs w:val="20"/>
              </w:rPr>
            </w:pPr>
            <w:r>
              <w:rPr>
                <w:rFonts w:asciiTheme="minorHAnsi" w:hAnsiTheme="minorHAnsi"/>
                <w:sz w:val="20"/>
                <w:szCs w:val="20"/>
              </w:rPr>
              <w:t>10000</w:t>
            </w:r>
          </w:p>
        </w:tc>
        <w:tc>
          <w:tcPr>
            <w:tcW w:w="1074" w:type="dxa"/>
            <w:tcBorders>
              <w:top w:val="single" w:sz="4" w:space="0" w:color="auto"/>
              <w:left w:val="single" w:sz="4" w:space="0" w:color="auto"/>
              <w:bottom w:val="single" w:sz="4" w:space="0" w:color="auto"/>
              <w:right w:val="single" w:sz="4" w:space="0" w:color="auto"/>
            </w:tcBorders>
            <w:hideMark/>
          </w:tcPr>
          <w:p w14:paraId="7E46A198" w14:textId="77777777" w:rsidR="001627EC" w:rsidRDefault="001627EC">
            <w:pPr>
              <w:rPr>
                <w:rFonts w:asciiTheme="minorHAnsi" w:hAnsiTheme="minorHAnsi"/>
                <w:sz w:val="20"/>
                <w:szCs w:val="20"/>
              </w:rPr>
            </w:pPr>
            <w:r>
              <w:rPr>
                <w:rFonts w:asciiTheme="minorHAnsi" w:hAnsiTheme="minorHAnsi"/>
                <w:sz w:val="20"/>
                <w:szCs w:val="20"/>
              </w:rPr>
              <w:t>10000</w:t>
            </w:r>
          </w:p>
        </w:tc>
        <w:tc>
          <w:tcPr>
            <w:tcW w:w="1624" w:type="dxa"/>
            <w:tcBorders>
              <w:top w:val="single" w:sz="4" w:space="0" w:color="auto"/>
              <w:left w:val="single" w:sz="4" w:space="0" w:color="auto"/>
              <w:bottom w:val="single" w:sz="4" w:space="0" w:color="auto"/>
              <w:right w:val="single" w:sz="4" w:space="0" w:color="auto"/>
            </w:tcBorders>
            <w:hideMark/>
          </w:tcPr>
          <w:p w14:paraId="76B250EE" w14:textId="77777777" w:rsidR="001627EC" w:rsidRDefault="001627EC">
            <w:pPr>
              <w:rPr>
                <w:rFonts w:asciiTheme="minorHAnsi" w:hAnsiTheme="minorHAnsi"/>
                <w:sz w:val="20"/>
                <w:szCs w:val="20"/>
              </w:rPr>
            </w:pPr>
            <w:r>
              <w:rPr>
                <w:rFonts w:asciiTheme="minorHAnsi" w:hAnsiTheme="minorHAnsi"/>
                <w:sz w:val="20"/>
                <w:szCs w:val="20"/>
              </w:rPr>
              <w:t>Single source procurement with SIWI (sole provider of services on terrain)</w:t>
            </w:r>
          </w:p>
        </w:tc>
      </w:tr>
      <w:tr w:rsidR="001627EC" w:rsidRPr="001627EC" w14:paraId="09676DE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CD8D53A"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6578F739"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Support regional dialogues</w:t>
            </w:r>
          </w:p>
          <w:p w14:paraId="6CB127C9"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6350414E" w14:textId="77777777" w:rsidR="001627EC" w:rsidRDefault="001627EC">
            <w:pPr>
              <w:rPr>
                <w:rFonts w:asciiTheme="minorHAnsi" w:hAnsiTheme="minorHAnsi"/>
                <w:sz w:val="20"/>
                <w:szCs w:val="20"/>
              </w:rPr>
            </w:pPr>
            <w:r>
              <w:rPr>
                <w:rFonts w:asciiTheme="minorHAnsi" w:hAnsiTheme="minorHAnsi"/>
                <w:sz w:val="20"/>
                <w:szCs w:val="20"/>
              </w:rPr>
              <w:t>19160</w:t>
            </w:r>
          </w:p>
        </w:tc>
        <w:tc>
          <w:tcPr>
            <w:tcW w:w="988" w:type="dxa"/>
            <w:tcBorders>
              <w:top w:val="single" w:sz="4" w:space="0" w:color="auto"/>
              <w:left w:val="single" w:sz="4" w:space="0" w:color="auto"/>
              <w:bottom w:val="single" w:sz="4" w:space="0" w:color="auto"/>
              <w:right w:val="single" w:sz="4" w:space="0" w:color="auto"/>
            </w:tcBorders>
            <w:hideMark/>
          </w:tcPr>
          <w:p w14:paraId="18E62DC5" w14:textId="77777777" w:rsidR="001627EC" w:rsidRDefault="001627EC">
            <w:pPr>
              <w:rPr>
                <w:rFonts w:asciiTheme="minorHAnsi" w:hAnsiTheme="minorHAnsi"/>
                <w:sz w:val="20"/>
                <w:szCs w:val="20"/>
              </w:rPr>
            </w:pPr>
            <w:r>
              <w:rPr>
                <w:rFonts w:asciiTheme="minorHAnsi" w:hAnsiTheme="minorHAnsi"/>
                <w:sz w:val="20"/>
                <w:szCs w:val="20"/>
              </w:rPr>
              <w:t>19160</w:t>
            </w:r>
          </w:p>
        </w:tc>
        <w:tc>
          <w:tcPr>
            <w:tcW w:w="825" w:type="dxa"/>
            <w:tcBorders>
              <w:top w:val="single" w:sz="4" w:space="0" w:color="auto"/>
              <w:left w:val="single" w:sz="4" w:space="0" w:color="auto"/>
              <w:bottom w:val="single" w:sz="4" w:space="0" w:color="auto"/>
              <w:right w:val="single" w:sz="4" w:space="0" w:color="auto"/>
            </w:tcBorders>
            <w:hideMark/>
          </w:tcPr>
          <w:p w14:paraId="5176AFA3" w14:textId="77777777" w:rsidR="001627EC" w:rsidRDefault="001627EC">
            <w:pPr>
              <w:rPr>
                <w:rFonts w:asciiTheme="minorHAnsi" w:hAnsiTheme="minorHAnsi"/>
                <w:sz w:val="20"/>
                <w:szCs w:val="20"/>
              </w:rPr>
            </w:pPr>
            <w:r>
              <w:rPr>
                <w:rFonts w:asciiTheme="minorHAnsi" w:hAnsiTheme="minorHAnsi"/>
                <w:sz w:val="20"/>
                <w:szCs w:val="20"/>
              </w:rPr>
              <w:t>19160</w:t>
            </w:r>
          </w:p>
        </w:tc>
        <w:tc>
          <w:tcPr>
            <w:tcW w:w="1074" w:type="dxa"/>
            <w:tcBorders>
              <w:top w:val="single" w:sz="4" w:space="0" w:color="auto"/>
              <w:left w:val="single" w:sz="4" w:space="0" w:color="auto"/>
              <w:bottom w:val="single" w:sz="4" w:space="0" w:color="auto"/>
              <w:right w:val="single" w:sz="4" w:space="0" w:color="auto"/>
            </w:tcBorders>
            <w:hideMark/>
          </w:tcPr>
          <w:p w14:paraId="513CEE95" w14:textId="77777777" w:rsidR="001627EC" w:rsidRDefault="001627EC">
            <w:pPr>
              <w:rPr>
                <w:rFonts w:asciiTheme="minorHAnsi" w:hAnsiTheme="minorHAnsi"/>
                <w:sz w:val="20"/>
                <w:szCs w:val="20"/>
              </w:rPr>
            </w:pPr>
            <w:r>
              <w:rPr>
                <w:rFonts w:asciiTheme="minorHAnsi" w:hAnsiTheme="minorHAnsi"/>
                <w:sz w:val="20"/>
                <w:szCs w:val="20"/>
              </w:rPr>
              <w:t>19160</w:t>
            </w:r>
          </w:p>
        </w:tc>
        <w:tc>
          <w:tcPr>
            <w:tcW w:w="1624" w:type="dxa"/>
            <w:tcBorders>
              <w:top w:val="single" w:sz="4" w:space="0" w:color="auto"/>
              <w:left w:val="single" w:sz="4" w:space="0" w:color="auto"/>
              <w:bottom w:val="single" w:sz="4" w:space="0" w:color="auto"/>
              <w:right w:val="single" w:sz="4" w:space="0" w:color="auto"/>
            </w:tcBorders>
            <w:hideMark/>
          </w:tcPr>
          <w:p w14:paraId="2999B953"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w:t>
            </w:r>
            <w:r>
              <w:rPr>
                <w:rFonts w:asciiTheme="minorHAnsi" w:hAnsiTheme="minorHAnsi"/>
                <w:sz w:val="20"/>
                <w:szCs w:val="20"/>
              </w:rPr>
              <w:lastRenderedPageBreak/>
              <w:t xml:space="preserve">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GWP</w:t>
            </w:r>
          </w:p>
        </w:tc>
      </w:tr>
      <w:tr w:rsidR="001627EC" w14:paraId="1FA4793C" w14:textId="77777777" w:rsidTr="001627EC">
        <w:tc>
          <w:tcPr>
            <w:tcW w:w="9179"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5FF0456E" w14:textId="77777777" w:rsidR="001627EC" w:rsidRDefault="001627EC">
            <w:pPr>
              <w:rPr>
                <w:rFonts w:asciiTheme="minorHAnsi" w:hAnsiTheme="minorHAnsi"/>
                <w:sz w:val="20"/>
                <w:szCs w:val="20"/>
              </w:rPr>
            </w:pPr>
            <w:r>
              <w:rPr>
                <w:rFonts w:asciiTheme="minorHAnsi" w:hAnsiTheme="minorHAnsi"/>
                <w:sz w:val="20"/>
                <w:szCs w:val="20"/>
              </w:rPr>
              <w:lastRenderedPageBreak/>
              <w:t>COMPONENT TWO</w:t>
            </w:r>
          </w:p>
        </w:tc>
      </w:tr>
      <w:tr w:rsidR="001627EC" w14:paraId="04B6359F"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03CBB856"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396B5DEF"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manage content, web design, etc.</w:t>
            </w:r>
          </w:p>
        </w:tc>
        <w:tc>
          <w:tcPr>
            <w:tcW w:w="988" w:type="dxa"/>
            <w:tcBorders>
              <w:top w:val="single" w:sz="4" w:space="0" w:color="auto"/>
              <w:left w:val="single" w:sz="4" w:space="0" w:color="auto"/>
              <w:bottom w:val="single" w:sz="4" w:space="0" w:color="auto"/>
              <w:right w:val="single" w:sz="4" w:space="0" w:color="auto"/>
            </w:tcBorders>
            <w:hideMark/>
          </w:tcPr>
          <w:p w14:paraId="66FF777C" w14:textId="77777777" w:rsidR="001627EC" w:rsidRDefault="001627EC">
            <w:pPr>
              <w:rPr>
                <w:rFonts w:asciiTheme="minorHAnsi" w:hAnsiTheme="minorHAnsi"/>
                <w:sz w:val="20"/>
                <w:szCs w:val="20"/>
              </w:rPr>
            </w:pPr>
            <w:r>
              <w:rPr>
                <w:rFonts w:asciiTheme="minorHAnsi" w:hAnsiTheme="minorHAnsi"/>
                <w:sz w:val="20"/>
                <w:szCs w:val="20"/>
              </w:rPr>
              <w:t>10400</w:t>
            </w:r>
          </w:p>
        </w:tc>
        <w:tc>
          <w:tcPr>
            <w:tcW w:w="988" w:type="dxa"/>
            <w:tcBorders>
              <w:top w:val="single" w:sz="4" w:space="0" w:color="auto"/>
              <w:left w:val="single" w:sz="4" w:space="0" w:color="auto"/>
              <w:bottom w:val="single" w:sz="4" w:space="0" w:color="auto"/>
              <w:right w:val="single" w:sz="4" w:space="0" w:color="auto"/>
            </w:tcBorders>
            <w:hideMark/>
          </w:tcPr>
          <w:p w14:paraId="7197ABD5" w14:textId="77777777" w:rsidR="001627EC" w:rsidRDefault="001627EC">
            <w:pPr>
              <w:rPr>
                <w:rFonts w:asciiTheme="minorHAnsi" w:hAnsiTheme="minorHAnsi"/>
                <w:sz w:val="20"/>
                <w:szCs w:val="20"/>
              </w:rPr>
            </w:pPr>
            <w:r>
              <w:rPr>
                <w:rFonts w:asciiTheme="minorHAnsi" w:hAnsiTheme="minorHAnsi"/>
                <w:sz w:val="20"/>
                <w:szCs w:val="20"/>
              </w:rPr>
              <w:t>10400</w:t>
            </w:r>
          </w:p>
        </w:tc>
        <w:tc>
          <w:tcPr>
            <w:tcW w:w="825" w:type="dxa"/>
            <w:tcBorders>
              <w:top w:val="single" w:sz="4" w:space="0" w:color="auto"/>
              <w:left w:val="single" w:sz="4" w:space="0" w:color="auto"/>
              <w:bottom w:val="single" w:sz="4" w:space="0" w:color="auto"/>
              <w:right w:val="single" w:sz="4" w:space="0" w:color="auto"/>
            </w:tcBorders>
            <w:hideMark/>
          </w:tcPr>
          <w:p w14:paraId="62A7F7C6" w14:textId="77777777" w:rsidR="001627EC" w:rsidRDefault="001627EC">
            <w:pPr>
              <w:rPr>
                <w:rFonts w:asciiTheme="minorHAnsi" w:hAnsiTheme="minorHAnsi"/>
                <w:sz w:val="20"/>
                <w:szCs w:val="20"/>
              </w:rPr>
            </w:pPr>
            <w:r>
              <w:rPr>
                <w:rFonts w:asciiTheme="minorHAnsi" w:hAnsiTheme="minorHAnsi"/>
                <w:sz w:val="20"/>
                <w:szCs w:val="20"/>
              </w:rPr>
              <w:t>10400</w:t>
            </w:r>
          </w:p>
        </w:tc>
        <w:tc>
          <w:tcPr>
            <w:tcW w:w="1074" w:type="dxa"/>
            <w:tcBorders>
              <w:top w:val="single" w:sz="4" w:space="0" w:color="auto"/>
              <w:left w:val="single" w:sz="4" w:space="0" w:color="auto"/>
              <w:bottom w:val="single" w:sz="4" w:space="0" w:color="auto"/>
              <w:right w:val="single" w:sz="4" w:space="0" w:color="auto"/>
            </w:tcBorders>
            <w:hideMark/>
          </w:tcPr>
          <w:p w14:paraId="60D94843" w14:textId="77777777" w:rsidR="001627EC" w:rsidRDefault="001627EC">
            <w:pPr>
              <w:rPr>
                <w:rFonts w:asciiTheme="minorHAnsi" w:hAnsiTheme="minorHAnsi"/>
                <w:sz w:val="20"/>
                <w:szCs w:val="20"/>
              </w:rPr>
            </w:pPr>
            <w:r>
              <w:rPr>
                <w:rFonts w:asciiTheme="minorHAnsi" w:hAnsiTheme="minorHAnsi"/>
                <w:sz w:val="20"/>
                <w:szCs w:val="20"/>
              </w:rPr>
              <w:t>10400</w:t>
            </w:r>
          </w:p>
        </w:tc>
        <w:tc>
          <w:tcPr>
            <w:tcW w:w="1624" w:type="dxa"/>
            <w:tcBorders>
              <w:top w:val="single" w:sz="4" w:space="0" w:color="auto"/>
              <w:left w:val="single" w:sz="4" w:space="0" w:color="auto"/>
              <w:bottom w:val="single" w:sz="4" w:space="0" w:color="auto"/>
              <w:right w:val="single" w:sz="4" w:space="0" w:color="auto"/>
            </w:tcBorders>
            <w:hideMark/>
          </w:tcPr>
          <w:p w14:paraId="0AB60A4F"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66409F40"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5D33BBB9"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24B5936E"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Consultant/commercial entity to provide IT/web admin support, upgrade and maintain server and web services, etc.</w:t>
            </w:r>
          </w:p>
        </w:tc>
        <w:tc>
          <w:tcPr>
            <w:tcW w:w="988" w:type="dxa"/>
            <w:tcBorders>
              <w:top w:val="single" w:sz="4" w:space="0" w:color="auto"/>
              <w:left w:val="single" w:sz="4" w:space="0" w:color="auto"/>
              <w:bottom w:val="single" w:sz="4" w:space="0" w:color="auto"/>
              <w:right w:val="single" w:sz="4" w:space="0" w:color="auto"/>
            </w:tcBorders>
            <w:hideMark/>
          </w:tcPr>
          <w:p w14:paraId="64E5BA07" w14:textId="77777777" w:rsidR="001627EC" w:rsidRDefault="001627EC">
            <w:pPr>
              <w:rPr>
                <w:rFonts w:asciiTheme="minorHAnsi" w:hAnsiTheme="minorHAnsi"/>
                <w:sz w:val="20"/>
                <w:szCs w:val="20"/>
              </w:rPr>
            </w:pPr>
            <w:r>
              <w:rPr>
                <w:rFonts w:asciiTheme="minorHAnsi" w:hAnsiTheme="minorHAnsi"/>
                <w:sz w:val="20"/>
                <w:szCs w:val="20"/>
              </w:rPr>
              <w:t>10560</w:t>
            </w:r>
          </w:p>
        </w:tc>
        <w:tc>
          <w:tcPr>
            <w:tcW w:w="988" w:type="dxa"/>
            <w:tcBorders>
              <w:top w:val="single" w:sz="4" w:space="0" w:color="auto"/>
              <w:left w:val="single" w:sz="4" w:space="0" w:color="auto"/>
              <w:bottom w:val="single" w:sz="4" w:space="0" w:color="auto"/>
              <w:right w:val="single" w:sz="4" w:space="0" w:color="auto"/>
            </w:tcBorders>
            <w:hideMark/>
          </w:tcPr>
          <w:p w14:paraId="5C1E7AEE" w14:textId="77777777" w:rsidR="001627EC" w:rsidRDefault="001627EC">
            <w:pPr>
              <w:rPr>
                <w:rFonts w:asciiTheme="minorHAnsi" w:hAnsiTheme="minorHAnsi"/>
                <w:sz w:val="20"/>
                <w:szCs w:val="20"/>
              </w:rPr>
            </w:pPr>
            <w:r>
              <w:rPr>
                <w:rFonts w:asciiTheme="minorHAnsi" w:hAnsiTheme="minorHAnsi"/>
                <w:sz w:val="20"/>
                <w:szCs w:val="20"/>
              </w:rPr>
              <w:t>10560</w:t>
            </w:r>
          </w:p>
        </w:tc>
        <w:tc>
          <w:tcPr>
            <w:tcW w:w="825" w:type="dxa"/>
            <w:tcBorders>
              <w:top w:val="single" w:sz="4" w:space="0" w:color="auto"/>
              <w:left w:val="single" w:sz="4" w:space="0" w:color="auto"/>
              <w:bottom w:val="single" w:sz="4" w:space="0" w:color="auto"/>
              <w:right w:val="single" w:sz="4" w:space="0" w:color="auto"/>
            </w:tcBorders>
            <w:hideMark/>
          </w:tcPr>
          <w:p w14:paraId="185ED4E1" w14:textId="77777777" w:rsidR="001627EC" w:rsidRDefault="001627EC">
            <w:pPr>
              <w:rPr>
                <w:rFonts w:asciiTheme="minorHAnsi" w:hAnsiTheme="minorHAnsi"/>
                <w:sz w:val="20"/>
                <w:szCs w:val="20"/>
              </w:rPr>
            </w:pPr>
            <w:r>
              <w:rPr>
                <w:rFonts w:asciiTheme="minorHAnsi" w:hAnsiTheme="minorHAnsi"/>
                <w:sz w:val="20"/>
                <w:szCs w:val="20"/>
              </w:rPr>
              <w:t>10560</w:t>
            </w:r>
          </w:p>
        </w:tc>
        <w:tc>
          <w:tcPr>
            <w:tcW w:w="1074" w:type="dxa"/>
            <w:tcBorders>
              <w:top w:val="single" w:sz="4" w:space="0" w:color="auto"/>
              <w:left w:val="single" w:sz="4" w:space="0" w:color="auto"/>
              <w:bottom w:val="single" w:sz="4" w:space="0" w:color="auto"/>
              <w:right w:val="single" w:sz="4" w:space="0" w:color="auto"/>
            </w:tcBorders>
            <w:hideMark/>
          </w:tcPr>
          <w:p w14:paraId="09197C1B" w14:textId="77777777" w:rsidR="001627EC" w:rsidRDefault="001627EC">
            <w:pPr>
              <w:rPr>
                <w:rFonts w:asciiTheme="minorHAnsi" w:hAnsiTheme="minorHAnsi"/>
                <w:sz w:val="20"/>
                <w:szCs w:val="20"/>
              </w:rPr>
            </w:pPr>
            <w:r>
              <w:rPr>
                <w:rFonts w:asciiTheme="minorHAnsi" w:hAnsiTheme="minorHAnsi"/>
                <w:sz w:val="20"/>
                <w:szCs w:val="20"/>
              </w:rPr>
              <w:t>10560</w:t>
            </w:r>
          </w:p>
        </w:tc>
        <w:tc>
          <w:tcPr>
            <w:tcW w:w="1624" w:type="dxa"/>
            <w:tcBorders>
              <w:top w:val="single" w:sz="4" w:space="0" w:color="auto"/>
              <w:left w:val="single" w:sz="4" w:space="0" w:color="auto"/>
              <w:bottom w:val="single" w:sz="4" w:space="0" w:color="auto"/>
              <w:right w:val="single" w:sz="4" w:space="0" w:color="auto"/>
            </w:tcBorders>
            <w:hideMark/>
          </w:tcPr>
          <w:p w14:paraId="31BACC69"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6CCAEA73"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582A428D"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6847EF1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Website/database/</w:t>
            </w:r>
            <w:proofErr w:type="spellStart"/>
            <w:r>
              <w:rPr>
                <w:rFonts w:asciiTheme="minorHAnsi" w:hAnsiTheme="minorHAnsi" w:cs="Arial"/>
                <w:color w:val="000000"/>
                <w:sz w:val="20"/>
                <w:szCs w:val="20"/>
              </w:rPr>
              <w:t>Geonode</w:t>
            </w:r>
            <w:proofErr w:type="spellEnd"/>
            <w:r>
              <w:rPr>
                <w:rFonts w:asciiTheme="minorHAnsi" w:hAnsiTheme="minorHAnsi" w:cs="Arial"/>
                <w:color w:val="000000"/>
                <w:sz w:val="20"/>
                <w:szCs w:val="20"/>
              </w:rPr>
              <w:t xml:space="preserve"> hosting for 4-5 years</w:t>
            </w:r>
          </w:p>
        </w:tc>
        <w:tc>
          <w:tcPr>
            <w:tcW w:w="988" w:type="dxa"/>
            <w:tcBorders>
              <w:top w:val="single" w:sz="4" w:space="0" w:color="auto"/>
              <w:left w:val="single" w:sz="4" w:space="0" w:color="auto"/>
              <w:bottom w:val="single" w:sz="4" w:space="0" w:color="auto"/>
              <w:right w:val="single" w:sz="4" w:space="0" w:color="auto"/>
            </w:tcBorders>
            <w:hideMark/>
          </w:tcPr>
          <w:p w14:paraId="2AAB42D5" w14:textId="77777777" w:rsidR="001627EC" w:rsidRDefault="001627EC">
            <w:pPr>
              <w:rPr>
                <w:rFonts w:asciiTheme="minorHAnsi" w:hAnsiTheme="minorHAnsi"/>
                <w:sz w:val="20"/>
                <w:szCs w:val="20"/>
              </w:rPr>
            </w:pPr>
            <w:r>
              <w:rPr>
                <w:rFonts w:asciiTheme="minorHAnsi" w:hAnsiTheme="minorHAnsi"/>
                <w:sz w:val="20"/>
                <w:szCs w:val="20"/>
              </w:rPr>
              <w:t>12500</w:t>
            </w:r>
          </w:p>
        </w:tc>
        <w:tc>
          <w:tcPr>
            <w:tcW w:w="988" w:type="dxa"/>
            <w:tcBorders>
              <w:top w:val="single" w:sz="4" w:space="0" w:color="auto"/>
              <w:left w:val="single" w:sz="4" w:space="0" w:color="auto"/>
              <w:bottom w:val="single" w:sz="4" w:space="0" w:color="auto"/>
              <w:right w:val="single" w:sz="4" w:space="0" w:color="auto"/>
            </w:tcBorders>
            <w:hideMark/>
          </w:tcPr>
          <w:p w14:paraId="072FAF30" w14:textId="77777777" w:rsidR="001627EC" w:rsidRDefault="001627EC">
            <w:pPr>
              <w:rPr>
                <w:rFonts w:asciiTheme="minorHAnsi" w:hAnsiTheme="minorHAnsi"/>
                <w:sz w:val="20"/>
                <w:szCs w:val="20"/>
              </w:rPr>
            </w:pPr>
            <w:r>
              <w:rPr>
                <w:rFonts w:asciiTheme="minorHAnsi" w:hAnsiTheme="minorHAnsi"/>
                <w:sz w:val="20"/>
                <w:szCs w:val="20"/>
              </w:rPr>
              <w:t>12500</w:t>
            </w:r>
          </w:p>
        </w:tc>
        <w:tc>
          <w:tcPr>
            <w:tcW w:w="825" w:type="dxa"/>
            <w:tcBorders>
              <w:top w:val="single" w:sz="4" w:space="0" w:color="auto"/>
              <w:left w:val="single" w:sz="4" w:space="0" w:color="auto"/>
              <w:bottom w:val="single" w:sz="4" w:space="0" w:color="auto"/>
              <w:right w:val="single" w:sz="4" w:space="0" w:color="auto"/>
            </w:tcBorders>
            <w:hideMark/>
          </w:tcPr>
          <w:p w14:paraId="4B6074B1" w14:textId="77777777" w:rsidR="001627EC" w:rsidRDefault="001627EC">
            <w:pPr>
              <w:rPr>
                <w:rFonts w:asciiTheme="minorHAnsi" w:hAnsiTheme="minorHAnsi"/>
                <w:sz w:val="20"/>
                <w:szCs w:val="20"/>
              </w:rPr>
            </w:pPr>
            <w:r>
              <w:rPr>
                <w:rFonts w:asciiTheme="minorHAnsi" w:hAnsiTheme="minorHAnsi"/>
                <w:sz w:val="20"/>
                <w:szCs w:val="20"/>
              </w:rPr>
              <w:t>12500</w:t>
            </w:r>
          </w:p>
        </w:tc>
        <w:tc>
          <w:tcPr>
            <w:tcW w:w="1074" w:type="dxa"/>
            <w:tcBorders>
              <w:top w:val="single" w:sz="4" w:space="0" w:color="auto"/>
              <w:left w:val="single" w:sz="4" w:space="0" w:color="auto"/>
              <w:bottom w:val="single" w:sz="4" w:space="0" w:color="auto"/>
              <w:right w:val="single" w:sz="4" w:space="0" w:color="auto"/>
            </w:tcBorders>
            <w:hideMark/>
          </w:tcPr>
          <w:p w14:paraId="4E69833D" w14:textId="77777777" w:rsidR="001627EC" w:rsidRDefault="001627EC">
            <w:pPr>
              <w:rPr>
                <w:rFonts w:asciiTheme="minorHAnsi" w:hAnsiTheme="minorHAnsi"/>
                <w:sz w:val="20"/>
                <w:szCs w:val="20"/>
              </w:rPr>
            </w:pPr>
            <w:r>
              <w:rPr>
                <w:rFonts w:asciiTheme="minorHAnsi" w:hAnsiTheme="minorHAnsi"/>
                <w:sz w:val="20"/>
                <w:szCs w:val="20"/>
              </w:rPr>
              <w:t>12500</w:t>
            </w:r>
          </w:p>
        </w:tc>
        <w:tc>
          <w:tcPr>
            <w:tcW w:w="1624" w:type="dxa"/>
            <w:tcBorders>
              <w:top w:val="single" w:sz="4" w:space="0" w:color="auto"/>
              <w:left w:val="single" w:sz="4" w:space="0" w:color="auto"/>
              <w:bottom w:val="single" w:sz="4" w:space="0" w:color="auto"/>
              <w:right w:val="single" w:sz="4" w:space="0" w:color="auto"/>
            </w:tcBorders>
          </w:tcPr>
          <w:p w14:paraId="40DCAC4D" w14:textId="77777777" w:rsidR="001627EC" w:rsidRDefault="001627EC">
            <w:pPr>
              <w:rPr>
                <w:rFonts w:asciiTheme="minorHAnsi" w:hAnsiTheme="minorHAnsi"/>
                <w:sz w:val="20"/>
                <w:szCs w:val="20"/>
              </w:rPr>
            </w:pPr>
          </w:p>
        </w:tc>
      </w:tr>
      <w:tr w:rsidR="001627EC" w14:paraId="647396DD"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F912DDF"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3F9993A9"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Consultant, commercial entity - to migrate server, update </w:t>
            </w:r>
            <w:proofErr w:type="spellStart"/>
            <w:r>
              <w:rPr>
                <w:rFonts w:asciiTheme="minorHAnsi" w:hAnsiTheme="minorHAnsi" w:cs="Arial"/>
                <w:color w:val="000000"/>
                <w:sz w:val="20"/>
                <w:szCs w:val="20"/>
              </w:rPr>
              <w:t>Geonode</w:t>
            </w:r>
            <w:proofErr w:type="spellEnd"/>
            <w:r>
              <w:rPr>
                <w:rFonts w:asciiTheme="minorHAnsi" w:hAnsiTheme="minorHAnsi" w:cs="Arial"/>
                <w:color w:val="000000"/>
                <w:sz w:val="20"/>
                <w:szCs w:val="20"/>
              </w:rPr>
              <w:t xml:space="preserve"> system, manage and upload new layers and maps </w:t>
            </w:r>
          </w:p>
          <w:p w14:paraId="01C29776"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21392DE9"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29A30549"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6E0E907E"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hideMark/>
          </w:tcPr>
          <w:p w14:paraId="3FCA1CD9" w14:textId="77777777" w:rsidR="001627EC" w:rsidRDefault="001627EC">
            <w:pPr>
              <w:rPr>
                <w:rFonts w:asciiTheme="minorHAnsi" w:hAnsiTheme="minorHAnsi"/>
                <w:sz w:val="20"/>
                <w:szCs w:val="20"/>
              </w:rPr>
            </w:pPr>
            <w:r>
              <w:rPr>
                <w:rFonts w:asciiTheme="minorHAnsi" w:hAnsiTheme="minorHAnsi"/>
                <w:sz w:val="20"/>
                <w:szCs w:val="20"/>
              </w:rPr>
              <w:t>5000</w:t>
            </w:r>
          </w:p>
        </w:tc>
        <w:tc>
          <w:tcPr>
            <w:tcW w:w="1624" w:type="dxa"/>
            <w:tcBorders>
              <w:top w:val="single" w:sz="4" w:space="0" w:color="auto"/>
              <w:left w:val="single" w:sz="4" w:space="0" w:color="auto"/>
              <w:bottom w:val="single" w:sz="4" w:space="0" w:color="auto"/>
              <w:right w:val="single" w:sz="4" w:space="0" w:color="auto"/>
            </w:tcBorders>
            <w:hideMark/>
          </w:tcPr>
          <w:p w14:paraId="47C17A09"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525EB07D"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416F9632"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70E1C3F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manage content</w:t>
            </w:r>
          </w:p>
        </w:tc>
        <w:tc>
          <w:tcPr>
            <w:tcW w:w="988" w:type="dxa"/>
            <w:tcBorders>
              <w:top w:val="single" w:sz="4" w:space="0" w:color="auto"/>
              <w:left w:val="single" w:sz="4" w:space="0" w:color="auto"/>
              <w:bottom w:val="single" w:sz="4" w:space="0" w:color="auto"/>
              <w:right w:val="single" w:sz="4" w:space="0" w:color="auto"/>
            </w:tcBorders>
            <w:hideMark/>
          </w:tcPr>
          <w:p w14:paraId="2026F534" w14:textId="77777777" w:rsidR="001627EC" w:rsidRDefault="001627EC">
            <w:pPr>
              <w:rPr>
                <w:rFonts w:asciiTheme="minorHAnsi" w:hAnsiTheme="minorHAnsi"/>
                <w:sz w:val="20"/>
                <w:szCs w:val="20"/>
              </w:rPr>
            </w:pPr>
            <w:r>
              <w:rPr>
                <w:rFonts w:asciiTheme="minorHAnsi" w:hAnsiTheme="minorHAnsi"/>
                <w:sz w:val="20"/>
                <w:szCs w:val="20"/>
              </w:rPr>
              <w:t>10250</w:t>
            </w:r>
          </w:p>
        </w:tc>
        <w:tc>
          <w:tcPr>
            <w:tcW w:w="988" w:type="dxa"/>
            <w:tcBorders>
              <w:top w:val="single" w:sz="4" w:space="0" w:color="auto"/>
              <w:left w:val="single" w:sz="4" w:space="0" w:color="auto"/>
              <w:bottom w:val="single" w:sz="4" w:space="0" w:color="auto"/>
              <w:right w:val="single" w:sz="4" w:space="0" w:color="auto"/>
            </w:tcBorders>
            <w:hideMark/>
          </w:tcPr>
          <w:p w14:paraId="1199A116" w14:textId="77777777" w:rsidR="001627EC" w:rsidRDefault="001627EC">
            <w:pPr>
              <w:rPr>
                <w:rFonts w:asciiTheme="minorHAnsi" w:hAnsiTheme="minorHAnsi"/>
                <w:sz w:val="20"/>
                <w:szCs w:val="20"/>
              </w:rPr>
            </w:pPr>
            <w:r>
              <w:rPr>
                <w:rFonts w:asciiTheme="minorHAnsi" w:hAnsiTheme="minorHAnsi"/>
                <w:sz w:val="20"/>
                <w:szCs w:val="20"/>
              </w:rPr>
              <w:t>10250</w:t>
            </w:r>
          </w:p>
        </w:tc>
        <w:tc>
          <w:tcPr>
            <w:tcW w:w="825" w:type="dxa"/>
            <w:tcBorders>
              <w:top w:val="single" w:sz="4" w:space="0" w:color="auto"/>
              <w:left w:val="single" w:sz="4" w:space="0" w:color="auto"/>
              <w:bottom w:val="single" w:sz="4" w:space="0" w:color="auto"/>
              <w:right w:val="single" w:sz="4" w:space="0" w:color="auto"/>
            </w:tcBorders>
            <w:hideMark/>
          </w:tcPr>
          <w:p w14:paraId="4DC590A0" w14:textId="77777777" w:rsidR="001627EC" w:rsidRDefault="001627EC">
            <w:pPr>
              <w:rPr>
                <w:rFonts w:asciiTheme="minorHAnsi" w:hAnsiTheme="minorHAnsi"/>
                <w:sz w:val="20"/>
                <w:szCs w:val="20"/>
              </w:rPr>
            </w:pPr>
            <w:r>
              <w:rPr>
                <w:rFonts w:asciiTheme="minorHAnsi" w:hAnsiTheme="minorHAnsi"/>
                <w:sz w:val="20"/>
                <w:szCs w:val="20"/>
              </w:rPr>
              <w:t>10250</w:t>
            </w:r>
          </w:p>
        </w:tc>
        <w:tc>
          <w:tcPr>
            <w:tcW w:w="1074" w:type="dxa"/>
            <w:tcBorders>
              <w:top w:val="single" w:sz="4" w:space="0" w:color="auto"/>
              <w:left w:val="single" w:sz="4" w:space="0" w:color="auto"/>
              <w:bottom w:val="single" w:sz="4" w:space="0" w:color="auto"/>
              <w:right w:val="single" w:sz="4" w:space="0" w:color="auto"/>
            </w:tcBorders>
            <w:hideMark/>
          </w:tcPr>
          <w:p w14:paraId="2F4A167A" w14:textId="77777777" w:rsidR="001627EC" w:rsidRDefault="001627EC">
            <w:pPr>
              <w:rPr>
                <w:rFonts w:asciiTheme="minorHAnsi" w:hAnsiTheme="minorHAnsi"/>
                <w:sz w:val="20"/>
                <w:szCs w:val="20"/>
              </w:rPr>
            </w:pPr>
            <w:r>
              <w:rPr>
                <w:rFonts w:asciiTheme="minorHAnsi" w:hAnsiTheme="minorHAnsi"/>
                <w:sz w:val="20"/>
                <w:szCs w:val="20"/>
              </w:rPr>
              <w:t>10250</w:t>
            </w:r>
          </w:p>
        </w:tc>
        <w:tc>
          <w:tcPr>
            <w:tcW w:w="1624" w:type="dxa"/>
            <w:tcBorders>
              <w:top w:val="single" w:sz="4" w:space="0" w:color="auto"/>
              <w:left w:val="single" w:sz="4" w:space="0" w:color="auto"/>
              <w:bottom w:val="single" w:sz="4" w:space="0" w:color="auto"/>
              <w:right w:val="single" w:sz="4" w:space="0" w:color="auto"/>
            </w:tcBorders>
            <w:hideMark/>
          </w:tcPr>
          <w:p w14:paraId="484D23AE"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04745AB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5A582EE"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099C9DEF"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Online subscriptions (Mailchimp, Exposure, </w:t>
            </w:r>
            <w:proofErr w:type="spellStart"/>
            <w:r>
              <w:rPr>
                <w:rFonts w:asciiTheme="minorHAnsi" w:hAnsiTheme="minorHAnsi" w:cs="Arial"/>
                <w:color w:val="000000"/>
                <w:sz w:val="20"/>
                <w:szCs w:val="20"/>
              </w:rPr>
              <w:t>Storymaps</w:t>
            </w:r>
            <w:proofErr w:type="spellEnd"/>
            <w:r>
              <w:rPr>
                <w:rFonts w:asciiTheme="minorHAnsi" w:hAnsiTheme="minorHAnsi" w:cs="Arial"/>
                <w:color w:val="000000"/>
                <w:sz w:val="20"/>
                <w:szCs w:val="20"/>
              </w:rPr>
              <w:t>, etc.) for 4 years</w:t>
            </w:r>
          </w:p>
          <w:p w14:paraId="58639983"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00051F92" w14:textId="77777777" w:rsidR="001627EC" w:rsidRDefault="001627EC">
            <w:pPr>
              <w:rPr>
                <w:rFonts w:asciiTheme="minorHAnsi" w:hAnsiTheme="minorHAnsi"/>
                <w:sz w:val="20"/>
                <w:szCs w:val="20"/>
              </w:rPr>
            </w:pPr>
            <w:r>
              <w:rPr>
                <w:rFonts w:asciiTheme="minorHAnsi" w:hAnsiTheme="minorHAnsi"/>
                <w:sz w:val="20"/>
                <w:szCs w:val="20"/>
              </w:rPr>
              <w:t>1500</w:t>
            </w:r>
          </w:p>
        </w:tc>
        <w:tc>
          <w:tcPr>
            <w:tcW w:w="988" w:type="dxa"/>
            <w:tcBorders>
              <w:top w:val="single" w:sz="4" w:space="0" w:color="auto"/>
              <w:left w:val="single" w:sz="4" w:space="0" w:color="auto"/>
              <w:bottom w:val="single" w:sz="4" w:space="0" w:color="auto"/>
              <w:right w:val="single" w:sz="4" w:space="0" w:color="auto"/>
            </w:tcBorders>
            <w:hideMark/>
          </w:tcPr>
          <w:p w14:paraId="5F98C382" w14:textId="77777777" w:rsidR="001627EC" w:rsidRDefault="001627EC">
            <w:pPr>
              <w:rPr>
                <w:rFonts w:asciiTheme="minorHAnsi" w:hAnsiTheme="minorHAnsi"/>
                <w:sz w:val="20"/>
                <w:szCs w:val="20"/>
              </w:rPr>
            </w:pPr>
            <w:r>
              <w:rPr>
                <w:rFonts w:asciiTheme="minorHAnsi" w:hAnsiTheme="minorHAnsi"/>
                <w:sz w:val="20"/>
                <w:szCs w:val="20"/>
              </w:rPr>
              <w:t>1500</w:t>
            </w:r>
          </w:p>
        </w:tc>
        <w:tc>
          <w:tcPr>
            <w:tcW w:w="825" w:type="dxa"/>
            <w:tcBorders>
              <w:top w:val="single" w:sz="4" w:space="0" w:color="auto"/>
              <w:left w:val="single" w:sz="4" w:space="0" w:color="auto"/>
              <w:bottom w:val="single" w:sz="4" w:space="0" w:color="auto"/>
              <w:right w:val="single" w:sz="4" w:space="0" w:color="auto"/>
            </w:tcBorders>
            <w:hideMark/>
          </w:tcPr>
          <w:p w14:paraId="02913729" w14:textId="77777777" w:rsidR="001627EC" w:rsidRDefault="001627EC">
            <w:pPr>
              <w:rPr>
                <w:rFonts w:asciiTheme="minorHAnsi" w:hAnsiTheme="minorHAnsi"/>
                <w:sz w:val="20"/>
                <w:szCs w:val="20"/>
              </w:rPr>
            </w:pPr>
            <w:r>
              <w:rPr>
                <w:rFonts w:asciiTheme="minorHAnsi" w:hAnsiTheme="minorHAnsi"/>
                <w:sz w:val="20"/>
                <w:szCs w:val="20"/>
              </w:rPr>
              <w:t>1500</w:t>
            </w:r>
          </w:p>
        </w:tc>
        <w:tc>
          <w:tcPr>
            <w:tcW w:w="1074" w:type="dxa"/>
            <w:tcBorders>
              <w:top w:val="single" w:sz="4" w:space="0" w:color="auto"/>
              <w:left w:val="single" w:sz="4" w:space="0" w:color="auto"/>
              <w:bottom w:val="single" w:sz="4" w:space="0" w:color="auto"/>
              <w:right w:val="single" w:sz="4" w:space="0" w:color="auto"/>
            </w:tcBorders>
            <w:hideMark/>
          </w:tcPr>
          <w:p w14:paraId="17FDD492" w14:textId="77777777" w:rsidR="001627EC" w:rsidRDefault="001627EC">
            <w:pPr>
              <w:rPr>
                <w:rFonts w:asciiTheme="minorHAnsi" w:hAnsiTheme="minorHAnsi"/>
                <w:sz w:val="20"/>
                <w:szCs w:val="20"/>
              </w:rPr>
            </w:pPr>
            <w:r>
              <w:rPr>
                <w:rFonts w:asciiTheme="minorHAnsi" w:hAnsiTheme="minorHAnsi"/>
                <w:sz w:val="20"/>
                <w:szCs w:val="20"/>
              </w:rPr>
              <w:t>1500</w:t>
            </w:r>
          </w:p>
        </w:tc>
        <w:tc>
          <w:tcPr>
            <w:tcW w:w="1624" w:type="dxa"/>
            <w:tcBorders>
              <w:top w:val="single" w:sz="4" w:space="0" w:color="auto"/>
              <w:left w:val="single" w:sz="4" w:space="0" w:color="auto"/>
              <w:bottom w:val="single" w:sz="4" w:space="0" w:color="auto"/>
              <w:right w:val="single" w:sz="4" w:space="0" w:color="auto"/>
            </w:tcBorders>
            <w:hideMark/>
          </w:tcPr>
          <w:p w14:paraId="7FD0B31D" w14:textId="77777777" w:rsidR="001627EC" w:rsidRDefault="001627EC">
            <w:pPr>
              <w:rPr>
                <w:rFonts w:asciiTheme="minorHAnsi" w:hAnsiTheme="minorHAnsi"/>
                <w:sz w:val="20"/>
                <w:szCs w:val="20"/>
              </w:rPr>
            </w:pPr>
            <w:r>
              <w:rPr>
                <w:rFonts w:asciiTheme="minorHAnsi" w:hAnsiTheme="minorHAnsi"/>
                <w:sz w:val="20"/>
                <w:szCs w:val="20"/>
              </w:rPr>
              <w:t>Under 5K procurement</w:t>
            </w:r>
          </w:p>
        </w:tc>
      </w:tr>
      <w:tr w:rsidR="001627EC" w14:paraId="3CBAE1C4"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EC90FFE"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02778A99"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provide day-to-day support to Website users / projects on web/content management</w:t>
            </w:r>
          </w:p>
        </w:tc>
        <w:tc>
          <w:tcPr>
            <w:tcW w:w="988" w:type="dxa"/>
            <w:tcBorders>
              <w:top w:val="single" w:sz="4" w:space="0" w:color="auto"/>
              <w:left w:val="single" w:sz="4" w:space="0" w:color="auto"/>
              <w:bottom w:val="single" w:sz="4" w:space="0" w:color="auto"/>
              <w:right w:val="single" w:sz="4" w:space="0" w:color="auto"/>
            </w:tcBorders>
            <w:hideMark/>
          </w:tcPr>
          <w:p w14:paraId="3F0CC4DB" w14:textId="77777777" w:rsidR="001627EC" w:rsidRDefault="001627EC">
            <w:pPr>
              <w:rPr>
                <w:rFonts w:asciiTheme="minorHAnsi" w:hAnsiTheme="minorHAnsi"/>
                <w:sz w:val="20"/>
                <w:szCs w:val="20"/>
              </w:rPr>
            </w:pPr>
            <w:r>
              <w:rPr>
                <w:rFonts w:asciiTheme="minorHAnsi" w:hAnsiTheme="minorHAnsi"/>
                <w:sz w:val="20"/>
                <w:szCs w:val="20"/>
              </w:rPr>
              <w:t>8750</w:t>
            </w:r>
          </w:p>
        </w:tc>
        <w:tc>
          <w:tcPr>
            <w:tcW w:w="988" w:type="dxa"/>
            <w:tcBorders>
              <w:top w:val="single" w:sz="4" w:space="0" w:color="auto"/>
              <w:left w:val="single" w:sz="4" w:space="0" w:color="auto"/>
              <w:bottom w:val="single" w:sz="4" w:space="0" w:color="auto"/>
              <w:right w:val="single" w:sz="4" w:space="0" w:color="auto"/>
            </w:tcBorders>
            <w:hideMark/>
          </w:tcPr>
          <w:p w14:paraId="67E8E504" w14:textId="77777777" w:rsidR="001627EC" w:rsidRDefault="001627EC">
            <w:pPr>
              <w:rPr>
                <w:rFonts w:asciiTheme="minorHAnsi" w:hAnsiTheme="minorHAnsi"/>
                <w:sz w:val="20"/>
                <w:szCs w:val="20"/>
              </w:rPr>
            </w:pPr>
            <w:r>
              <w:rPr>
                <w:rFonts w:asciiTheme="minorHAnsi" w:hAnsiTheme="minorHAnsi"/>
                <w:sz w:val="20"/>
                <w:szCs w:val="20"/>
              </w:rPr>
              <w:t>8750</w:t>
            </w:r>
          </w:p>
        </w:tc>
        <w:tc>
          <w:tcPr>
            <w:tcW w:w="825" w:type="dxa"/>
            <w:tcBorders>
              <w:top w:val="single" w:sz="4" w:space="0" w:color="auto"/>
              <w:left w:val="single" w:sz="4" w:space="0" w:color="auto"/>
              <w:bottom w:val="single" w:sz="4" w:space="0" w:color="auto"/>
              <w:right w:val="single" w:sz="4" w:space="0" w:color="auto"/>
            </w:tcBorders>
            <w:hideMark/>
          </w:tcPr>
          <w:p w14:paraId="6CA6CB07" w14:textId="77777777" w:rsidR="001627EC" w:rsidRDefault="001627EC">
            <w:pPr>
              <w:rPr>
                <w:rFonts w:asciiTheme="minorHAnsi" w:hAnsiTheme="minorHAnsi"/>
                <w:sz w:val="20"/>
                <w:szCs w:val="20"/>
              </w:rPr>
            </w:pPr>
            <w:r>
              <w:rPr>
                <w:rFonts w:asciiTheme="minorHAnsi" w:hAnsiTheme="minorHAnsi"/>
                <w:sz w:val="20"/>
                <w:szCs w:val="20"/>
              </w:rPr>
              <w:t>8750</w:t>
            </w:r>
          </w:p>
        </w:tc>
        <w:tc>
          <w:tcPr>
            <w:tcW w:w="1074" w:type="dxa"/>
            <w:tcBorders>
              <w:top w:val="single" w:sz="4" w:space="0" w:color="auto"/>
              <w:left w:val="single" w:sz="4" w:space="0" w:color="auto"/>
              <w:bottom w:val="single" w:sz="4" w:space="0" w:color="auto"/>
              <w:right w:val="single" w:sz="4" w:space="0" w:color="auto"/>
            </w:tcBorders>
            <w:hideMark/>
          </w:tcPr>
          <w:p w14:paraId="55C7C00E" w14:textId="77777777" w:rsidR="001627EC" w:rsidRDefault="001627EC">
            <w:pPr>
              <w:rPr>
                <w:rFonts w:asciiTheme="minorHAnsi" w:hAnsiTheme="minorHAnsi"/>
                <w:sz w:val="20"/>
                <w:szCs w:val="20"/>
              </w:rPr>
            </w:pPr>
            <w:r>
              <w:rPr>
                <w:rFonts w:asciiTheme="minorHAnsi" w:hAnsiTheme="minorHAnsi"/>
                <w:sz w:val="20"/>
                <w:szCs w:val="20"/>
              </w:rPr>
              <w:t>8750</w:t>
            </w:r>
          </w:p>
        </w:tc>
        <w:tc>
          <w:tcPr>
            <w:tcW w:w="1624" w:type="dxa"/>
            <w:tcBorders>
              <w:top w:val="single" w:sz="4" w:space="0" w:color="auto"/>
              <w:left w:val="single" w:sz="4" w:space="0" w:color="auto"/>
              <w:bottom w:val="single" w:sz="4" w:space="0" w:color="auto"/>
              <w:right w:val="single" w:sz="4" w:space="0" w:color="auto"/>
            </w:tcBorders>
            <w:hideMark/>
          </w:tcPr>
          <w:p w14:paraId="6B1FC44E"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4277FA03"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873F8BD"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441A5103"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provide IT/web admin support to Toolkit users</w:t>
            </w:r>
          </w:p>
          <w:p w14:paraId="40A2BE93"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3E75E91D" w14:textId="77777777" w:rsidR="001627EC" w:rsidRDefault="001627EC">
            <w:pPr>
              <w:rPr>
                <w:rFonts w:asciiTheme="minorHAnsi" w:hAnsiTheme="minorHAnsi"/>
                <w:sz w:val="20"/>
                <w:szCs w:val="20"/>
              </w:rPr>
            </w:pPr>
            <w:r>
              <w:rPr>
                <w:rFonts w:asciiTheme="minorHAnsi" w:hAnsiTheme="minorHAnsi"/>
                <w:sz w:val="20"/>
                <w:szCs w:val="20"/>
              </w:rPr>
              <w:t>6880</w:t>
            </w:r>
          </w:p>
        </w:tc>
        <w:tc>
          <w:tcPr>
            <w:tcW w:w="988" w:type="dxa"/>
            <w:tcBorders>
              <w:top w:val="single" w:sz="4" w:space="0" w:color="auto"/>
              <w:left w:val="single" w:sz="4" w:space="0" w:color="auto"/>
              <w:bottom w:val="single" w:sz="4" w:space="0" w:color="auto"/>
              <w:right w:val="single" w:sz="4" w:space="0" w:color="auto"/>
            </w:tcBorders>
            <w:hideMark/>
          </w:tcPr>
          <w:p w14:paraId="4C7CE3F6" w14:textId="77777777" w:rsidR="001627EC" w:rsidRDefault="001627EC">
            <w:pPr>
              <w:rPr>
                <w:rFonts w:asciiTheme="minorHAnsi" w:hAnsiTheme="minorHAnsi"/>
                <w:sz w:val="20"/>
                <w:szCs w:val="20"/>
              </w:rPr>
            </w:pPr>
            <w:r>
              <w:rPr>
                <w:rFonts w:asciiTheme="minorHAnsi" w:hAnsiTheme="minorHAnsi"/>
                <w:sz w:val="20"/>
                <w:szCs w:val="20"/>
              </w:rPr>
              <w:t>6880</w:t>
            </w:r>
          </w:p>
        </w:tc>
        <w:tc>
          <w:tcPr>
            <w:tcW w:w="825" w:type="dxa"/>
            <w:tcBorders>
              <w:top w:val="single" w:sz="4" w:space="0" w:color="auto"/>
              <w:left w:val="single" w:sz="4" w:space="0" w:color="auto"/>
              <w:bottom w:val="single" w:sz="4" w:space="0" w:color="auto"/>
              <w:right w:val="single" w:sz="4" w:space="0" w:color="auto"/>
            </w:tcBorders>
            <w:hideMark/>
          </w:tcPr>
          <w:p w14:paraId="6E4239D1" w14:textId="77777777" w:rsidR="001627EC" w:rsidRDefault="001627EC">
            <w:pPr>
              <w:rPr>
                <w:rFonts w:asciiTheme="minorHAnsi" w:hAnsiTheme="minorHAnsi"/>
                <w:sz w:val="20"/>
                <w:szCs w:val="20"/>
              </w:rPr>
            </w:pPr>
            <w:r>
              <w:rPr>
                <w:rFonts w:asciiTheme="minorHAnsi" w:hAnsiTheme="minorHAnsi"/>
                <w:sz w:val="20"/>
                <w:szCs w:val="20"/>
              </w:rPr>
              <w:t>6880</w:t>
            </w:r>
          </w:p>
        </w:tc>
        <w:tc>
          <w:tcPr>
            <w:tcW w:w="1074" w:type="dxa"/>
            <w:tcBorders>
              <w:top w:val="single" w:sz="4" w:space="0" w:color="auto"/>
              <w:left w:val="single" w:sz="4" w:space="0" w:color="auto"/>
              <w:bottom w:val="single" w:sz="4" w:space="0" w:color="auto"/>
              <w:right w:val="single" w:sz="4" w:space="0" w:color="auto"/>
            </w:tcBorders>
            <w:hideMark/>
          </w:tcPr>
          <w:p w14:paraId="7DB104E0" w14:textId="77777777" w:rsidR="001627EC" w:rsidRDefault="001627EC">
            <w:pPr>
              <w:rPr>
                <w:rFonts w:asciiTheme="minorHAnsi" w:hAnsiTheme="minorHAnsi"/>
                <w:sz w:val="20"/>
                <w:szCs w:val="20"/>
              </w:rPr>
            </w:pPr>
            <w:r>
              <w:rPr>
                <w:rFonts w:asciiTheme="minorHAnsi" w:hAnsiTheme="minorHAnsi"/>
                <w:sz w:val="20"/>
                <w:szCs w:val="20"/>
              </w:rPr>
              <w:t>6880</w:t>
            </w:r>
          </w:p>
        </w:tc>
        <w:tc>
          <w:tcPr>
            <w:tcW w:w="1624" w:type="dxa"/>
            <w:tcBorders>
              <w:top w:val="single" w:sz="4" w:space="0" w:color="auto"/>
              <w:left w:val="single" w:sz="4" w:space="0" w:color="auto"/>
              <w:bottom w:val="single" w:sz="4" w:space="0" w:color="auto"/>
              <w:right w:val="single" w:sz="4" w:space="0" w:color="auto"/>
            </w:tcBorders>
            <w:hideMark/>
          </w:tcPr>
          <w:p w14:paraId="0B15129E"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2940CAE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0FBF0AED"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2F12E4AA"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Resource person/consultant </w:t>
            </w:r>
          </w:p>
        </w:tc>
        <w:tc>
          <w:tcPr>
            <w:tcW w:w="988" w:type="dxa"/>
            <w:tcBorders>
              <w:top w:val="single" w:sz="4" w:space="0" w:color="auto"/>
              <w:left w:val="single" w:sz="4" w:space="0" w:color="auto"/>
              <w:bottom w:val="single" w:sz="4" w:space="0" w:color="auto"/>
              <w:right w:val="single" w:sz="4" w:space="0" w:color="auto"/>
            </w:tcBorders>
            <w:hideMark/>
          </w:tcPr>
          <w:p w14:paraId="02DB1AF0" w14:textId="77777777" w:rsidR="001627EC" w:rsidRDefault="001627EC">
            <w:pPr>
              <w:rPr>
                <w:rFonts w:asciiTheme="minorHAnsi" w:hAnsiTheme="minorHAnsi"/>
                <w:sz w:val="20"/>
                <w:szCs w:val="20"/>
              </w:rPr>
            </w:pPr>
            <w:r>
              <w:rPr>
                <w:rFonts w:asciiTheme="minorHAnsi" w:hAnsiTheme="minorHAnsi"/>
                <w:sz w:val="20"/>
                <w:szCs w:val="20"/>
              </w:rPr>
              <w:t>1200</w:t>
            </w:r>
          </w:p>
        </w:tc>
        <w:tc>
          <w:tcPr>
            <w:tcW w:w="988" w:type="dxa"/>
            <w:tcBorders>
              <w:top w:val="single" w:sz="4" w:space="0" w:color="auto"/>
              <w:left w:val="single" w:sz="4" w:space="0" w:color="auto"/>
              <w:bottom w:val="single" w:sz="4" w:space="0" w:color="auto"/>
              <w:right w:val="single" w:sz="4" w:space="0" w:color="auto"/>
            </w:tcBorders>
          </w:tcPr>
          <w:p w14:paraId="2AA5201D"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1BCDB17C"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3D1EAE53"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5D127C8B" w14:textId="77777777" w:rsidR="001627EC" w:rsidRDefault="001627EC">
            <w:pPr>
              <w:rPr>
                <w:rFonts w:asciiTheme="minorHAnsi" w:hAnsiTheme="minorHAnsi"/>
                <w:sz w:val="20"/>
                <w:szCs w:val="20"/>
              </w:rPr>
            </w:pPr>
            <w:r>
              <w:rPr>
                <w:rFonts w:asciiTheme="minorHAnsi" w:hAnsiTheme="minorHAnsi"/>
                <w:sz w:val="20"/>
                <w:szCs w:val="20"/>
              </w:rPr>
              <w:t>CV Comparison</w:t>
            </w:r>
          </w:p>
        </w:tc>
      </w:tr>
      <w:tr w:rsidR="001627EC" w14:paraId="3710E5D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5B48A55"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6A2BC23B"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update Website Guidelines, promote to projects and monitor its implementation</w:t>
            </w:r>
          </w:p>
        </w:tc>
        <w:tc>
          <w:tcPr>
            <w:tcW w:w="988" w:type="dxa"/>
            <w:tcBorders>
              <w:top w:val="single" w:sz="4" w:space="0" w:color="auto"/>
              <w:left w:val="single" w:sz="4" w:space="0" w:color="auto"/>
              <w:bottom w:val="single" w:sz="4" w:space="0" w:color="auto"/>
              <w:right w:val="single" w:sz="4" w:space="0" w:color="auto"/>
            </w:tcBorders>
            <w:hideMark/>
          </w:tcPr>
          <w:p w14:paraId="2BC74C18"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tcPr>
          <w:p w14:paraId="17BEF576"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13DB60F3"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6222FCC7"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73484877"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5476D253"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E4DE5BC"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2D733078"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Review and refine the Website Guidelines</w:t>
            </w:r>
          </w:p>
          <w:p w14:paraId="371736E6" w14:textId="77777777" w:rsidR="001627EC" w:rsidRDefault="001627EC">
            <w:pPr>
              <w:rPr>
                <w:rFonts w:asciiTheme="minorHAnsi" w:hAnsiTheme="minorHAnsi" w:cs="Arial"/>
                <w:color w:val="000000"/>
                <w:sz w:val="20"/>
                <w:szCs w:val="20"/>
              </w:rPr>
            </w:pPr>
          </w:p>
          <w:p w14:paraId="10A1DE17"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-Face-to-face meeting costs</w:t>
            </w:r>
            <w:r>
              <w:rPr>
                <w:rFonts w:asciiTheme="minorHAnsi" w:hAnsiTheme="minorHAnsi" w:cs="Arial"/>
                <w:color w:val="000000"/>
                <w:sz w:val="20"/>
                <w:szCs w:val="20"/>
              </w:rPr>
              <w:br/>
              <w:t xml:space="preserve">-1 webinar </w:t>
            </w:r>
          </w:p>
          <w:p w14:paraId="2CD1C53D"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0688876F" w14:textId="77777777" w:rsidR="001627EC" w:rsidRDefault="001627EC">
            <w:pPr>
              <w:rPr>
                <w:rFonts w:asciiTheme="minorHAnsi" w:hAnsiTheme="minorHAnsi"/>
                <w:sz w:val="20"/>
                <w:szCs w:val="20"/>
              </w:rPr>
            </w:pPr>
            <w:r>
              <w:rPr>
                <w:rFonts w:asciiTheme="minorHAnsi" w:hAnsiTheme="minorHAnsi"/>
                <w:sz w:val="20"/>
                <w:szCs w:val="20"/>
              </w:rPr>
              <w:t>3000</w:t>
            </w:r>
          </w:p>
        </w:tc>
        <w:tc>
          <w:tcPr>
            <w:tcW w:w="988" w:type="dxa"/>
            <w:tcBorders>
              <w:top w:val="single" w:sz="4" w:space="0" w:color="auto"/>
              <w:left w:val="single" w:sz="4" w:space="0" w:color="auto"/>
              <w:bottom w:val="single" w:sz="4" w:space="0" w:color="auto"/>
              <w:right w:val="single" w:sz="4" w:space="0" w:color="auto"/>
            </w:tcBorders>
          </w:tcPr>
          <w:p w14:paraId="3EC071BC"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hideMark/>
          </w:tcPr>
          <w:p w14:paraId="77D80CEA" w14:textId="77777777" w:rsidR="001627EC" w:rsidRDefault="001627EC">
            <w:pPr>
              <w:rPr>
                <w:rFonts w:asciiTheme="minorHAnsi" w:hAnsiTheme="minorHAnsi"/>
                <w:sz w:val="20"/>
                <w:szCs w:val="20"/>
              </w:rPr>
            </w:pPr>
            <w:r>
              <w:rPr>
                <w:rFonts w:asciiTheme="minorHAnsi" w:hAnsiTheme="minorHAnsi"/>
                <w:sz w:val="20"/>
                <w:szCs w:val="20"/>
              </w:rPr>
              <w:t>4500</w:t>
            </w:r>
          </w:p>
        </w:tc>
        <w:tc>
          <w:tcPr>
            <w:tcW w:w="1074" w:type="dxa"/>
            <w:tcBorders>
              <w:top w:val="single" w:sz="4" w:space="0" w:color="auto"/>
              <w:left w:val="single" w:sz="4" w:space="0" w:color="auto"/>
              <w:bottom w:val="single" w:sz="4" w:space="0" w:color="auto"/>
              <w:right w:val="single" w:sz="4" w:space="0" w:color="auto"/>
            </w:tcBorders>
          </w:tcPr>
          <w:p w14:paraId="3674621F"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9E51581"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ICPDR</w:t>
            </w:r>
          </w:p>
        </w:tc>
      </w:tr>
      <w:tr w:rsidR="001627EC" w14:paraId="753C7784"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D6F9989"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6D61FF5F"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Consultant to coordinate the activities, prepare reports, provide technical assistance </w:t>
            </w:r>
          </w:p>
          <w:p w14:paraId="638EE136"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7B62BEA3"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1638743F"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0ED04046"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hideMark/>
          </w:tcPr>
          <w:p w14:paraId="663E776C" w14:textId="77777777" w:rsidR="001627EC" w:rsidRDefault="001627EC">
            <w:pPr>
              <w:rPr>
                <w:rFonts w:asciiTheme="minorHAnsi" w:hAnsiTheme="minorHAnsi"/>
                <w:sz w:val="20"/>
                <w:szCs w:val="20"/>
              </w:rPr>
            </w:pPr>
            <w:r>
              <w:rPr>
                <w:rFonts w:asciiTheme="minorHAnsi" w:hAnsiTheme="minorHAnsi"/>
                <w:sz w:val="20"/>
                <w:szCs w:val="20"/>
              </w:rPr>
              <w:t>5000</w:t>
            </w:r>
          </w:p>
        </w:tc>
        <w:tc>
          <w:tcPr>
            <w:tcW w:w="1624" w:type="dxa"/>
            <w:tcBorders>
              <w:top w:val="single" w:sz="4" w:space="0" w:color="auto"/>
              <w:left w:val="single" w:sz="4" w:space="0" w:color="auto"/>
              <w:bottom w:val="single" w:sz="4" w:space="0" w:color="auto"/>
              <w:right w:val="single" w:sz="4" w:space="0" w:color="auto"/>
            </w:tcBorders>
            <w:hideMark/>
          </w:tcPr>
          <w:p w14:paraId="05785AB5"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0D48B14C"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2BC1F1C6"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4A650548"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Face-to-Face meeting costs</w:t>
            </w:r>
          </w:p>
          <w:p w14:paraId="20887885" w14:textId="77777777" w:rsidR="001627EC" w:rsidRDefault="001627EC">
            <w:pPr>
              <w:rPr>
                <w:rFonts w:asciiTheme="minorHAnsi" w:hAnsiTheme="minorHAnsi" w:cs="Arial"/>
                <w:color w:val="000000"/>
                <w:sz w:val="20"/>
                <w:szCs w:val="20"/>
              </w:rPr>
            </w:pPr>
          </w:p>
          <w:p w14:paraId="2E84463B"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Roster and journalism competition (including travel)</w:t>
            </w:r>
          </w:p>
          <w:p w14:paraId="23871CF4"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116E761D" w14:textId="77777777" w:rsidR="001627EC" w:rsidRDefault="001627EC">
            <w:pPr>
              <w:rPr>
                <w:rFonts w:asciiTheme="minorHAnsi" w:hAnsiTheme="minorHAnsi"/>
                <w:sz w:val="20"/>
                <w:szCs w:val="20"/>
              </w:rPr>
            </w:pPr>
            <w:r>
              <w:rPr>
                <w:rFonts w:asciiTheme="minorHAnsi" w:hAnsiTheme="minorHAnsi"/>
                <w:sz w:val="20"/>
                <w:szCs w:val="20"/>
              </w:rPr>
              <w:t>4500</w:t>
            </w:r>
          </w:p>
        </w:tc>
        <w:tc>
          <w:tcPr>
            <w:tcW w:w="988" w:type="dxa"/>
            <w:tcBorders>
              <w:top w:val="single" w:sz="4" w:space="0" w:color="auto"/>
              <w:left w:val="single" w:sz="4" w:space="0" w:color="auto"/>
              <w:bottom w:val="single" w:sz="4" w:space="0" w:color="auto"/>
              <w:right w:val="single" w:sz="4" w:space="0" w:color="auto"/>
            </w:tcBorders>
            <w:hideMark/>
          </w:tcPr>
          <w:p w14:paraId="55B5F639"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40B3D1AF"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tcPr>
          <w:p w14:paraId="4D7FEC68"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3F9D36B6"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GRIDA</w:t>
            </w:r>
          </w:p>
        </w:tc>
      </w:tr>
      <w:tr w:rsidR="001627EC" w14:paraId="5D9990F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8C66788" w14:textId="77777777" w:rsidR="001627EC" w:rsidRDefault="001627EC">
            <w:pPr>
              <w:rPr>
                <w:rFonts w:asciiTheme="minorHAnsi" w:hAnsiTheme="minorHAnsi"/>
                <w:sz w:val="20"/>
                <w:szCs w:val="20"/>
              </w:rPr>
            </w:pPr>
            <w:r>
              <w:rPr>
                <w:rFonts w:asciiTheme="minorHAnsi" w:hAnsiTheme="minorHAnsi"/>
                <w:sz w:val="20"/>
                <w:szCs w:val="20"/>
              </w:rPr>
              <w:lastRenderedPageBreak/>
              <w:t>71200</w:t>
            </w:r>
          </w:p>
        </w:tc>
        <w:tc>
          <w:tcPr>
            <w:tcW w:w="2609" w:type="dxa"/>
            <w:tcBorders>
              <w:top w:val="single" w:sz="4" w:space="0" w:color="auto"/>
              <w:left w:val="single" w:sz="4" w:space="0" w:color="auto"/>
              <w:bottom w:val="single" w:sz="4" w:space="0" w:color="auto"/>
              <w:right w:val="single" w:sz="4" w:space="0" w:color="auto"/>
            </w:tcBorders>
          </w:tcPr>
          <w:p w14:paraId="2E7EABB7"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Consultant to maintain online Roster </w:t>
            </w:r>
          </w:p>
          <w:p w14:paraId="4C8E671E"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0E16C95C" w14:textId="77777777" w:rsidR="001627EC" w:rsidRDefault="001627EC">
            <w:pPr>
              <w:rPr>
                <w:rFonts w:asciiTheme="minorHAnsi" w:hAnsiTheme="minorHAnsi"/>
                <w:sz w:val="20"/>
                <w:szCs w:val="20"/>
              </w:rPr>
            </w:pPr>
            <w:r>
              <w:rPr>
                <w:rFonts w:asciiTheme="minorHAnsi" w:hAnsiTheme="minorHAnsi"/>
                <w:sz w:val="20"/>
                <w:szCs w:val="20"/>
              </w:rPr>
              <w:t>1500</w:t>
            </w:r>
          </w:p>
        </w:tc>
        <w:tc>
          <w:tcPr>
            <w:tcW w:w="988" w:type="dxa"/>
            <w:tcBorders>
              <w:top w:val="single" w:sz="4" w:space="0" w:color="auto"/>
              <w:left w:val="single" w:sz="4" w:space="0" w:color="auto"/>
              <w:bottom w:val="single" w:sz="4" w:space="0" w:color="auto"/>
              <w:right w:val="single" w:sz="4" w:space="0" w:color="auto"/>
            </w:tcBorders>
            <w:hideMark/>
          </w:tcPr>
          <w:p w14:paraId="1B3791A3" w14:textId="77777777" w:rsidR="001627EC" w:rsidRDefault="001627EC">
            <w:pPr>
              <w:rPr>
                <w:rFonts w:asciiTheme="minorHAnsi" w:hAnsiTheme="minorHAnsi"/>
                <w:sz w:val="20"/>
                <w:szCs w:val="20"/>
              </w:rPr>
            </w:pPr>
            <w:r>
              <w:rPr>
                <w:rFonts w:asciiTheme="minorHAnsi" w:hAnsiTheme="minorHAnsi"/>
                <w:sz w:val="20"/>
                <w:szCs w:val="20"/>
              </w:rPr>
              <w:t>1500</w:t>
            </w:r>
          </w:p>
        </w:tc>
        <w:tc>
          <w:tcPr>
            <w:tcW w:w="825" w:type="dxa"/>
            <w:tcBorders>
              <w:top w:val="single" w:sz="4" w:space="0" w:color="auto"/>
              <w:left w:val="single" w:sz="4" w:space="0" w:color="auto"/>
              <w:bottom w:val="single" w:sz="4" w:space="0" w:color="auto"/>
              <w:right w:val="single" w:sz="4" w:space="0" w:color="auto"/>
            </w:tcBorders>
            <w:hideMark/>
          </w:tcPr>
          <w:p w14:paraId="3DDACB12" w14:textId="77777777" w:rsidR="001627EC" w:rsidRDefault="001627EC">
            <w:pPr>
              <w:rPr>
                <w:rFonts w:asciiTheme="minorHAnsi" w:hAnsiTheme="minorHAnsi"/>
                <w:sz w:val="20"/>
                <w:szCs w:val="20"/>
              </w:rPr>
            </w:pPr>
            <w:r>
              <w:rPr>
                <w:rFonts w:asciiTheme="minorHAnsi" w:hAnsiTheme="minorHAnsi"/>
                <w:sz w:val="20"/>
                <w:szCs w:val="20"/>
              </w:rPr>
              <w:t>1500</w:t>
            </w:r>
          </w:p>
        </w:tc>
        <w:tc>
          <w:tcPr>
            <w:tcW w:w="1074" w:type="dxa"/>
            <w:tcBorders>
              <w:top w:val="single" w:sz="4" w:space="0" w:color="auto"/>
              <w:left w:val="single" w:sz="4" w:space="0" w:color="auto"/>
              <w:bottom w:val="single" w:sz="4" w:space="0" w:color="auto"/>
              <w:right w:val="single" w:sz="4" w:space="0" w:color="auto"/>
            </w:tcBorders>
            <w:hideMark/>
          </w:tcPr>
          <w:p w14:paraId="0DAD3581" w14:textId="77777777" w:rsidR="001627EC" w:rsidRDefault="001627EC">
            <w:pPr>
              <w:rPr>
                <w:rFonts w:asciiTheme="minorHAnsi" w:hAnsiTheme="minorHAnsi"/>
                <w:sz w:val="20"/>
                <w:szCs w:val="20"/>
              </w:rPr>
            </w:pPr>
            <w:r>
              <w:rPr>
                <w:rFonts w:asciiTheme="minorHAnsi" w:hAnsiTheme="minorHAnsi"/>
                <w:sz w:val="20"/>
                <w:szCs w:val="20"/>
              </w:rPr>
              <w:t>1500</w:t>
            </w:r>
          </w:p>
        </w:tc>
        <w:tc>
          <w:tcPr>
            <w:tcW w:w="1624" w:type="dxa"/>
            <w:tcBorders>
              <w:top w:val="single" w:sz="4" w:space="0" w:color="auto"/>
              <w:left w:val="single" w:sz="4" w:space="0" w:color="auto"/>
              <w:bottom w:val="single" w:sz="4" w:space="0" w:color="auto"/>
              <w:right w:val="single" w:sz="4" w:space="0" w:color="auto"/>
            </w:tcBorders>
            <w:hideMark/>
          </w:tcPr>
          <w:p w14:paraId="48EA3FAC"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24211ABB"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75B0149"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294D3825"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Consultant to scope, design the Comms Hub, and then upload content to the hub </w:t>
            </w:r>
          </w:p>
          <w:p w14:paraId="126FA921"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tcPr>
          <w:p w14:paraId="60B8079D"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0F090DD2"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6963E776"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38B38038"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594AC2D4" w14:textId="77777777" w:rsidR="001627EC" w:rsidRDefault="001627EC">
            <w:pPr>
              <w:rPr>
                <w:rFonts w:asciiTheme="minorHAnsi" w:hAnsiTheme="minorHAnsi"/>
                <w:sz w:val="20"/>
                <w:szCs w:val="20"/>
              </w:rPr>
            </w:pPr>
            <w:r>
              <w:rPr>
                <w:rFonts w:asciiTheme="minorHAnsi" w:hAnsiTheme="minorHAnsi"/>
                <w:sz w:val="20"/>
                <w:szCs w:val="20"/>
              </w:rPr>
              <w:t>CV Comparison</w:t>
            </w:r>
          </w:p>
        </w:tc>
      </w:tr>
      <w:tr w:rsidR="001627EC" w14:paraId="1E099F1A"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250B3800"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3A701717"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setup Comms Hub, Roster template</w:t>
            </w:r>
          </w:p>
        </w:tc>
        <w:tc>
          <w:tcPr>
            <w:tcW w:w="988" w:type="dxa"/>
            <w:tcBorders>
              <w:top w:val="single" w:sz="4" w:space="0" w:color="auto"/>
              <w:left w:val="single" w:sz="4" w:space="0" w:color="auto"/>
              <w:bottom w:val="single" w:sz="4" w:space="0" w:color="auto"/>
              <w:right w:val="single" w:sz="4" w:space="0" w:color="auto"/>
            </w:tcBorders>
            <w:hideMark/>
          </w:tcPr>
          <w:p w14:paraId="7932A4F2" w14:textId="77777777" w:rsidR="001627EC" w:rsidRDefault="001627EC">
            <w:pPr>
              <w:rPr>
                <w:rFonts w:asciiTheme="minorHAnsi" w:hAnsiTheme="minorHAnsi"/>
                <w:sz w:val="20"/>
                <w:szCs w:val="20"/>
              </w:rPr>
            </w:pPr>
            <w:r>
              <w:rPr>
                <w:rFonts w:asciiTheme="minorHAnsi" w:hAnsiTheme="minorHAnsi"/>
                <w:sz w:val="20"/>
                <w:szCs w:val="20"/>
              </w:rPr>
              <w:t>9600</w:t>
            </w:r>
          </w:p>
        </w:tc>
        <w:tc>
          <w:tcPr>
            <w:tcW w:w="988" w:type="dxa"/>
            <w:tcBorders>
              <w:top w:val="single" w:sz="4" w:space="0" w:color="auto"/>
              <w:left w:val="single" w:sz="4" w:space="0" w:color="auto"/>
              <w:bottom w:val="single" w:sz="4" w:space="0" w:color="auto"/>
              <w:right w:val="single" w:sz="4" w:space="0" w:color="auto"/>
            </w:tcBorders>
          </w:tcPr>
          <w:p w14:paraId="26EEBEB8"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3017546A"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0A0E297F"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5C5AAF72"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2250EF1E"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229777E"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3BDA0ED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prepare GEF publications</w:t>
            </w:r>
          </w:p>
        </w:tc>
        <w:tc>
          <w:tcPr>
            <w:tcW w:w="988" w:type="dxa"/>
            <w:tcBorders>
              <w:top w:val="single" w:sz="4" w:space="0" w:color="auto"/>
              <w:left w:val="single" w:sz="4" w:space="0" w:color="auto"/>
              <w:bottom w:val="single" w:sz="4" w:space="0" w:color="auto"/>
              <w:right w:val="single" w:sz="4" w:space="0" w:color="auto"/>
            </w:tcBorders>
            <w:hideMark/>
          </w:tcPr>
          <w:p w14:paraId="37772D16"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72097191"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6F56B9F0"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hideMark/>
          </w:tcPr>
          <w:p w14:paraId="6D282C8A" w14:textId="77777777" w:rsidR="001627EC" w:rsidRDefault="001627EC">
            <w:pPr>
              <w:rPr>
                <w:rFonts w:asciiTheme="minorHAnsi" w:hAnsiTheme="minorHAnsi"/>
                <w:sz w:val="20"/>
                <w:szCs w:val="20"/>
              </w:rPr>
            </w:pPr>
            <w:r>
              <w:rPr>
                <w:rFonts w:asciiTheme="minorHAnsi" w:hAnsiTheme="minorHAnsi"/>
                <w:sz w:val="20"/>
                <w:szCs w:val="20"/>
              </w:rPr>
              <w:t>5000</w:t>
            </w:r>
          </w:p>
        </w:tc>
        <w:tc>
          <w:tcPr>
            <w:tcW w:w="1624" w:type="dxa"/>
            <w:tcBorders>
              <w:top w:val="single" w:sz="4" w:space="0" w:color="auto"/>
              <w:left w:val="single" w:sz="4" w:space="0" w:color="auto"/>
              <w:bottom w:val="single" w:sz="4" w:space="0" w:color="auto"/>
              <w:right w:val="single" w:sz="4" w:space="0" w:color="auto"/>
            </w:tcBorders>
            <w:hideMark/>
          </w:tcPr>
          <w:p w14:paraId="394189D1"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0551312C" w14:textId="77777777" w:rsidTr="001627EC">
        <w:tc>
          <w:tcPr>
            <w:tcW w:w="9179"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15F223B9" w14:textId="77777777" w:rsidR="001627EC" w:rsidRDefault="001627EC">
            <w:pPr>
              <w:rPr>
                <w:rFonts w:asciiTheme="minorHAnsi" w:hAnsiTheme="minorHAnsi"/>
                <w:sz w:val="20"/>
                <w:szCs w:val="20"/>
              </w:rPr>
            </w:pPr>
            <w:r>
              <w:rPr>
                <w:rFonts w:asciiTheme="minorHAnsi" w:hAnsiTheme="minorHAnsi"/>
                <w:sz w:val="20"/>
                <w:szCs w:val="20"/>
              </w:rPr>
              <w:t>COMPONENT THREE</w:t>
            </w:r>
          </w:p>
        </w:tc>
      </w:tr>
      <w:tr w:rsidR="001627EC" w14:paraId="52E624BE"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6D82AF8"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7DF53898"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Consultant recruited by PCU to conduct two-fold assessment report </w:t>
            </w:r>
          </w:p>
        </w:tc>
        <w:tc>
          <w:tcPr>
            <w:tcW w:w="988" w:type="dxa"/>
            <w:tcBorders>
              <w:top w:val="single" w:sz="4" w:space="0" w:color="auto"/>
              <w:left w:val="single" w:sz="4" w:space="0" w:color="auto"/>
              <w:bottom w:val="single" w:sz="4" w:space="0" w:color="auto"/>
              <w:right w:val="single" w:sz="4" w:space="0" w:color="auto"/>
            </w:tcBorders>
            <w:hideMark/>
          </w:tcPr>
          <w:p w14:paraId="43890A84"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tcPr>
          <w:p w14:paraId="7B6547FC"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77878D2C"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263FD04A"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792671BC"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7729C26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21C7925"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79605E66"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Development of SIDS Hub</w:t>
            </w:r>
          </w:p>
        </w:tc>
        <w:tc>
          <w:tcPr>
            <w:tcW w:w="988" w:type="dxa"/>
            <w:tcBorders>
              <w:top w:val="single" w:sz="4" w:space="0" w:color="auto"/>
              <w:left w:val="single" w:sz="4" w:space="0" w:color="auto"/>
              <w:bottom w:val="single" w:sz="4" w:space="0" w:color="auto"/>
              <w:right w:val="single" w:sz="4" w:space="0" w:color="auto"/>
            </w:tcBorders>
            <w:hideMark/>
          </w:tcPr>
          <w:p w14:paraId="011266B8" w14:textId="77777777" w:rsidR="001627EC" w:rsidRDefault="001627EC">
            <w:pPr>
              <w:rPr>
                <w:rFonts w:asciiTheme="minorHAnsi" w:hAnsiTheme="minorHAnsi"/>
                <w:sz w:val="20"/>
                <w:szCs w:val="20"/>
              </w:rPr>
            </w:pPr>
            <w:r>
              <w:rPr>
                <w:rFonts w:asciiTheme="minorHAnsi" w:hAnsiTheme="minorHAnsi"/>
                <w:sz w:val="20"/>
                <w:szCs w:val="20"/>
              </w:rPr>
              <w:t>19250</w:t>
            </w:r>
          </w:p>
        </w:tc>
        <w:tc>
          <w:tcPr>
            <w:tcW w:w="988" w:type="dxa"/>
            <w:tcBorders>
              <w:top w:val="single" w:sz="4" w:space="0" w:color="auto"/>
              <w:left w:val="single" w:sz="4" w:space="0" w:color="auto"/>
              <w:bottom w:val="single" w:sz="4" w:space="0" w:color="auto"/>
              <w:right w:val="single" w:sz="4" w:space="0" w:color="auto"/>
            </w:tcBorders>
            <w:hideMark/>
          </w:tcPr>
          <w:p w14:paraId="39FB5778" w14:textId="77777777" w:rsidR="001627EC" w:rsidRDefault="001627EC">
            <w:pPr>
              <w:rPr>
                <w:rFonts w:asciiTheme="minorHAnsi" w:hAnsiTheme="minorHAnsi"/>
                <w:sz w:val="20"/>
                <w:szCs w:val="20"/>
              </w:rPr>
            </w:pPr>
            <w:r>
              <w:rPr>
                <w:rFonts w:asciiTheme="minorHAnsi" w:hAnsiTheme="minorHAnsi"/>
                <w:sz w:val="20"/>
                <w:szCs w:val="20"/>
              </w:rPr>
              <w:t>19250</w:t>
            </w:r>
          </w:p>
        </w:tc>
        <w:tc>
          <w:tcPr>
            <w:tcW w:w="825" w:type="dxa"/>
            <w:tcBorders>
              <w:top w:val="single" w:sz="4" w:space="0" w:color="auto"/>
              <w:left w:val="single" w:sz="4" w:space="0" w:color="auto"/>
              <w:bottom w:val="single" w:sz="4" w:space="0" w:color="auto"/>
              <w:right w:val="single" w:sz="4" w:space="0" w:color="auto"/>
            </w:tcBorders>
            <w:hideMark/>
          </w:tcPr>
          <w:p w14:paraId="7A575A07" w14:textId="77777777" w:rsidR="001627EC" w:rsidRDefault="001627EC">
            <w:pPr>
              <w:rPr>
                <w:rFonts w:asciiTheme="minorHAnsi" w:hAnsiTheme="minorHAnsi"/>
                <w:sz w:val="20"/>
                <w:szCs w:val="20"/>
              </w:rPr>
            </w:pPr>
            <w:r>
              <w:rPr>
                <w:rFonts w:asciiTheme="minorHAnsi" w:hAnsiTheme="minorHAnsi"/>
                <w:sz w:val="20"/>
                <w:szCs w:val="20"/>
              </w:rPr>
              <w:t>19250</w:t>
            </w:r>
          </w:p>
        </w:tc>
        <w:tc>
          <w:tcPr>
            <w:tcW w:w="1074" w:type="dxa"/>
            <w:tcBorders>
              <w:top w:val="single" w:sz="4" w:space="0" w:color="auto"/>
              <w:left w:val="single" w:sz="4" w:space="0" w:color="auto"/>
              <w:bottom w:val="single" w:sz="4" w:space="0" w:color="auto"/>
              <w:right w:val="single" w:sz="4" w:space="0" w:color="auto"/>
            </w:tcBorders>
            <w:hideMark/>
          </w:tcPr>
          <w:p w14:paraId="0425B622" w14:textId="77777777" w:rsidR="001627EC" w:rsidRDefault="001627EC">
            <w:pPr>
              <w:rPr>
                <w:rFonts w:asciiTheme="minorHAnsi" w:hAnsiTheme="minorHAnsi"/>
                <w:sz w:val="20"/>
                <w:szCs w:val="20"/>
              </w:rPr>
            </w:pPr>
            <w:r>
              <w:rPr>
                <w:rFonts w:asciiTheme="minorHAnsi" w:hAnsiTheme="minorHAnsi"/>
                <w:sz w:val="20"/>
                <w:szCs w:val="20"/>
              </w:rPr>
              <w:t>19250</w:t>
            </w:r>
          </w:p>
        </w:tc>
        <w:tc>
          <w:tcPr>
            <w:tcW w:w="1624" w:type="dxa"/>
            <w:tcBorders>
              <w:top w:val="single" w:sz="4" w:space="0" w:color="auto"/>
              <w:left w:val="single" w:sz="4" w:space="0" w:color="auto"/>
              <w:bottom w:val="single" w:sz="4" w:space="0" w:color="auto"/>
              <w:right w:val="single" w:sz="4" w:space="0" w:color="auto"/>
            </w:tcBorders>
            <w:hideMark/>
          </w:tcPr>
          <w:p w14:paraId="35C8E5EF"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0D9998A1"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8142604"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58032245"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SIDS Courses - Training Material Development</w:t>
            </w:r>
          </w:p>
        </w:tc>
        <w:tc>
          <w:tcPr>
            <w:tcW w:w="988" w:type="dxa"/>
            <w:tcBorders>
              <w:top w:val="single" w:sz="4" w:space="0" w:color="auto"/>
              <w:left w:val="single" w:sz="4" w:space="0" w:color="auto"/>
              <w:bottom w:val="single" w:sz="4" w:space="0" w:color="auto"/>
              <w:right w:val="single" w:sz="4" w:space="0" w:color="auto"/>
            </w:tcBorders>
            <w:hideMark/>
          </w:tcPr>
          <w:p w14:paraId="0B46A176" w14:textId="77777777" w:rsidR="001627EC" w:rsidRDefault="001627EC">
            <w:pPr>
              <w:rPr>
                <w:rFonts w:asciiTheme="minorHAnsi" w:hAnsiTheme="minorHAnsi"/>
                <w:sz w:val="20"/>
                <w:szCs w:val="20"/>
              </w:rPr>
            </w:pPr>
            <w:r>
              <w:rPr>
                <w:rFonts w:asciiTheme="minorHAnsi" w:hAnsiTheme="minorHAnsi"/>
                <w:sz w:val="20"/>
                <w:szCs w:val="20"/>
              </w:rPr>
              <w:t>29250</w:t>
            </w:r>
          </w:p>
        </w:tc>
        <w:tc>
          <w:tcPr>
            <w:tcW w:w="988" w:type="dxa"/>
            <w:tcBorders>
              <w:top w:val="single" w:sz="4" w:space="0" w:color="auto"/>
              <w:left w:val="single" w:sz="4" w:space="0" w:color="auto"/>
              <w:bottom w:val="single" w:sz="4" w:space="0" w:color="auto"/>
              <w:right w:val="single" w:sz="4" w:space="0" w:color="auto"/>
            </w:tcBorders>
            <w:hideMark/>
          </w:tcPr>
          <w:p w14:paraId="2FACF107" w14:textId="77777777" w:rsidR="001627EC" w:rsidRDefault="001627EC">
            <w:pPr>
              <w:rPr>
                <w:rFonts w:asciiTheme="minorHAnsi" w:hAnsiTheme="minorHAnsi"/>
                <w:sz w:val="20"/>
                <w:szCs w:val="20"/>
              </w:rPr>
            </w:pPr>
            <w:r>
              <w:rPr>
                <w:rFonts w:asciiTheme="minorHAnsi" w:hAnsiTheme="minorHAnsi"/>
                <w:sz w:val="20"/>
                <w:szCs w:val="20"/>
              </w:rPr>
              <w:t>29250</w:t>
            </w:r>
          </w:p>
        </w:tc>
        <w:tc>
          <w:tcPr>
            <w:tcW w:w="825" w:type="dxa"/>
            <w:tcBorders>
              <w:top w:val="single" w:sz="4" w:space="0" w:color="auto"/>
              <w:left w:val="single" w:sz="4" w:space="0" w:color="auto"/>
              <w:bottom w:val="single" w:sz="4" w:space="0" w:color="auto"/>
              <w:right w:val="single" w:sz="4" w:space="0" w:color="auto"/>
            </w:tcBorders>
            <w:hideMark/>
          </w:tcPr>
          <w:p w14:paraId="18A7661F" w14:textId="77777777" w:rsidR="001627EC" w:rsidRDefault="001627EC">
            <w:pPr>
              <w:rPr>
                <w:rFonts w:asciiTheme="minorHAnsi" w:hAnsiTheme="minorHAnsi"/>
                <w:sz w:val="20"/>
                <w:szCs w:val="20"/>
              </w:rPr>
            </w:pPr>
            <w:r>
              <w:rPr>
                <w:rFonts w:asciiTheme="minorHAnsi" w:hAnsiTheme="minorHAnsi"/>
                <w:sz w:val="20"/>
                <w:szCs w:val="20"/>
              </w:rPr>
              <w:t>29250</w:t>
            </w:r>
          </w:p>
        </w:tc>
        <w:tc>
          <w:tcPr>
            <w:tcW w:w="1074" w:type="dxa"/>
            <w:tcBorders>
              <w:top w:val="single" w:sz="4" w:space="0" w:color="auto"/>
              <w:left w:val="single" w:sz="4" w:space="0" w:color="auto"/>
              <w:bottom w:val="single" w:sz="4" w:space="0" w:color="auto"/>
              <w:right w:val="single" w:sz="4" w:space="0" w:color="auto"/>
            </w:tcBorders>
            <w:hideMark/>
          </w:tcPr>
          <w:p w14:paraId="69057F29" w14:textId="77777777" w:rsidR="001627EC" w:rsidRDefault="001627EC">
            <w:pPr>
              <w:rPr>
                <w:rFonts w:asciiTheme="minorHAnsi" w:hAnsiTheme="minorHAnsi"/>
                <w:sz w:val="20"/>
                <w:szCs w:val="20"/>
              </w:rPr>
            </w:pPr>
            <w:r>
              <w:rPr>
                <w:rFonts w:asciiTheme="minorHAnsi" w:hAnsiTheme="minorHAnsi"/>
                <w:sz w:val="20"/>
                <w:szCs w:val="20"/>
              </w:rPr>
              <w:t>29250</w:t>
            </w:r>
          </w:p>
        </w:tc>
        <w:tc>
          <w:tcPr>
            <w:tcW w:w="1624" w:type="dxa"/>
            <w:tcBorders>
              <w:top w:val="single" w:sz="4" w:space="0" w:color="auto"/>
              <w:left w:val="single" w:sz="4" w:space="0" w:color="auto"/>
              <w:bottom w:val="single" w:sz="4" w:space="0" w:color="auto"/>
              <w:right w:val="single" w:sz="4" w:space="0" w:color="auto"/>
            </w:tcBorders>
            <w:hideMark/>
          </w:tcPr>
          <w:p w14:paraId="12EC482D"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16FB2D5C"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58810764"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69057C4A"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3 regional workshops – facilitation and hosting expenses</w:t>
            </w:r>
          </w:p>
        </w:tc>
        <w:tc>
          <w:tcPr>
            <w:tcW w:w="988" w:type="dxa"/>
            <w:tcBorders>
              <w:top w:val="single" w:sz="4" w:space="0" w:color="auto"/>
              <w:left w:val="single" w:sz="4" w:space="0" w:color="auto"/>
              <w:bottom w:val="single" w:sz="4" w:space="0" w:color="auto"/>
              <w:right w:val="single" w:sz="4" w:space="0" w:color="auto"/>
            </w:tcBorders>
            <w:hideMark/>
          </w:tcPr>
          <w:p w14:paraId="127E117B" w14:textId="77777777" w:rsidR="001627EC" w:rsidRDefault="001627EC">
            <w:pPr>
              <w:rPr>
                <w:rFonts w:asciiTheme="minorHAnsi" w:hAnsiTheme="minorHAnsi"/>
                <w:sz w:val="20"/>
                <w:szCs w:val="20"/>
              </w:rPr>
            </w:pPr>
            <w:r>
              <w:rPr>
                <w:rFonts w:asciiTheme="minorHAnsi" w:hAnsiTheme="minorHAnsi"/>
                <w:sz w:val="20"/>
                <w:szCs w:val="20"/>
              </w:rPr>
              <w:t>40000</w:t>
            </w:r>
          </w:p>
        </w:tc>
        <w:tc>
          <w:tcPr>
            <w:tcW w:w="988" w:type="dxa"/>
            <w:tcBorders>
              <w:top w:val="single" w:sz="4" w:space="0" w:color="auto"/>
              <w:left w:val="single" w:sz="4" w:space="0" w:color="auto"/>
              <w:bottom w:val="single" w:sz="4" w:space="0" w:color="auto"/>
              <w:right w:val="single" w:sz="4" w:space="0" w:color="auto"/>
            </w:tcBorders>
            <w:hideMark/>
          </w:tcPr>
          <w:p w14:paraId="0971530F" w14:textId="77777777" w:rsidR="001627EC" w:rsidRDefault="001627EC">
            <w:pPr>
              <w:rPr>
                <w:rFonts w:asciiTheme="minorHAnsi" w:hAnsiTheme="minorHAnsi"/>
                <w:sz w:val="20"/>
                <w:szCs w:val="20"/>
              </w:rPr>
            </w:pPr>
            <w:r>
              <w:rPr>
                <w:rFonts w:asciiTheme="minorHAnsi" w:hAnsiTheme="minorHAnsi"/>
                <w:sz w:val="20"/>
                <w:szCs w:val="20"/>
              </w:rPr>
              <w:t>40000</w:t>
            </w:r>
          </w:p>
        </w:tc>
        <w:tc>
          <w:tcPr>
            <w:tcW w:w="825" w:type="dxa"/>
            <w:tcBorders>
              <w:top w:val="single" w:sz="4" w:space="0" w:color="auto"/>
              <w:left w:val="single" w:sz="4" w:space="0" w:color="auto"/>
              <w:bottom w:val="single" w:sz="4" w:space="0" w:color="auto"/>
              <w:right w:val="single" w:sz="4" w:space="0" w:color="auto"/>
            </w:tcBorders>
            <w:hideMark/>
          </w:tcPr>
          <w:p w14:paraId="5B8C22D7" w14:textId="77777777" w:rsidR="001627EC" w:rsidRDefault="001627EC">
            <w:pPr>
              <w:rPr>
                <w:rFonts w:asciiTheme="minorHAnsi" w:hAnsiTheme="minorHAnsi"/>
                <w:sz w:val="20"/>
                <w:szCs w:val="20"/>
              </w:rPr>
            </w:pPr>
            <w:r>
              <w:rPr>
                <w:rFonts w:asciiTheme="minorHAnsi" w:hAnsiTheme="minorHAnsi"/>
                <w:sz w:val="20"/>
                <w:szCs w:val="20"/>
              </w:rPr>
              <w:t>40000</w:t>
            </w:r>
          </w:p>
        </w:tc>
        <w:tc>
          <w:tcPr>
            <w:tcW w:w="1074" w:type="dxa"/>
            <w:tcBorders>
              <w:top w:val="single" w:sz="4" w:space="0" w:color="auto"/>
              <w:left w:val="single" w:sz="4" w:space="0" w:color="auto"/>
              <w:bottom w:val="single" w:sz="4" w:space="0" w:color="auto"/>
              <w:right w:val="single" w:sz="4" w:space="0" w:color="auto"/>
            </w:tcBorders>
          </w:tcPr>
          <w:p w14:paraId="2A217B62"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618719F1" w14:textId="77777777" w:rsidR="001627EC" w:rsidRDefault="001627EC">
            <w:pPr>
              <w:rPr>
                <w:rFonts w:asciiTheme="minorHAnsi" w:hAnsiTheme="minorHAnsi"/>
                <w:sz w:val="20"/>
                <w:szCs w:val="20"/>
              </w:rPr>
            </w:pPr>
            <w:r>
              <w:rPr>
                <w:rFonts w:asciiTheme="minorHAnsi" w:hAnsiTheme="minorHAnsi"/>
                <w:sz w:val="20"/>
                <w:szCs w:val="20"/>
              </w:rPr>
              <w:t>UN2UN Interagency Agreement</w:t>
            </w:r>
          </w:p>
        </w:tc>
      </w:tr>
      <w:tr w:rsidR="001627EC" w14:paraId="021D3691"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D07F119"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74B91B47"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1 global workshop – SIDS - facilitation and hosting expenses</w:t>
            </w:r>
          </w:p>
        </w:tc>
        <w:tc>
          <w:tcPr>
            <w:tcW w:w="988" w:type="dxa"/>
            <w:tcBorders>
              <w:top w:val="single" w:sz="4" w:space="0" w:color="auto"/>
              <w:left w:val="single" w:sz="4" w:space="0" w:color="auto"/>
              <w:bottom w:val="single" w:sz="4" w:space="0" w:color="auto"/>
              <w:right w:val="single" w:sz="4" w:space="0" w:color="auto"/>
            </w:tcBorders>
          </w:tcPr>
          <w:p w14:paraId="7C5872C4"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6837D2B2" w14:textId="77777777" w:rsidR="001627EC" w:rsidRDefault="001627EC">
            <w:pPr>
              <w:rPr>
                <w:rFonts w:asciiTheme="minorHAnsi" w:hAnsiTheme="minorHAnsi"/>
                <w:sz w:val="20"/>
                <w:szCs w:val="20"/>
              </w:rPr>
            </w:pPr>
            <w:r>
              <w:rPr>
                <w:rFonts w:asciiTheme="minorHAnsi" w:hAnsiTheme="minorHAnsi"/>
                <w:sz w:val="20"/>
                <w:szCs w:val="20"/>
              </w:rPr>
              <w:t>50000</w:t>
            </w:r>
          </w:p>
        </w:tc>
        <w:tc>
          <w:tcPr>
            <w:tcW w:w="825" w:type="dxa"/>
            <w:tcBorders>
              <w:top w:val="single" w:sz="4" w:space="0" w:color="auto"/>
              <w:left w:val="single" w:sz="4" w:space="0" w:color="auto"/>
              <w:bottom w:val="single" w:sz="4" w:space="0" w:color="auto"/>
              <w:right w:val="single" w:sz="4" w:space="0" w:color="auto"/>
            </w:tcBorders>
          </w:tcPr>
          <w:p w14:paraId="409ADC7E"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1009A1D9"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5C92ADAA" w14:textId="77777777" w:rsidR="001627EC" w:rsidRDefault="001627EC">
            <w:pPr>
              <w:rPr>
                <w:rFonts w:asciiTheme="minorHAnsi" w:hAnsiTheme="minorHAnsi"/>
                <w:sz w:val="20"/>
                <w:szCs w:val="20"/>
              </w:rPr>
            </w:pPr>
            <w:r>
              <w:rPr>
                <w:rFonts w:asciiTheme="minorHAnsi" w:hAnsiTheme="minorHAnsi"/>
                <w:sz w:val="20"/>
                <w:szCs w:val="20"/>
              </w:rPr>
              <w:t>UN2UN Interagency Agreement</w:t>
            </w:r>
          </w:p>
        </w:tc>
      </w:tr>
      <w:tr w:rsidR="001627EC" w14:paraId="631B880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5C30A0E"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16658977"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1 pre-IWC workshop for SIDS - facilitation and hosting expenses</w:t>
            </w:r>
          </w:p>
        </w:tc>
        <w:tc>
          <w:tcPr>
            <w:tcW w:w="988" w:type="dxa"/>
            <w:tcBorders>
              <w:top w:val="single" w:sz="4" w:space="0" w:color="auto"/>
              <w:left w:val="single" w:sz="4" w:space="0" w:color="auto"/>
              <w:bottom w:val="single" w:sz="4" w:space="0" w:color="auto"/>
              <w:right w:val="single" w:sz="4" w:space="0" w:color="auto"/>
            </w:tcBorders>
          </w:tcPr>
          <w:p w14:paraId="5057648F"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43B9A2FB"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hideMark/>
          </w:tcPr>
          <w:p w14:paraId="43AE59A4" w14:textId="77777777" w:rsidR="001627EC" w:rsidRDefault="001627EC">
            <w:pPr>
              <w:rPr>
                <w:rFonts w:asciiTheme="minorHAnsi" w:hAnsiTheme="minorHAnsi"/>
                <w:sz w:val="20"/>
                <w:szCs w:val="20"/>
              </w:rPr>
            </w:pPr>
            <w:r>
              <w:rPr>
                <w:rFonts w:asciiTheme="minorHAnsi" w:hAnsiTheme="minorHAnsi"/>
                <w:sz w:val="20"/>
                <w:szCs w:val="20"/>
              </w:rPr>
              <w:t>30000</w:t>
            </w:r>
          </w:p>
        </w:tc>
        <w:tc>
          <w:tcPr>
            <w:tcW w:w="1074" w:type="dxa"/>
            <w:tcBorders>
              <w:top w:val="single" w:sz="4" w:space="0" w:color="auto"/>
              <w:left w:val="single" w:sz="4" w:space="0" w:color="auto"/>
              <w:bottom w:val="single" w:sz="4" w:space="0" w:color="auto"/>
              <w:right w:val="single" w:sz="4" w:space="0" w:color="auto"/>
            </w:tcBorders>
          </w:tcPr>
          <w:p w14:paraId="12B1B5FB"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469F2A03" w14:textId="77777777" w:rsidR="001627EC" w:rsidRDefault="001627EC">
            <w:pPr>
              <w:rPr>
                <w:rFonts w:asciiTheme="minorHAnsi" w:hAnsiTheme="minorHAnsi"/>
                <w:sz w:val="20"/>
                <w:szCs w:val="20"/>
              </w:rPr>
            </w:pPr>
            <w:r>
              <w:rPr>
                <w:rFonts w:asciiTheme="minorHAnsi" w:hAnsiTheme="minorHAnsi"/>
                <w:sz w:val="20"/>
                <w:szCs w:val="20"/>
              </w:rPr>
              <w:t>UN2UN Interagency Agreement</w:t>
            </w:r>
          </w:p>
        </w:tc>
      </w:tr>
      <w:tr w:rsidR="001627EC" w14:paraId="4453E2B4"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23E9E08" w14:textId="77777777" w:rsidR="001627EC" w:rsidRDefault="001627EC">
            <w:pPr>
              <w:rPr>
                <w:rFonts w:asciiTheme="minorHAnsi" w:hAnsiTheme="minorHAnsi"/>
                <w:sz w:val="20"/>
                <w:szCs w:val="20"/>
              </w:rPr>
            </w:pPr>
            <w:r>
              <w:rPr>
                <w:rFonts w:asciiTheme="minorHAnsi" w:hAnsiTheme="minorHAnsi"/>
                <w:sz w:val="20"/>
                <w:szCs w:val="20"/>
              </w:rPr>
              <w:t>74500</w:t>
            </w:r>
          </w:p>
        </w:tc>
        <w:tc>
          <w:tcPr>
            <w:tcW w:w="2609" w:type="dxa"/>
            <w:tcBorders>
              <w:top w:val="single" w:sz="4" w:space="0" w:color="auto"/>
              <w:left w:val="single" w:sz="4" w:space="0" w:color="auto"/>
              <w:bottom w:val="single" w:sz="4" w:space="0" w:color="auto"/>
              <w:right w:val="single" w:sz="4" w:space="0" w:color="auto"/>
            </w:tcBorders>
            <w:hideMark/>
          </w:tcPr>
          <w:p w14:paraId="27416DCD"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Annual LME Consultation meeting catering and other meeting support costs</w:t>
            </w:r>
          </w:p>
        </w:tc>
        <w:tc>
          <w:tcPr>
            <w:tcW w:w="988" w:type="dxa"/>
            <w:tcBorders>
              <w:top w:val="single" w:sz="4" w:space="0" w:color="auto"/>
              <w:left w:val="single" w:sz="4" w:space="0" w:color="auto"/>
              <w:bottom w:val="single" w:sz="4" w:space="0" w:color="auto"/>
              <w:right w:val="single" w:sz="4" w:space="0" w:color="auto"/>
            </w:tcBorders>
            <w:hideMark/>
          </w:tcPr>
          <w:p w14:paraId="141E2399"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63485B0E"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69DA03F2"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hideMark/>
          </w:tcPr>
          <w:p w14:paraId="6BD64F46" w14:textId="77777777" w:rsidR="001627EC" w:rsidRDefault="001627EC">
            <w:pPr>
              <w:rPr>
                <w:rFonts w:asciiTheme="minorHAnsi" w:hAnsiTheme="minorHAnsi"/>
                <w:sz w:val="20"/>
                <w:szCs w:val="20"/>
              </w:rPr>
            </w:pPr>
            <w:r>
              <w:rPr>
                <w:rFonts w:asciiTheme="minorHAnsi" w:hAnsiTheme="minorHAnsi"/>
                <w:sz w:val="20"/>
                <w:szCs w:val="20"/>
              </w:rPr>
              <w:t>5000</w:t>
            </w:r>
          </w:p>
        </w:tc>
        <w:tc>
          <w:tcPr>
            <w:tcW w:w="1624" w:type="dxa"/>
            <w:tcBorders>
              <w:top w:val="single" w:sz="4" w:space="0" w:color="auto"/>
              <w:left w:val="single" w:sz="4" w:space="0" w:color="auto"/>
              <w:bottom w:val="single" w:sz="4" w:space="0" w:color="auto"/>
              <w:right w:val="single" w:sz="4" w:space="0" w:color="auto"/>
            </w:tcBorders>
            <w:hideMark/>
          </w:tcPr>
          <w:p w14:paraId="17AC3402" w14:textId="77777777" w:rsidR="001627EC" w:rsidRDefault="001627EC">
            <w:pPr>
              <w:rPr>
                <w:rFonts w:asciiTheme="minorHAnsi" w:hAnsiTheme="minorHAnsi"/>
                <w:sz w:val="20"/>
                <w:szCs w:val="20"/>
              </w:rPr>
            </w:pPr>
            <w:r>
              <w:rPr>
                <w:rFonts w:asciiTheme="minorHAnsi" w:hAnsiTheme="minorHAnsi"/>
                <w:sz w:val="20"/>
                <w:szCs w:val="20"/>
              </w:rPr>
              <w:t>Single source procurement</w:t>
            </w:r>
          </w:p>
        </w:tc>
      </w:tr>
      <w:tr w:rsidR="001627EC" w14:paraId="1478D7E4" w14:textId="77777777" w:rsidTr="001627EC">
        <w:tc>
          <w:tcPr>
            <w:tcW w:w="9179"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612CF326" w14:textId="77777777" w:rsidR="001627EC" w:rsidRDefault="001627EC">
            <w:pPr>
              <w:rPr>
                <w:rFonts w:asciiTheme="minorHAnsi" w:hAnsiTheme="minorHAnsi"/>
                <w:sz w:val="20"/>
                <w:szCs w:val="20"/>
              </w:rPr>
            </w:pPr>
            <w:r>
              <w:rPr>
                <w:rFonts w:asciiTheme="minorHAnsi" w:hAnsiTheme="minorHAnsi"/>
                <w:sz w:val="20"/>
                <w:szCs w:val="20"/>
              </w:rPr>
              <w:t>COMPONENT FOUR</w:t>
            </w:r>
          </w:p>
        </w:tc>
      </w:tr>
      <w:tr w:rsidR="001627EC" w14:paraId="7937B08B"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AFF0C8F"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2591B5C6"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Consultant to scope, design the hub, and then upload content to the hub </w:t>
            </w:r>
          </w:p>
          <w:p w14:paraId="61F72F17"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62D66E1A"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574AD919"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tcPr>
          <w:p w14:paraId="6D77855F"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1D447FEE"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67EC8F05"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34E5A7C2"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87CBCC1"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1462267C"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modify the TDA-SAP Methodology</w:t>
            </w:r>
          </w:p>
          <w:p w14:paraId="146B2BE1"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6E7F1F7E" w14:textId="77777777" w:rsidR="001627EC" w:rsidRDefault="001627EC">
            <w:pPr>
              <w:rPr>
                <w:rFonts w:asciiTheme="minorHAnsi" w:hAnsiTheme="minorHAnsi"/>
                <w:sz w:val="20"/>
                <w:szCs w:val="20"/>
              </w:rPr>
            </w:pPr>
            <w:r>
              <w:rPr>
                <w:rFonts w:asciiTheme="minorHAnsi" w:hAnsiTheme="minorHAnsi"/>
                <w:sz w:val="20"/>
                <w:szCs w:val="20"/>
              </w:rPr>
              <w:t>20000</w:t>
            </w:r>
          </w:p>
        </w:tc>
        <w:tc>
          <w:tcPr>
            <w:tcW w:w="988" w:type="dxa"/>
            <w:tcBorders>
              <w:top w:val="single" w:sz="4" w:space="0" w:color="auto"/>
              <w:left w:val="single" w:sz="4" w:space="0" w:color="auto"/>
              <w:bottom w:val="single" w:sz="4" w:space="0" w:color="auto"/>
              <w:right w:val="single" w:sz="4" w:space="0" w:color="auto"/>
            </w:tcBorders>
          </w:tcPr>
          <w:p w14:paraId="1DE80CED"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6A44A627"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66A72000"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3483872D"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7D933C1C"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9619238"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5F3358E4"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convene the meetings and simulations</w:t>
            </w:r>
          </w:p>
          <w:p w14:paraId="4FE607E8"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tcPr>
          <w:p w14:paraId="46CA2A65"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54C939BC"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46B8C15B"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38DE94A7"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4DF9A747"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GWP</w:t>
            </w:r>
          </w:p>
        </w:tc>
      </w:tr>
      <w:tr w:rsidR="001627EC" w14:paraId="1930CB20"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475FEE7"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tcPr>
          <w:p w14:paraId="0DC099CB" w14:textId="77777777" w:rsidR="001627EC" w:rsidRDefault="001627EC">
            <w:pPr>
              <w:rPr>
                <w:rFonts w:asciiTheme="minorHAnsi" w:hAnsiTheme="minorHAnsi" w:cs="Arial"/>
                <w:color w:val="000000"/>
                <w:sz w:val="20"/>
                <w:szCs w:val="20"/>
                <w:lang w:val="fr-FR"/>
              </w:rPr>
            </w:pPr>
            <w:r>
              <w:rPr>
                <w:rFonts w:asciiTheme="minorHAnsi" w:hAnsiTheme="minorHAnsi" w:cs="Arial"/>
                <w:color w:val="000000"/>
                <w:sz w:val="20"/>
                <w:szCs w:val="20"/>
                <w:lang w:val="fr-FR"/>
              </w:rPr>
              <w:t xml:space="preserve">-Information document </w:t>
            </w:r>
            <w:proofErr w:type="spellStart"/>
            <w:r>
              <w:rPr>
                <w:rFonts w:asciiTheme="minorHAnsi" w:hAnsiTheme="minorHAnsi" w:cs="Arial"/>
                <w:color w:val="000000"/>
                <w:sz w:val="20"/>
                <w:szCs w:val="20"/>
                <w:lang w:val="fr-FR"/>
              </w:rPr>
              <w:t>preparation</w:t>
            </w:r>
            <w:proofErr w:type="spellEnd"/>
            <w:r>
              <w:rPr>
                <w:rFonts w:asciiTheme="minorHAnsi" w:hAnsiTheme="minorHAnsi" w:cs="Arial"/>
                <w:color w:val="000000"/>
                <w:sz w:val="20"/>
                <w:szCs w:val="20"/>
                <w:lang w:val="fr-FR"/>
              </w:rPr>
              <w:t xml:space="preserve"> – </w:t>
            </w:r>
            <w:proofErr w:type="spellStart"/>
            <w:r>
              <w:rPr>
                <w:rFonts w:asciiTheme="minorHAnsi" w:hAnsiTheme="minorHAnsi" w:cs="Arial"/>
                <w:color w:val="000000"/>
                <w:sz w:val="20"/>
                <w:szCs w:val="20"/>
                <w:lang w:val="fr-FR"/>
              </w:rPr>
              <w:t>conjunctive</w:t>
            </w:r>
            <w:proofErr w:type="spellEnd"/>
            <w:r>
              <w:rPr>
                <w:rFonts w:asciiTheme="minorHAnsi" w:hAnsiTheme="minorHAnsi" w:cs="Arial"/>
                <w:color w:val="000000"/>
                <w:sz w:val="20"/>
                <w:szCs w:val="20"/>
                <w:lang w:val="fr-FR"/>
              </w:rPr>
              <w:t xml:space="preserve"> management dialogues</w:t>
            </w:r>
          </w:p>
          <w:p w14:paraId="30D8CB3A" w14:textId="77777777" w:rsidR="001627EC" w:rsidRDefault="001627EC">
            <w:pPr>
              <w:rPr>
                <w:rFonts w:asciiTheme="minorHAnsi" w:hAnsiTheme="minorHAnsi" w:cs="Arial"/>
                <w:color w:val="000000"/>
                <w:sz w:val="20"/>
                <w:szCs w:val="20"/>
                <w:lang w:val="fr-FR"/>
              </w:rPr>
            </w:pPr>
          </w:p>
        </w:tc>
        <w:tc>
          <w:tcPr>
            <w:tcW w:w="988" w:type="dxa"/>
            <w:tcBorders>
              <w:top w:val="single" w:sz="4" w:space="0" w:color="auto"/>
              <w:left w:val="single" w:sz="4" w:space="0" w:color="auto"/>
              <w:bottom w:val="single" w:sz="4" w:space="0" w:color="auto"/>
              <w:right w:val="single" w:sz="4" w:space="0" w:color="auto"/>
            </w:tcBorders>
            <w:hideMark/>
          </w:tcPr>
          <w:p w14:paraId="07F938AE" w14:textId="77777777" w:rsidR="001627EC" w:rsidRDefault="001627EC">
            <w:pPr>
              <w:rPr>
                <w:rFonts w:asciiTheme="minorHAnsi" w:hAnsiTheme="minorHAnsi"/>
                <w:sz w:val="20"/>
                <w:szCs w:val="20"/>
              </w:rPr>
            </w:pPr>
            <w:r>
              <w:rPr>
                <w:rFonts w:asciiTheme="minorHAnsi" w:hAnsiTheme="minorHAnsi"/>
                <w:sz w:val="20"/>
                <w:szCs w:val="20"/>
              </w:rPr>
              <w:t>7500</w:t>
            </w:r>
          </w:p>
        </w:tc>
        <w:tc>
          <w:tcPr>
            <w:tcW w:w="988" w:type="dxa"/>
            <w:tcBorders>
              <w:top w:val="single" w:sz="4" w:space="0" w:color="auto"/>
              <w:left w:val="single" w:sz="4" w:space="0" w:color="auto"/>
              <w:bottom w:val="single" w:sz="4" w:space="0" w:color="auto"/>
              <w:right w:val="single" w:sz="4" w:space="0" w:color="auto"/>
            </w:tcBorders>
            <w:hideMark/>
          </w:tcPr>
          <w:p w14:paraId="7F001F0F" w14:textId="77777777" w:rsidR="001627EC" w:rsidRDefault="001627EC">
            <w:pPr>
              <w:rPr>
                <w:rFonts w:asciiTheme="minorHAnsi" w:hAnsiTheme="minorHAnsi"/>
                <w:sz w:val="20"/>
                <w:szCs w:val="20"/>
              </w:rPr>
            </w:pPr>
            <w:r>
              <w:rPr>
                <w:rFonts w:asciiTheme="minorHAnsi" w:hAnsiTheme="minorHAnsi"/>
                <w:sz w:val="20"/>
                <w:szCs w:val="20"/>
              </w:rPr>
              <w:t>7500</w:t>
            </w:r>
          </w:p>
        </w:tc>
        <w:tc>
          <w:tcPr>
            <w:tcW w:w="825" w:type="dxa"/>
            <w:tcBorders>
              <w:top w:val="single" w:sz="4" w:space="0" w:color="auto"/>
              <w:left w:val="single" w:sz="4" w:space="0" w:color="auto"/>
              <w:bottom w:val="single" w:sz="4" w:space="0" w:color="auto"/>
              <w:right w:val="single" w:sz="4" w:space="0" w:color="auto"/>
            </w:tcBorders>
          </w:tcPr>
          <w:p w14:paraId="42B476F6"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2044A698"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04B7C5ED"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7BCCB8FA"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FED3CAC"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4B3D9F93"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-Planning meeting costs - conjunctive management dialogues</w:t>
            </w:r>
          </w:p>
        </w:tc>
        <w:tc>
          <w:tcPr>
            <w:tcW w:w="988" w:type="dxa"/>
            <w:tcBorders>
              <w:top w:val="single" w:sz="4" w:space="0" w:color="auto"/>
              <w:left w:val="single" w:sz="4" w:space="0" w:color="auto"/>
              <w:bottom w:val="single" w:sz="4" w:space="0" w:color="auto"/>
              <w:right w:val="single" w:sz="4" w:space="0" w:color="auto"/>
            </w:tcBorders>
          </w:tcPr>
          <w:p w14:paraId="161FA571"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571AAE20" w14:textId="77777777" w:rsidR="001627EC" w:rsidRDefault="001627EC">
            <w:pPr>
              <w:rPr>
                <w:rFonts w:asciiTheme="minorHAnsi" w:hAnsiTheme="minorHAnsi"/>
                <w:sz w:val="20"/>
                <w:szCs w:val="20"/>
              </w:rPr>
            </w:pPr>
            <w:r>
              <w:rPr>
                <w:rFonts w:asciiTheme="minorHAnsi" w:hAnsiTheme="minorHAnsi"/>
                <w:sz w:val="20"/>
                <w:szCs w:val="20"/>
              </w:rPr>
              <w:t>4000</w:t>
            </w:r>
          </w:p>
        </w:tc>
        <w:tc>
          <w:tcPr>
            <w:tcW w:w="825" w:type="dxa"/>
            <w:tcBorders>
              <w:top w:val="single" w:sz="4" w:space="0" w:color="auto"/>
              <w:left w:val="single" w:sz="4" w:space="0" w:color="auto"/>
              <w:bottom w:val="single" w:sz="4" w:space="0" w:color="auto"/>
              <w:right w:val="single" w:sz="4" w:space="0" w:color="auto"/>
            </w:tcBorders>
          </w:tcPr>
          <w:p w14:paraId="3596E5CE"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78FAE40D"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4C0BCD38" w14:textId="77777777" w:rsidR="001627EC" w:rsidRDefault="001627EC">
            <w:pPr>
              <w:rPr>
                <w:rFonts w:asciiTheme="minorHAnsi" w:hAnsiTheme="minorHAnsi"/>
                <w:sz w:val="20"/>
                <w:szCs w:val="20"/>
              </w:rPr>
            </w:pPr>
            <w:r>
              <w:rPr>
                <w:rFonts w:asciiTheme="minorHAnsi" w:hAnsiTheme="minorHAnsi"/>
                <w:sz w:val="20"/>
                <w:szCs w:val="20"/>
              </w:rPr>
              <w:t>Under 5K procurement</w:t>
            </w:r>
          </w:p>
        </w:tc>
      </w:tr>
      <w:tr w:rsidR="001627EC" w:rsidRPr="001627EC" w14:paraId="46C612C8"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7E154A4"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1A79014E"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Practical methodology that integrates MSP into the </w:t>
            </w:r>
            <w:r>
              <w:rPr>
                <w:rFonts w:asciiTheme="minorHAnsi" w:hAnsiTheme="minorHAnsi" w:cs="Arial"/>
                <w:color w:val="000000"/>
                <w:sz w:val="20"/>
                <w:szCs w:val="20"/>
              </w:rPr>
              <w:lastRenderedPageBreak/>
              <w:t>current TDA / SAP Manual. Training</w:t>
            </w:r>
          </w:p>
          <w:p w14:paraId="2F33CC34"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material for a one-week workshop and follow-up support. A set of good practice Blue Economy case</w:t>
            </w:r>
          </w:p>
          <w:p w14:paraId="712DA993"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studies relevant for LMEs. The materials will be produced in English and translated to French and</w:t>
            </w:r>
          </w:p>
          <w:p w14:paraId="7FCF5F90"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Spanish, so that they are more broadly accessible by the LME community.</w:t>
            </w:r>
          </w:p>
        </w:tc>
        <w:tc>
          <w:tcPr>
            <w:tcW w:w="988" w:type="dxa"/>
            <w:tcBorders>
              <w:top w:val="single" w:sz="4" w:space="0" w:color="auto"/>
              <w:left w:val="single" w:sz="4" w:space="0" w:color="auto"/>
              <w:bottom w:val="single" w:sz="4" w:space="0" w:color="auto"/>
              <w:right w:val="single" w:sz="4" w:space="0" w:color="auto"/>
            </w:tcBorders>
            <w:hideMark/>
          </w:tcPr>
          <w:p w14:paraId="51921E8F" w14:textId="77777777" w:rsidR="001627EC" w:rsidRDefault="001627EC">
            <w:pPr>
              <w:rPr>
                <w:rFonts w:asciiTheme="minorHAnsi" w:hAnsiTheme="minorHAnsi"/>
                <w:sz w:val="20"/>
                <w:szCs w:val="20"/>
              </w:rPr>
            </w:pPr>
            <w:r>
              <w:rPr>
                <w:rFonts w:asciiTheme="minorHAnsi" w:hAnsiTheme="minorHAnsi"/>
                <w:sz w:val="20"/>
                <w:szCs w:val="20"/>
              </w:rPr>
              <w:lastRenderedPageBreak/>
              <w:t>39750</w:t>
            </w:r>
          </w:p>
        </w:tc>
        <w:tc>
          <w:tcPr>
            <w:tcW w:w="988" w:type="dxa"/>
            <w:tcBorders>
              <w:top w:val="single" w:sz="4" w:space="0" w:color="auto"/>
              <w:left w:val="single" w:sz="4" w:space="0" w:color="auto"/>
              <w:bottom w:val="single" w:sz="4" w:space="0" w:color="auto"/>
              <w:right w:val="single" w:sz="4" w:space="0" w:color="auto"/>
            </w:tcBorders>
            <w:hideMark/>
          </w:tcPr>
          <w:p w14:paraId="6DAB288A" w14:textId="77777777" w:rsidR="001627EC" w:rsidRDefault="001627EC">
            <w:pPr>
              <w:rPr>
                <w:rFonts w:asciiTheme="minorHAnsi" w:hAnsiTheme="minorHAnsi"/>
                <w:sz w:val="20"/>
                <w:szCs w:val="20"/>
              </w:rPr>
            </w:pPr>
            <w:r>
              <w:rPr>
                <w:rFonts w:asciiTheme="minorHAnsi" w:hAnsiTheme="minorHAnsi"/>
                <w:sz w:val="20"/>
                <w:szCs w:val="20"/>
              </w:rPr>
              <w:t>39750</w:t>
            </w:r>
          </w:p>
        </w:tc>
        <w:tc>
          <w:tcPr>
            <w:tcW w:w="825" w:type="dxa"/>
            <w:tcBorders>
              <w:top w:val="single" w:sz="4" w:space="0" w:color="auto"/>
              <w:left w:val="single" w:sz="4" w:space="0" w:color="auto"/>
              <w:bottom w:val="single" w:sz="4" w:space="0" w:color="auto"/>
              <w:right w:val="single" w:sz="4" w:space="0" w:color="auto"/>
            </w:tcBorders>
            <w:hideMark/>
          </w:tcPr>
          <w:p w14:paraId="5A3F391B" w14:textId="77777777" w:rsidR="001627EC" w:rsidRDefault="001627EC">
            <w:pPr>
              <w:rPr>
                <w:rFonts w:asciiTheme="minorHAnsi" w:hAnsiTheme="minorHAnsi"/>
                <w:sz w:val="20"/>
                <w:szCs w:val="20"/>
              </w:rPr>
            </w:pPr>
            <w:r>
              <w:rPr>
                <w:rFonts w:asciiTheme="minorHAnsi" w:hAnsiTheme="minorHAnsi"/>
                <w:sz w:val="20"/>
                <w:szCs w:val="20"/>
              </w:rPr>
              <w:t>39750</w:t>
            </w:r>
          </w:p>
        </w:tc>
        <w:tc>
          <w:tcPr>
            <w:tcW w:w="1074" w:type="dxa"/>
            <w:tcBorders>
              <w:top w:val="single" w:sz="4" w:space="0" w:color="auto"/>
              <w:left w:val="single" w:sz="4" w:space="0" w:color="auto"/>
              <w:bottom w:val="single" w:sz="4" w:space="0" w:color="auto"/>
              <w:right w:val="single" w:sz="4" w:space="0" w:color="auto"/>
            </w:tcBorders>
            <w:hideMark/>
          </w:tcPr>
          <w:p w14:paraId="467EAE21" w14:textId="77777777" w:rsidR="001627EC" w:rsidRDefault="001627EC">
            <w:pPr>
              <w:rPr>
                <w:rFonts w:asciiTheme="minorHAnsi" w:hAnsiTheme="minorHAnsi"/>
                <w:sz w:val="20"/>
                <w:szCs w:val="20"/>
              </w:rPr>
            </w:pPr>
            <w:r>
              <w:rPr>
                <w:rFonts w:asciiTheme="minorHAnsi" w:hAnsiTheme="minorHAnsi"/>
                <w:sz w:val="20"/>
                <w:szCs w:val="20"/>
              </w:rPr>
              <w:t>39750</w:t>
            </w:r>
          </w:p>
        </w:tc>
        <w:tc>
          <w:tcPr>
            <w:tcW w:w="1624" w:type="dxa"/>
            <w:tcBorders>
              <w:top w:val="single" w:sz="4" w:space="0" w:color="auto"/>
              <w:left w:val="single" w:sz="4" w:space="0" w:color="auto"/>
              <w:bottom w:val="single" w:sz="4" w:space="0" w:color="auto"/>
              <w:right w:val="single" w:sz="4" w:space="0" w:color="auto"/>
            </w:tcBorders>
            <w:hideMark/>
          </w:tcPr>
          <w:p w14:paraId="04EB025B"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w:t>
            </w:r>
            <w:r>
              <w:rPr>
                <w:rFonts w:asciiTheme="minorHAnsi" w:hAnsiTheme="minorHAnsi"/>
                <w:sz w:val="20"/>
                <w:szCs w:val="20"/>
              </w:rPr>
              <w:lastRenderedPageBreak/>
              <w:t xml:space="preserve">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GRIDA</w:t>
            </w:r>
          </w:p>
        </w:tc>
      </w:tr>
      <w:tr w:rsidR="001627EC" w14:paraId="4012B08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37CB6590" w14:textId="77777777" w:rsidR="001627EC" w:rsidRDefault="001627EC">
            <w:pPr>
              <w:rPr>
                <w:rFonts w:asciiTheme="minorHAnsi" w:hAnsiTheme="minorHAnsi"/>
                <w:sz w:val="20"/>
                <w:szCs w:val="20"/>
              </w:rPr>
            </w:pPr>
            <w:r>
              <w:rPr>
                <w:rFonts w:asciiTheme="minorHAnsi" w:hAnsiTheme="minorHAnsi"/>
                <w:sz w:val="20"/>
                <w:szCs w:val="20"/>
              </w:rPr>
              <w:lastRenderedPageBreak/>
              <w:t>72100</w:t>
            </w:r>
          </w:p>
        </w:tc>
        <w:tc>
          <w:tcPr>
            <w:tcW w:w="2609" w:type="dxa"/>
            <w:tcBorders>
              <w:top w:val="single" w:sz="4" w:space="0" w:color="auto"/>
              <w:left w:val="single" w:sz="4" w:space="0" w:color="auto"/>
              <w:bottom w:val="single" w:sz="4" w:space="0" w:color="auto"/>
              <w:right w:val="single" w:sz="4" w:space="0" w:color="auto"/>
            </w:tcBorders>
            <w:hideMark/>
          </w:tcPr>
          <w:p w14:paraId="1104162A"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-Meeting costs – regional ocean dialogues</w:t>
            </w:r>
          </w:p>
        </w:tc>
        <w:tc>
          <w:tcPr>
            <w:tcW w:w="988" w:type="dxa"/>
            <w:tcBorders>
              <w:top w:val="single" w:sz="4" w:space="0" w:color="auto"/>
              <w:left w:val="single" w:sz="4" w:space="0" w:color="auto"/>
              <w:bottom w:val="single" w:sz="4" w:space="0" w:color="auto"/>
              <w:right w:val="single" w:sz="4" w:space="0" w:color="auto"/>
            </w:tcBorders>
            <w:hideMark/>
          </w:tcPr>
          <w:p w14:paraId="64D2FC5B" w14:textId="77777777" w:rsidR="001627EC" w:rsidRDefault="001627EC">
            <w:pPr>
              <w:rPr>
                <w:rFonts w:asciiTheme="minorHAnsi" w:hAnsiTheme="minorHAnsi"/>
                <w:sz w:val="20"/>
                <w:szCs w:val="20"/>
              </w:rPr>
            </w:pPr>
            <w:r>
              <w:rPr>
                <w:rFonts w:asciiTheme="minorHAnsi" w:hAnsiTheme="minorHAnsi"/>
                <w:sz w:val="20"/>
                <w:szCs w:val="20"/>
              </w:rPr>
              <w:t>6000</w:t>
            </w:r>
          </w:p>
        </w:tc>
        <w:tc>
          <w:tcPr>
            <w:tcW w:w="988" w:type="dxa"/>
            <w:tcBorders>
              <w:top w:val="single" w:sz="4" w:space="0" w:color="auto"/>
              <w:left w:val="single" w:sz="4" w:space="0" w:color="auto"/>
              <w:bottom w:val="single" w:sz="4" w:space="0" w:color="auto"/>
              <w:right w:val="single" w:sz="4" w:space="0" w:color="auto"/>
            </w:tcBorders>
            <w:hideMark/>
          </w:tcPr>
          <w:p w14:paraId="0D282A9E" w14:textId="77777777" w:rsidR="001627EC" w:rsidRDefault="001627EC">
            <w:pPr>
              <w:rPr>
                <w:rFonts w:asciiTheme="minorHAnsi" w:hAnsiTheme="minorHAnsi"/>
                <w:sz w:val="20"/>
                <w:szCs w:val="20"/>
              </w:rPr>
            </w:pPr>
            <w:r>
              <w:rPr>
                <w:rFonts w:asciiTheme="minorHAnsi" w:hAnsiTheme="minorHAnsi"/>
                <w:sz w:val="20"/>
                <w:szCs w:val="20"/>
              </w:rPr>
              <w:t>6000</w:t>
            </w:r>
          </w:p>
        </w:tc>
        <w:tc>
          <w:tcPr>
            <w:tcW w:w="825" w:type="dxa"/>
            <w:tcBorders>
              <w:top w:val="single" w:sz="4" w:space="0" w:color="auto"/>
              <w:left w:val="single" w:sz="4" w:space="0" w:color="auto"/>
              <w:bottom w:val="single" w:sz="4" w:space="0" w:color="auto"/>
              <w:right w:val="single" w:sz="4" w:space="0" w:color="auto"/>
            </w:tcBorders>
            <w:hideMark/>
          </w:tcPr>
          <w:p w14:paraId="58F7B707" w14:textId="77777777" w:rsidR="001627EC" w:rsidRDefault="001627EC">
            <w:pPr>
              <w:rPr>
                <w:rFonts w:asciiTheme="minorHAnsi" w:hAnsiTheme="minorHAnsi"/>
                <w:sz w:val="20"/>
                <w:szCs w:val="20"/>
              </w:rPr>
            </w:pPr>
            <w:r>
              <w:rPr>
                <w:rFonts w:asciiTheme="minorHAnsi" w:hAnsiTheme="minorHAnsi"/>
                <w:sz w:val="20"/>
                <w:szCs w:val="20"/>
              </w:rPr>
              <w:t>6000</w:t>
            </w:r>
          </w:p>
        </w:tc>
        <w:tc>
          <w:tcPr>
            <w:tcW w:w="1074" w:type="dxa"/>
            <w:tcBorders>
              <w:top w:val="single" w:sz="4" w:space="0" w:color="auto"/>
              <w:left w:val="single" w:sz="4" w:space="0" w:color="auto"/>
              <w:bottom w:val="single" w:sz="4" w:space="0" w:color="auto"/>
              <w:right w:val="single" w:sz="4" w:space="0" w:color="auto"/>
            </w:tcBorders>
          </w:tcPr>
          <w:p w14:paraId="32357A42"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48A01356"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14:paraId="56BFB012"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280AB5D6"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3DEE8C36"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prepare and facilitate ocean dialogues</w:t>
            </w:r>
          </w:p>
        </w:tc>
        <w:tc>
          <w:tcPr>
            <w:tcW w:w="988" w:type="dxa"/>
            <w:tcBorders>
              <w:top w:val="single" w:sz="4" w:space="0" w:color="auto"/>
              <w:left w:val="single" w:sz="4" w:space="0" w:color="auto"/>
              <w:bottom w:val="single" w:sz="4" w:space="0" w:color="auto"/>
              <w:right w:val="single" w:sz="4" w:space="0" w:color="auto"/>
            </w:tcBorders>
            <w:hideMark/>
          </w:tcPr>
          <w:p w14:paraId="0385D9AC"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40FC5E19"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2CB2AAEB"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tcPr>
          <w:p w14:paraId="5D53B7EF"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6FC43F5C"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459E4CBF"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2D281ED"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hideMark/>
          </w:tcPr>
          <w:p w14:paraId="30CF1D57"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Ocean Governance Game Simulation</w:t>
            </w:r>
          </w:p>
        </w:tc>
        <w:tc>
          <w:tcPr>
            <w:tcW w:w="988" w:type="dxa"/>
            <w:tcBorders>
              <w:top w:val="single" w:sz="4" w:space="0" w:color="auto"/>
              <w:left w:val="single" w:sz="4" w:space="0" w:color="auto"/>
              <w:bottom w:val="single" w:sz="4" w:space="0" w:color="auto"/>
              <w:right w:val="single" w:sz="4" w:space="0" w:color="auto"/>
            </w:tcBorders>
            <w:hideMark/>
          </w:tcPr>
          <w:p w14:paraId="14A56DF2"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tcPr>
          <w:p w14:paraId="2977A080"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6D552231"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760DADE1"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05D48927"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CSS</w:t>
            </w:r>
          </w:p>
        </w:tc>
      </w:tr>
      <w:tr w:rsidR="001627EC" w14:paraId="5C2506B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64F32256" w14:textId="77777777" w:rsidR="001627EC" w:rsidRDefault="001627EC">
            <w:pPr>
              <w:rPr>
                <w:rFonts w:asciiTheme="minorHAnsi" w:hAnsiTheme="minorHAnsi"/>
                <w:sz w:val="20"/>
                <w:szCs w:val="20"/>
              </w:rPr>
            </w:pPr>
            <w:r>
              <w:rPr>
                <w:rFonts w:asciiTheme="minorHAnsi" w:hAnsiTheme="minorHAnsi"/>
                <w:sz w:val="20"/>
                <w:szCs w:val="20"/>
              </w:rPr>
              <w:t>74500</w:t>
            </w:r>
          </w:p>
        </w:tc>
        <w:tc>
          <w:tcPr>
            <w:tcW w:w="2609" w:type="dxa"/>
            <w:tcBorders>
              <w:top w:val="single" w:sz="4" w:space="0" w:color="auto"/>
              <w:left w:val="single" w:sz="4" w:space="0" w:color="auto"/>
              <w:bottom w:val="single" w:sz="4" w:space="0" w:color="auto"/>
              <w:right w:val="single" w:sz="4" w:space="0" w:color="auto"/>
            </w:tcBorders>
            <w:hideMark/>
          </w:tcPr>
          <w:p w14:paraId="5E792D1C"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Meeting costs – LME Consultation</w:t>
            </w:r>
          </w:p>
        </w:tc>
        <w:tc>
          <w:tcPr>
            <w:tcW w:w="988" w:type="dxa"/>
            <w:tcBorders>
              <w:top w:val="single" w:sz="4" w:space="0" w:color="auto"/>
              <w:left w:val="single" w:sz="4" w:space="0" w:color="auto"/>
              <w:bottom w:val="single" w:sz="4" w:space="0" w:color="auto"/>
              <w:right w:val="single" w:sz="4" w:space="0" w:color="auto"/>
            </w:tcBorders>
            <w:hideMark/>
          </w:tcPr>
          <w:p w14:paraId="69C46C47"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2F7AC938"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148632A0"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hideMark/>
          </w:tcPr>
          <w:p w14:paraId="7B50F053" w14:textId="77777777" w:rsidR="001627EC" w:rsidRDefault="001627EC">
            <w:pPr>
              <w:rPr>
                <w:rFonts w:asciiTheme="minorHAnsi" w:hAnsiTheme="minorHAnsi"/>
                <w:sz w:val="20"/>
                <w:szCs w:val="20"/>
              </w:rPr>
            </w:pPr>
            <w:r>
              <w:rPr>
                <w:rFonts w:asciiTheme="minorHAnsi" w:hAnsiTheme="minorHAnsi"/>
                <w:sz w:val="20"/>
                <w:szCs w:val="20"/>
              </w:rPr>
              <w:t>5000</w:t>
            </w:r>
          </w:p>
        </w:tc>
        <w:tc>
          <w:tcPr>
            <w:tcW w:w="1624" w:type="dxa"/>
            <w:tcBorders>
              <w:top w:val="single" w:sz="4" w:space="0" w:color="auto"/>
              <w:left w:val="single" w:sz="4" w:space="0" w:color="auto"/>
              <w:bottom w:val="single" w:sz="4" w:space="0" w:color="auto"/>
              <w:right w:val="single" w:sz="4" w:space="0" w:color="auto"/>
            </w:tcBorders>
            <w:hideMark/>
          </w:tcPr>
          <w:p w14:paraId="6B2095F0" w14:textId="77777777" w:rsidR="001627EC" w:rsidRDefault="001627EC">
            <w:pPr>
              <w:rPr>
                <w:rFonts w:asciiTheme="minorHAnsi" w:hAnsiTheme="minorHAnsi"/>
                <w:sz w:val="20"/>
                <w:szCs w:val="20"/>
              </w:rPr>
            </w:pPr>
            <w:r>
              <w:rPr>
                <w:rFonts w:asciiTheme="minorHAnsi" w:hAnsiTheme="minorHAnsi"/>
                <w:sz w:val="20"/>
                <w:szCs w:val="20"/>
              </w:rPr>
              <w:t>Miscellaneous –catering, single source</w:t>
            </w:r>
          </w:p>
        </w:tc>
      </w:tr>
      <w:tr w:rsidR="001627EC" w14:paraId="57C1E2F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37F2499"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0FABC91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prepare gender mainstreaming inserts to TDA-SAP Methodology</w:t>
            </w:r>
          </w:p>
          <w:p w14:paraId="4C4D4F97"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4CF33975"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29F02309"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tcPr>
          <w:p w14:paraId="7C7CC876"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5A235FE9"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1A235007"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1C73F366"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442D60C5"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1BE63824"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TDA-SAP Modifications - Source to sea considerations</w:t>
            </w:r>
          </w:p>
          <w:p w14:paraId="6A0476FF"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4855FE23" w14:textId="77777777" w:rsidR="001627EC" w:rsidRDefault="001627EC">
            <w:pPr>
              <w:rPr>
                <w:rFonts w:asciiTheme="minorHAnsi" w:hAnsiTheme="minorHAnsi"/>
                <w:sz w:val="20"/>
                <w:szCs w:val="20"/>
              </w:rPr>
            </w:pPr>
            <w:r>
              <w:rPr>
                <w:rFonts w:asciiTheme="minorHAnsi" w:hAnsiTheme="minorHAnsi"/>
                <w:sz w:val="20"/>
                <w:szCs w:val="20"/>
              </w:rPr>
              <w:t>7500</w:t>
            </w:r>
          </w:p>
        </w:tc>
        <w:tc>
          <w:tcPr>
            <w:tcW w:w="988" w:type="dxa"/>
            <w:tcBorders>
              <w:top w:val="single" w:sz="4" w:space="0" w:color="auto"/>
              <w:left w:val="single" w:sz="4" w:space="0" w:color="auto"/>
              <w:bottom w:val="single" w:sz="4" w:space="0" w:color="auto"/>
              <w:right w:val="single" w:sz="4" w:space="0" w:color="auto"/>
            </w:tcBorders>
            <w:hideMark/>
          </w:tcPr>
          <w:p w14:paraId="260354F7" w14:textId="77777777" w:rsidR="001627EC" w:rsidRDefault="001627EC">
            <w:pPr>
              <w:rPr>
                <w:rFonts w:asciiTheme="minorHAnsi" w:hAnsiTheme="minorHAnsi"/>
                <w:sz w:val="20"/>
                <w:szCs w:val="20"/>
              </w:rPr>
            </w:pPr>
            <w:r>
              <w:rPr>
                <w:rFonts w:asciiTheme="minorHAnsi" w:hAnsiTheme="minorHAnsi"/>
                <w:sz w:val="20"/>
                <w:szCs w:val="20"/>
              </w:rPr>
              <w:t>7500</w:t>
            </w:r>
          </w:p>
        </w:tc>
        <w:tc>
          <w:tcPr>
            <w:tcW w:w="825" w:type="dxa"/>
            <w:tcBorders>
              <w:top w:val="single" w:sz="4" w:space="0" w:color="auto"/>
              <w:left w:val="single" w:sz="4" w:space="0" w:color="auto"/>
              <w:bottom w:val="single" w:sz="4" w:space="0" w:color="auto"/>
              <w:right w:val="single" w:sz="4" w:space="0" w:color="auto"/>
            </w:tcBorders>
          </w:tcPr>
          <w:p w14:paraId="68DF4FCF"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5A05AE5C"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6FEEA6C"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SIWI</w:t>
            </w:r>
          </w:p>
        </w:tc>
      </w:tr>
      <w:tr w:rsidR="001627EC" w14:paraId="5C609057" w14:textId="77777777" w:rsidTr="001627EC">
        <w:tc>
          <w:tcPr>
            <w:tcW w:w="9179"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274D5271" w14:textId="77777777" w:rsidR="001627EC" w:rsidRDefault="001627EC">
            <w:pPr>
              <w:rPr>
                <w:rFonts w:asciiTheme="minorHAnsi" w:hAnsiTheme="minorHAnsi"/>
                <w:sz w:val="20"/>
                <w:szCs w:val="20"/>
              </w:rPr>
            </w:pPr>
            <w:r>
              <w:rPr>
                <w:rFonts w:asciiTheme="minorHAnsi" w:hAnsiTheme="minorHAnsi"/>
                <w:sz w:val="20"/>
                <w:szCs w:val="20"/>
              </w:rPr>
              <w:t>COMPONENT FIVE</w:t>
            </w:r>
          </w:p>
        </w:tc>
      </w:tr>
      <w:tr w:rsidR="001627EC" w14:paraId="3C0B439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F8E4AE5" w14:textId="77777777" w:rsidR="001627EC" w:rsidRDefault="001627EC">
            <w:pPr>
              <w:rPr>
                <w:rFonts w:asciiTheme="minorHAnsi" w:hAnsiTheme="minorHAnsi"/>
                <w:sz w:val="20"/>
                <w:szCs w:val="20"/>
              </w:rPr>
            </w:pPr>
            <w:r>
              <w:rPr>
                <w:rFonts w:asciiTheme="minorHAnsi" w:hAnsiTheme="minorHAnsi"/>
                <w:sz w:val="20"/>
                <w:szCs w:val="20"/>
              </w:rPr>
              <w:t>71200</w:t>
            </w:r>
          </w:p>
        </w:tc>
        <w:tc>
          <w:tcPr>
            <w:tcW w:w="2609" w:type="dxa"/>
            <w:tcBorders>
              <w:top w:val="single" w:sz="4" w:space="0" w:color="auto"/>
              <w:left w:val="single" w:sz="4" w:space="0" w:color="auto"/>
              <w:bottom w:val="single" w:sz="4" w:space="0" w:color="auto"/>
              <w:right w:val="single" w:sz="4" w:space="0" w:color="auto"/>
            </w:tcBorders>
            <w:hideMark/>
          </w:tcPr>
          <w:p w14:paraId="10DC259C"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Consultant to facilitate PS Panel, Regional dialogue, Investment Forums, Info Hub</w:t>
            </w:r>
          </w:p>
        </w:tc>
        <w:tc>
          <w:tcPr>
            <w:tcW w:w="988" w:type="dxa"/>
            <w:tcBorders>
              <w:top w:val="single" w:sz="4" w:space="0" w:color="auto"/>
              <w:left w:val="single" w:sz="4" w:space="0" w:color="auto"/>
              <w:bottom w:val="single" w:sz="4" w:space="0" w:color="auto"/>
              <w:right w:val="single" w:sz="4" w:space="0" w:color="auto"/>
            </w:tcBorders>
            <w:hideMark/>
          </w:tcPr>
          <w:p w14:paraId="689B933B" w14:textId="77777777" w:rsidR="001627EC" w:rsidRDefault="001627EC">
            <w:pPr>
              <w:rPr>
                <w:rFonts w:asciiTheme="minorHAnsi" w:hAnsiTheme="minorHAnsi"/>
                <w:sz w:val="20"/>
                <w:szCs w:val="20"/>
              </w:rPr>
            </w:pPr>
            <w:r>
              <w:rPr>
                <w:rFonts w:asciiTheme="minorHAnsi" w:hAnsiTheme="minorHAnsi"/>
                <w:sz w:val="20"/>
                <w:szCs w:val="20"/>
              </w:rPr>
              <w:t>15000</w:t>
            </w:r>
          </w:p>
        </w:tc>
        <w:tc>
          <w:tcPr>
            <w:tcW w:w="988" w:type="dxa"/>
            <w:tcBorders>
              <w:top w:val="single" w:sz="4" w:space="0" w:color="auto"/>
              <w:left w:val="single" w:sz="4" w:space="0" w:color="auto"/>
              <w:bottom w:val="single" w:sz="4" w:space="0" w:color="auto"/>
              <w:right w:val="single" w:sz="4" w:space="0" w:color="auto"/>
            </w:tcBorders>
            <w:hideMark/>
          </w:tcPr>
          <w:p w14:paraId="336C3C2A" w14:textId="77777777" w:rsidR="001627EC" w:rsidRDefault="001627EC">
            <w:pPr>
              <w:rPr>
                <w:rFonts w:asciiTheme="minorHAnsi" w:hAnsiTheme="minorHAnsi"/>
                <w:sz w:val="20"/>
                <w:szCs w:val="20"/>
              </w:rPr>
            </w:pPr>
            <w:r>
              <w:rPr>
                <w:rFonts w:asciiTheme="minorHAnsi" w:hAnsiTheme="minorHAnsi"/>
                <w:sz w:val="20"/>
                <w:szCs w:val="20"/>
              </w:rPr>
              <w:t>15000</w:t>
            </w:r>
          </w:p>
        </w:tc>
        <w:tc>
          <w:tcPr>
            <w:tcW w:w="825" w:type="dxa"/>
            <w:tcBorders>
              <w:top w:val="single" w:sz="4" w:space="0" w:color="auto"/>
              <w:left w:val="single" w:sz="4" w:space="0" w:color="auto"/>
              <w:bottom w:val="single" w:sz="4" w:space="0" w:color="auto"/>
              <w:right w:val="single" w:sz="4" w:space="0" w:color="auto"/>
            </w:tcBorders>
            <w:hideMark/>
          </w:tcPr>
          <w:p w14:paraId="5A4CE927" w14:textId="77777777" w:rsidR="001627EC" w:rsidRDefault="001627EC">
            <w:pPr>
              <w:rPr>
                <w:rFonts w:asciiTheme="minorHAnsi" w:hAnsiTheme="minorHAnsi"/>
                <w:sz w:val="20"/>
                <w:szCs w:val="20"/>
              </w:rPr>
            </w:pPr>
            <w:r>
              <w:rPr>
                <w:rFonts w:asciiTheme="minorHAnsi" w:hAnsiTheme="minorHAnsi"/>
                <w:sz w:val="20"/>
                <w:szCs w:val="20"/>
              </w:rPr>
              <w:t>15000</w:t>
            </w:r>
          </w:p>
        </w:tc>
        <w:tc>
          <w:tcPr>
            <w:tcW w:w="1074" w:type="dxa"/>
            <w:tcBorders>
              <w:top w:val="single" w:sz="4" w:space="0" w:color="auto"/>
              <w:left w:val="single" w:sz="4" w:space="0" w:color="auto"/>
              <w:bottom w:val="single" w:sz="4" w:space="0" w:color="auto"/>
              <w:right w:val="single" w:sz="4" w:space="0" w:color="auto"/>
            </w:tcBorders>
            <w:hideMark/>
          </w:tcPr>
          <w:p w14:paraId="53996B76" w14:textId="77777777" w:rsidR="001627EC" w:rsidRDefault="001627EC">
            <w:pPr>
              <w:rPr>
                <w:rFonts w:asciiTheme="minorHAnsi" w:hAnsiTheme="minorHAnsi"/>
                <w:sz w:val="20"/>
                <w:szCs w:val="20"/>
              </w:rPr>
            </w:pPr>
            <w:r>
              <w:rPr>
                <w:rFonts w:asciiTheme="minorHAnsi" w:hAnsiTheme="minorHAnsi"/>
                <w:sz w:val="20"/>
                <w:szCs w:val="20"/>
              </w:rPr>
              <w:t>15000</w:t>
            </w:r>
          </w:p>
        </w:tc>
        <w:tc>
          <w:tcPr>
            <w:tcW w:w="1624" w:type="dxa"/>
            <w:tcBorders>
              <w:top w:val="single" w:sz="4" w:space="0" w:color="auto"/>
              <w:left w:val="single" w:sz="4" w:space="0" w:color="auto"/>
              <w:bottom w:val="single" w:sz="4" w:space="0" w:color="auto"/>
              <w:right w:val="single" w:sz="4" w:space="0" w:color="auto"/>
            </w:tcBorders>
            <w:hideMark/>
          </w:tcPr>
          <w:p w14:paraId="3FBC7618" w14:textId="77777777" w:rsidR="001627EC" w:rsidRDefault="001627EC">
            <w:pPr>
              <w:rPr>
                <w:rFonts w:asciiTheme="minorHAnsi" w:hAnsiTheme="minorHAnsi"/>
                <w:sz w:val="20"/>
                <w:szCs w:val="20"/>
              </w:rPr>
            </w:pPr>
            <w:r>
              <w:rPr>
                <w:rFonts w:asciiTheme="minorHAnsi" w:hAnsiTheme="minorHAnsi"/>
                <w:sz w:val="20"/>
                <w:szCs w:val="20"/>
              </w:rPr>
              <w:t>Request for quotation</w:t>
            </w:r>
          </w:p>
        </w:tc>
      </w:tr>
      <w:tr w:rsidR="001627EC" w:rsidRPr="001627EC" w14:paraId="37A1B47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172D05FF"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354BD111"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Partnering sessions for pre-selected GEF IW projects and the Alliance for Water Stewardship (AWS) and other interested private sector actors to identify common alignments for future co-financing opportunities</w:t>
            </w:r>
          </w:p>
          <w:p w14:paraId="38A05351"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tcPr>
          <w:p w14:paraId="79A9119B"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66155693"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5BA73B90"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39A4EE50"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0757353A"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WWF</w:t>
            </w:r>
          </w:p>
        </w:tc>
      </w:tr>
      <w:tr w:rsidR="001627EC" w14:paraId="761E457A"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5194C3CB"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53283409"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 xml:space="preserve">Organization of a Global workshop on financing </w:t>
            </w:r>
            <w:r>
              <w:rPr>
                <w:rFonts w:asciiTheme="minorHAnsi" w:hAnsiTheme="minorHAnsi" w:cs="Arial"/>
                <w:color w:val="000000"/>
                <w:sz w:val="20"/>
                <w:szCs w:val="20"/>
              </w:rPr>
              <w:lastRenderedPageBreak/>
              <w:t>transboundary water cooperation and basin development</w:t>
            </w:r>
          </w:p>
          <w:p w14:paraId="48612FAF" w14:textId="77777777" w:rsidR="001627EC" w:rsidRDefault="001627EC">
            <w:pPr>
              <w:rPr>
                <w:rFonts w:asciiTheme="minorHAnsi" w:hAnsiTheme="minorHAnsi" w:cs="Arial"/>
                <w:color w:val="000000"/>
                <w:sz w:val="20"/>
                <w:szCs w:val="20"/>
              </w:rPr>
            </w:pPr>
          </w:p>
          <w:p w14:paraId="536F346D"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Preparation of a publication on financing transboundary water cooperation in 2020-2021</w:t>
            </w:r>
            <w:r>
              <w:rPr>
                <w:rFonts w:asciiTheme="minorHAnsi" w:hAnsiTheme="minorHAnsi" w:cs="Arial"/>
                <w:color w:val="000000"/>
                <w:sz w:val="20"/>
                <w:szCs w:val="20"/>
              </w:rPr>
              <w:br/>
            </w:r>
            <w:r>
              <w:rPr>
                <w:rFonts w:asciiTheme="minorHAnsi" w:hAnsiTheme="minorHAnsi" w:cs="Arial"/>
                <w:color w:val="000000"/>
                <w:sz w:val="20"/>
                <w:szCs w:val="20"/>
              </w:rPr>
              <w:br/>
              <w:t>Online training course on sustainable financing approach for transboundary water projects, including specifically with the private sector</w:t>
            </w:r>
          </w:p>
        </w:tc>
        <w:tc>
          <w:tcPr>
            <w:tcW w:w="988" w:type="dxa"/>
            <w:tcBorders>
              <w:top w:val="single" w:sz="4" w:space="0" w:color="auto"/>
              <w:left w:val="single" w:sz="4" w:space="0" w:color="auto"/>
              <w:bottom w:val="single" w:sz="4" w:space="0" w:color="auto"/>
              <w:right w:val="single" w:sz="4" w:space="0" w:color="auto"/>
            </w:tcBorders>
            <w:hideMark/>
          </w:tcPr>
          <w:p w14:paraId="6C3B09FE" w14:textId="77777777" w:rsidR="001627EC" w:rsidRDefault="001627EC">
            <w:pPr>
              <w:rPr>
                <w:rFonts w:asciiTheme="minorHAnsi" w:hAnsiTheme="minorHAnsi"/>
                <w:sz w:val="20"/>
                <w:szCs w:val="20"/>
              </w:rPr>
            </w:pPr>
            <w:r>
              <w:rPr>
                <w:rFonts w:asciiTheme="minorHAnsi" w:hAnsiTheme="minorHAnsi"/>
                <w:sz w:val="20"/>
                <w:szCs w:val="20"/>
              </w:rPr>
              <w:lastRenderedPageBreak/>
              <w:t>12500</w:t>
            </w:r>
          </w:p>
        </w:tc>
        <w:tc>
          <w:tcPr>
            <w:tcW w:w="988" w:type="dxa"/>
            <w:tcBorders>
              <w:top w:val="single" w:sz="4" w:space="0" w:color="auto"/>
              <w:left w:val="single" w:sz="4" w:space="0" w:color="auto"/>
              <w:bottom w:val="single" w:sz="4" w:space="0" w:color="auto"/>
              <w:right w:val="single" w:sz="4" w:space="0" w:color="auto"/>
            </w:tcBorders>
            <w:hideMark/>
          </w:tcPr>
          <w:p w14:paraId="2FFB51A8" w14:textId="77777777" w:rsidR="001627EC" w:rsidRDefault="001627EC">
            <w:pPr>
              <w:rPr>
                <w:rFonts w:asciiTheme="minorHAnsi" w:hAnsiTheme="minorHAnsi"/>
                <w:sz w:val="20"/>
                <w:szCs w:val="20"/>
              </w:rPr>
            </w:pPr>
            <w:r>
              <w:rPr>
                <w:rFonts w:asciiTheme="minorHAnsi" w:hAnsiTheme="minorHAnsi"/>
                <w:sz w:val="20"/>
                <w:szCs w:val="20"/>
              </w:rPr>
              <w:t>12500</w:t>
            </w:r>
          </w:p>
        </w:tc>
        <w:tc>
          <w:tcPr>
            <w:tcW w:w="825" w:type="dxa"/>
            <w:tcBorders>
              <w:top w:val="single" w:sz="4" w:space="0" w:color="auto"/>
              <w:left w:val="single" w:sz="4" w:space="0" w:color="auto"/>
              <w:bottom w:val="single" w:sz="4" w:space="0" w:color="auto"/>
              <w:right w:val="single" w:sz="4" w:space="0" w:color="auto"/>
            </w:tcBorders>
            <w:hideMark/>
          </w:tcPr>
          <w:p w14:paraId="57786196" w14:textId="77777777" w:rsidR="001627EC" w:rsidRDefault="001627EC">
            <w:pPr>
              <w:rPr>
                <w:rFonts w:asciiTheme="minorHAnsi" w:hAnsiTheme="minorHAnsi"/>
                <w:sz w:val="20"/>
                <w:szCs w:val="20"/>
              </w:rPr>
            </w:pPr>
            <w:r>
              <w:rPr>
                <w:rFonts w:asciiTheme="minorHAnsi" w:hAnsiTheme="minorHAnsi"/>
                <w:sz w:val="20"/>
                <w:szCs w:val="20"/>
              </w:rPr>
              <w:t>12500</w:t>
            </w:r>
          </w:p>
        </w:tc>
        <w:tc>
          <w:tcPr>
            <w:tcW w:w="1074" w:type="dxa"/>
            <w:tcBorders>
              <w:top w:val="single" w:sz="4" w:space="0" w:color="auto"/>
              <w:left w:val="single" w:sz="4" w:space="0" w:color="auto"/>
              <w:bottom w:val="single" w:sz="4" w:space="0" w:color="auto"/>
              <w:right w:val="single" w:sz="4" w:space="0" w:color="auto"/>
            </w:tcBorders>
            <w:hideMark/>
          </w:tcPr>
          <w:p w14:paraId="4044A33D" w14:textId="77777777" w:rsidR="001627EC" w:rsidRDefault="001627EC">
            <w:pPr>
              <w:rPr>
                <w:rFonts w:asciiTheme="minorHAnsi" w:hAnsiTheme="minorHAnsi"/>
                <w:sz w:val="20"/>
                <w:szCs w:val="20"/>
              </w:rPr>
            </w:pPr>
            <w:r>
              <w:rPr>
                <w:rFonts w:asciiTheme="minorHAnsi" w:hAnsiTheme="minorHAnsi"/>
                <w:sz w:val="20"/>
                <w:szCs w:val="20"/>
              </w:rPr>
              <w:t>12500</w:t>
            </w:r>
          </w:p>
        </w:tc>
        <w:tc>
          <w:tcPr>
            <w:tcW w:w="1624" w:type="dxa"/>
            <w:tcBorders>
              <w:top w:val="single" w:sz="4" w:space="0" w:color="auto"/>
              <w:left w:val="single" w:sz="4" w:space="0" w:color="auto"/>
              <w:bottom w:val="single" w:sz="4" w:space="0" w:color="auto"/>
              <w:right w:val="single" w:sz="4" w:space="0" w:color="auto"/>
            </w:tcBorders>
            <w:hideMark/>
          </w:tcPr>
          <w:p w14:paraId="24373CA5" w14:textId="77777777" w:rsidR="001627EC" w:rsidRDefault="001627EC">
            <w:pPr>
              <w:rPr>
                <w:rFonts w:asciiTheme="minorHAnsi" w:hAnsiTheme="minorHAnsi"/>
                <w:sz w:val="20"/>
                <w:szCs w:val="20"/>
              </w:rPr>
            </w:pPr>
            <w:r>
              <w:rPr>
                <w:rFonts w:asciiTheme="minorHAnsi" w:hAnsiTheme="minorHAnsi"/>
                <w:sz w:val="20"/>
                <w:szCs w:val="20"/>
              </w:rPr>
              <w:t xml:space="preserve">UN2UN Interagency </w:t>
            </w:r>
            <w:r>
              <w:rPr>
                <w:rFonts w:asciiTheme="minorHAnsi" w:hAnsiTheme="minorHAnsi"/>
                <w:sz w:val="20"/>
                <w:szCs w:val="20"/>
              </w:rPr>
              <w:lastRenderedPageBreak/>
              <w:t>Agreement – UNECE</w:t>
            </w:r>
          </w:p>
        </w:tc>
      </w:tr>
      <w:tr w:rsidR="001627EC" w:rsidRPr="001627EC" w14:paraId="6315B49A"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025C5ABA" w14:textId="77777777" w:rsidR="001627EC" w:rsidRDefault="001627EC">
            <w:pPr>
              <w:rPr>
                <w:rFonts w:asciiTheme="minorHAnsi" w:hAnsiTheme="minorHAnsi"/>
                <w:sz w:val="20"/>
                <w:szCs w:val="20"/>
              </w:rPr>
            </w:pPr>
            <w:r>
              <w:rPr>
                <w:rFonts w:asciiTheme="minorHAnsi" w:hAnsiTheme="minorHAnsi"/>
                <w:sz w:val="20"/>
                <w:szCs w:val="20"/>
              </w:rPr>
              <w:lastRenderedPageBreak/>
              <w:t>72100</w:t>
            </w:r>
          </w:p>
        </w:tc>
        <w:tc>
          <w:tcPr>
            <w:tcW w:w="2609" w:type="dxa"/>
            <w:tcBorders>
              <w:top w:val="single" w:sz="4" w:space="0" w:color="auto"/>
              <w:left w:val="single" w:sz="4" w:space="0" w:color="auto"/>
              <w:bottom w:val="single" w:sz="4" w:space="0" w:color="auto"/>
              <w:right w:val="single" w:sz="4" w:space="0" w:color="auto"/>
            </w:tcBorders>
            <w:hideMark/>
          </w:tcPr>
          <w:p w14:paraId="2C11395C"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Development of the Nature Based Solution (NBS) methodology for the GEF IW context</w:t>
            </w:r>
          </w:p>
        </w:tc>
        <w:tc>
          <w:tcPr>
            <w:tcW w:w="988" w:type="dxa"/>
            <w:tcBorders>
              <w:top w:val="single" w:sz="4" w:space="0" w:color="auto"/>
              <w:left w:val="single" w:sz="4" w:space="0" w:color="auto"/>
              <w:bottom w:val="single" w:sz="4" w:space="0" w:color="auto"/>
              <w:right w:val="single" w:sz="4" w:space="0" w:color="auto"/>
            </w:tcBorders>
            <w:hideMark/>
          </w:tcPr>
          <w:p w14:paraId="2BD24336" w14:textId="77777777" w:rsidR="001627EC" w:rsidRDefault="001627EC">
            <w:pPr>
              <w:rPr>
                <w:rFonts w:asciiTheme="minorHAnsi" w:hAnsiTheme="minorHAnsi"/>
                <w:sz w:val="20"/>
                <w:szCs w:val="20"/>
              </w:rPr>
            </w:pPr>
            <w:r>
              <w:rPr>
                <w:rFonts w:asciiTheme="minorHAnsi" w:hAnsiTheme="minorHAnsi"/>
                <w:sz w:val="20"/>
                <w:szCs w:val="20"/>
              </w:rPr>
              <w:t>10000</w:t>
            </w:r>
          </w:p>
        </w:tc>
        <w:tc>
          <w:tcPr>
            <w:tcW w:w="988" w:type="dxa"/>
            <w:tcBorders>
              <w:top w:val="single" w:sz="4" w:space="0" w:color="auto"/>
              <w:left w:val="single" w:sz="4" w:space="0" w:color="auto"/>
              <w:bottom w:val="single" w:sz="4" w:space="0" w:color="auto"/>
              <w:right w:val="single" w:sz="4" w:space="0" w:color="auto"/>
            </w:tcBorders>
            <w:hideMark/>
          </w:tcPr>
          <w:p w14:paraId="3C692F5B" w14:textId="77777777" w:rsidR="001627EC" w:rsidRDefault="001627EC">
            <w:pPr>
              <w:rPr>
                <w:rFonts w:asciiTheme="minorHAnsi" w:hAnsiTheme="minorHAnsi"/>
                <w:sz w:val="20"/>
                <w:szCs w:val="20"/>
              </w:rPr>
            </w:pPr>
            <w:r>
              <w:rPr>
                <w:rFonts w:asciiTheme="minorHAnsi" w:hAnsiTheme="minorHAnsi"/>
                <w:sz w:val="20"/>
                <w:szCs w:val="20"/>
              </w:rPr>
              <w:t>10000</w:t>
            </w:r>
          </w:p>
        </w:tc>
        <w:tc>
          <w:tcPr>
            <w:tcW w:w="825" w:type="dxa"/>
            <w:tcBorders>
              <w:top w:val="single" w:sz="4" w:space="0" w:color="auto"/>
              <w:left w:val="single" w:sz="4" w:space="0" w:color="auto"/>
              <w:bottom w:val="single" w:sz="4" w:space="0" w:color="auto"/>
              <w:right w:val="single" w:sz="4" w:space="0" w:color="auto"/>
            </w:tcBorders>
          </w:tcPr>
          <w:p w14:paraId="2A4A8D80"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0923405E"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86919F6"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TNC</w:t>
            </w:r>
          </w:p>
        </w:tc>
      </w:tr>
      <w:tr w:rsidR="001627EC" w:rsidRPr="001627EC" w14:paraId="64FB2BC8"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52BE67AA" w14:textId="77777777" w:rsidR="001627EC" w:rsidRDefault="001627EC">
            <w:pPr>
              <w:rPr>
                <w:rFonts w:asciiTheme="minorHAnsi" w:hAnsiTheme="minorHAnsi"/>
                <w:sz w:val="20"/>
                <w:szCs w:val="20"/>
              </w:rPr>
            </w:pPr>
            <w:r>
              <w:rPr>
                <w:rFonts w:asciiTheme="minorHAnsi" w:hAnsiTheme="minorHAnsi"/>
                <w:sz w:val="20"/>
                <w:szCs w:val="20"/>
              </w:rPr>
              <w:t>72100</w:t>
            </w:r>
          </w:p>
        </w:tc>
        <w:tc>
          <w:tcPr>
            <w:tcW w:w="2609" w:type="dxa"/>
            <w:tcBorders>
              <w:top w:val="single" w:sz="4" w:space="0" w:color="auto"/>
              <w:left w:val="single" w:sz="4" w:space="0" w:color="auto"/>
              <w:bottom w:val="single" w:sz="4" w:space="0" w:color="auto"/>
              <w:right w:val="single" w:sz="4" w:space="0" w:color="auto"/>
            </w:tcBorders>
          </w:tcPr>
          <w:p w14:paraId="6D9BB7ED"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Preparation of sustainable financing toolkit for blue impact investment tailored towards GEF IW projects</w:t>
            </w:r>
            <w:r>
              <w:rPr>
                <w:rFonts w:asciiTheme="minorHAnsi" w:hAnsiTheme="minorHAnsi" w:cs="Arial"/>
                <w:color w:val="000000"/>
                <w:sz w:val="20"/>
                <w:szCs w:val="20"/>
              </w:rPr>
              <w:br/>
            </w:r>
            <w:r>
              <w:rPr>
                <w:rFonts w:asciiTheme="minorHAnsi" w:hAnsiTheme="minorHAnsi" w:cs="Arial"/>
                <w:color w:val="000000"/>
                <w:sz w:val="20"/>
                <w:szCs w:val="20"/>
              </w:rPr>
              <w:br/>
              <w:t>Online webinar on sustainable marine financing</w:t>
            </w:r>
          </w:p>
          <w:p w14:paraId="09EBF0C4" w14:textId="77777777" w:rsidR="001627EC" w:rsidRDefault="001627EC">
            <w:pPr>
              <w:rPr>
                <w:rFonts w:asciiTheme="minorHAnsi" w:hAnsiTheme="minorHAnsi" w:cs="Arial"/>
                <w:color w:val="000000"/>
                <w:sz w:val="20"/>
                <w:szCs w:val="20"/>
              </w:rPr>
            </w:pPr>
          </w:p>
        </w:tc>
        <w:tc>
          <w:tcPr>
            <w:tcW w:w="988" w:type="dxa"/>
            <w:tcBorders>
              <w:top w:val="single" w:sz="4" w:space="0" w:color="auto"/>
              <w:left w:val="single" w:sz="4" w:space="0" w:color="auto"/>
              <w:bottom w:val="single" w:sz="4" w:space="0" w:color="auto"/>
              <w:right w:val="single" w:sz="4" w:space="0" w:color="auto"/>
            </w:tcBorders>
            <w:hideMark/>
          </w:tcPr>
          <w:p w14:paraId="3B8057CF" w14:textId="77777777" w:rsidR="001627EC" w:rsidRDefault="001627EC">
            <w:pPr>
              <w:rPr>
                <w:rFonts w:asciiTheme="minorHAnsi" w:hAnsiTheme="minorHAnsi"/>
                <w:sz w:val="20"/>
                <w:szCs w:val="20"/>
              </w:rPr>
            </w:pPr>
            <w:r>
              <w:rPr>
                <w:rFonts w:asciiTheme="minorHAnsi" w:hAnsiTheme="minorHAnsi"/>
                <w:sz w:val="20"/>
                <w:szCs w:val="20"/>
              </w:rPr>
              <w:t>12500</w:t>
            </w:r>
          </w:p>
        </w:tc>
        <w:tc>
          <w:tcPr>
            <w:tcW w:w="988" w:type="dxa"/>
            <w:tcBorders>
              <w:top w:val="single" w:sz="4" w:space="0" w:color="auto"/>
              <w:left w:val="single" w:sz="4" w:space="0" w:color="auto"/>
              <w:bottom w:val="single" w:sz="4" w:space="0" w:color="auto"/>
              <w:right w:val="single" w:sz="4" w:space="0" w:color="auto"/>
            </w:tcBorders>
            <w:hideMark/>
          </w:tcPr>
          <w:p w14:paraId="45B57A6A" w14:textId="77777777" w:rsidR="001627EC" w:rsidRDefault="001627EC">
            <w:pPr>
              <w:rPr>
                <w:rFonts w:asciiTheme="minorHAnsi" w:hAnsiTheme="minorHAnsi"/>
                <w:sz w:val="20"/>
                <w:szCs w:val="20"/>
              </w:rPr>
            </w:pPr>
            <w:r>
              <w:rPr>
                <w:rFonts w:asciiTheme="minorHAnsi" w:hAnsiTheme="minorHAnsi"/>
                <w:sz w:val="20"/>
                <w:szCs w:val="20"/>
              </w:rPr>
              <w:t>12500</w:t>
            </w:r>
          </w:p>
        </w:tc>
        <w:tc>
          <w:tcPr>
            <w:tcW w:w="825" w:type="dxa"/>
            <w:tcBorders>
              <w:top w:val="single" w:sz="4" w:space="0" w:color="auto"/>
              <w:left w:val="single" w:sz="4" w:space="0" w:color="auto"/>
              <w:bottom w:val="single" w:sz="4" w:space="0" w:color="auto"/>
              <w:right w:val="single" w:sz="4" w:space="0" w:color="auto"/>
            </w:tcBorders>
            <w:hideMark/>
          </w:tcPr>
          <w:p w14:paraId="5E2602A8" w14:textId="77777777" w:rsidR="001627EC" w:rsidRDefault="001627EC">
            <w:pPr>
              <w:rPr>
                <w:rFonts w:asciiTheme="minorHAnsi" w:hAnsiTheme="minorHAnsi"/>
                <w:sz w:val="20"/>
                <w:szCs w:val="20"/>
              </w:rPr>
            </w:pPr>
            <w:r>
              <w:rPr>
                <w:rFonts w:asciiTheme="minorHAnsi" w:hAnsiTheme="minorHAnsi"/>
                <w:sz w:val="20"/>
                <w:szCs w:val="20"/>
              </w:rPr>
              <w:t>12500</w:t>
            </w:r>
          </w:p>
        </w:tc>
        <w:tc>
          <w:tcPr>
            <w:tcW w:w="1074" w:type="dxa"/>
            <w:tcBorders>
              <w:top w:val="single" w:sz="4" w:space="0" w:color="auto"/>
              <w:left w:val="single" w:sz="4" w:space="0" w:color="auto"/>
              <w:bottom w:val="single" w:sz="4" w:space="0" w:color="auto"/>
              <w:right w:val="single" w:sz="4" w:space="0" w:color="auto"/>
            </w:tcBorders>
            <w:hideMark/>
          </w:tcPr>
          <w:p w14:paraId="7340D22D" w14:textId="77777777" w:rsidR="001627EC" w:rsidRDefault="001627EC">
            <w:pPr>
              <w:rPr>
                <w:rFonts w:asciiTheme="minorHAnsi" w:hAnsiTheme="minorHAnsi"/>
                <w:sz w:val="20"/>
                <w:szCs w:val="20"/>
              </w:rPr>
            </w:pPr>
            <w:r>
              <w:rPr>
                <w:rFonts w:asciiTheme="minorHAnsi" w:hAnsiTheme="minorHAnsi"/>
                <w:sz w:val="20"/>
                <w:szCs w:val="20"/>
              </w:rPr>
              <w:t>12500</w:t>
            </w:r>
          </w:p>
        </w:tc>
        <w:tc>
          <w:tcPr>
            <w:tcW w:w="1624" w:type="dxa"/>
            <w:tcBorders>
              <w:top w:val="single" w:sz="4" w:space="0" w:color="auto"/>
              <w:left w:val="single" w:sz="4" w:space="0" w:color="auto"/>
              <w:bottom w:val="single" w:sz="4" w:space="0" w:color="auto"/>
              <w:right w:val="single" w:sz="4" w:space="0" w:color="auto"/>
            </w:tcBorders>
            <w:hideMark/>
          </w:tcPr>
          <w:p w14:paraId="18CBFED0" w14:textId="77777777" w:rsidR="001627EC" w:rsidRDefault="001627EC">
            <w:pPr>
              <w:rPr>
                <w:rFonts w:asciiTheme="minorHAnsi" w:hAnsiTheme="minorHAnsi"/>
                <w:sz w:val="20"/>
                <w:szCs w:val="20"/>
              </w:rPr>
            </w:pPr>
            <w:r>
              <w:rPr>
                <w:rFonts w:asciiTheme="minorHAnsi" w:hAnsiTheme="minorHAnsi"/>
                <w:sz w:val="20"/>
                <w:szCs w:val="20"/>
              </w:rPr>
              <w:t xml:space="preserve">UNESCO Implementing Partner Agreement based on </w:t>
            </w:r>
            <w:proofErr w:type="spellStart"/>
            <w:r>
              <w:rPr>
                <w:rFonts w:asciiTheme="minorHAnsi" w:hAnsiTheme="minorHAnsi"/>
                <w:sz w:val="20"/>
                <w:szCs w:val="20"/>
              </w:rPr>
              <w:t>Prodoc</w:t>
            </w:r>
            <w:proofErr w:type="spellEnd"/>
            <w:r>
              <w:rPr>
                <w:rFonts w:asciiTheme="minorHAnsi" w:hAnsiTheme="minorHAnsi"/>
                <w:sz w:val="20"/>
                <w:szCs w:val="20"/>
              </w:rPr>
              <w:t xml:space="preserve"> and </w:t>
            </w:r>
            <w:proofErr w:type="spellStart"/>
            <w:r>
              <w:rPr>
                <w:rFonts w:asciiTheme="minorHAnsi" w:hAnsiTheme="minorHAnsi"/>
                <w:sz w:val="20"/>
                <w:szCs w:val="20"/>
              </w:rPr>
              <w:t>Cofinance</w:t>
            </w:r>
            <w:proofErr w:type="spellEnd"/>
            <w:r>
              <w:rPr>
                <w:rFonts w:asciiTheme="minorHAnsi" w:hAnsiTheme="minorHAnsi"/>
                <w:sz w:val="20"/>
                <w:szCs w:val="20"/>
              </w:rPr>
              <w:t xml:space="preserve"> pledge – IUCN-Marine</w:t>
            </w:r>
          </w:p>
        </w:tc>
      </w:tr>
      <w:tr w:rsidR="001627EC" w14:paraId="22943DE3" w14:textId="77777777" w:rsidTr="001627EC">
        <w:tc>
          <w:tcPr>
            <w:tcW w:w="9179"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12CB76AB" w14:textId="77777777" w:rsidR="001627EC" w:rsidRDefault="001627EC">
            <w:pPr>
              <w:rPr>
                <w:rFonts w:asciiTheme="minorHAnsi" w:hAnsiTheme="minorHAnsi"/>
                <w:sz w:val="20"/>
                <w:szCs w:val="20"/>
              </w:rPr>
            </w:pPr>
            <w:r>
              <w:rPr>
                <w:rFonts w:asciiTheme="minorHAnsi" w:hAnsiTheme="minorHAnsi"/>
                <w:sz w:val="20"/>
                <w:szCs w:val="20"/>
              </w:rPr>
              <w:t>PROJECT MANAGEMENT</w:t>
            </w:r>
          </w:p>
        </w:tc>
      </w:tr>
      <w:tr w:rsidR="001627EC" w14:paraId="1B1794C5"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2C16F70C" w14:textId="77777777" w:rsidR="001627EC" w:rsidRDefault="001627EC">
            <w:pPr>
              <w:rPr>
                <w:rFonts w:asciiTheme="minorHAnsi" w:hAnsiTheme="minorHAnsi"/>
                <w:sz w:val="20"/>
                <w:szCs w:val="20"/>
              </w:rPr>
            </w:pPr>
            <w:r>
              <w:rPr>
                <w:rFonts w:asciiTheme="minorHAnsi" w:hAnsiTheme="minorHAnsi"/>
                <w:sz w:val="20"/>
                <w:szCs w:val="20"/>
              </w:rPr>
              <w:t>72400</w:t>
            </w:r>
          </w:p>
        </w:tc>
        <w:tc>
          <w:tcPr>
            <w:tcW w:w="2609" w:type="dxa"/>
            <w:tcBorders>
              <w:top w:val="single" w:sz="4" w:space="0" w:color="auto"/>
              <w:left w:val="single" w:sz="4" w:space="0" w:color="auto"/>
              <w:bottom w:val="single" w:sz="4" w:space="0" w:color="auto"/>
              <w:right w:val="single" w:sz="4" w:space="0" w:color="auto"/>
            </w:tcBorders>
            <w:hideMark/>
          </w:tcPr>
          <w:p w14:paraId="08104913"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Procurement of all suppliers needed to conduct virtual meetings and communications</w:t>
            </w:r>
          </w:p>
        </w:tc>
        <w:tc>
          <w:tcPr>
            <w:tcW w:w="988" w:type="dxa"/>
            <w:tcBorders>
              <w:top w:val="single" w:sz="4" w:space="0" w:color="auto"/>
              <w:left w:val="single" w:sz="4" w:space="0" w:color="auto"/>
              <w:bottom w:val="single" w:sz="4" w:space="0" w:color="auto"/>
              <w:right w:val="single" w:sz="4" w:space="0" w:color="auto"/>
            </w:tcBorders>
            <w:hideMark/>
          </w:tcPr>
          <w:p w14:paraId="73D01CD7" w14:textId="77777777" w:rsidR="001627EC" w:rsidRDefault="001627EC">
            <w:pPr>
              <w:rPr>
                <w:rFonts w:asciiTheme="minorHAnsi" w:hAnsiTheme="minorHAnsi"/>
                <w:sz w:val="20"/>
                <w:szCs w:val="20"/>
              </w:rPr>
            </w:pPr>
            <w:r>
              <w:rPr>
                <w:rFonts w:asciiTheme="minorHAnsi" w:hAnsiTheme="minorHAnsi"/>
                <w:sz w:val="20"/>
                <w:szCs w:val="20"/>
              </w:rPr>
              <w:t>2000</w:t>
            </w:r>
          </w:p>
        </w:tc>
        <w:tc>
          <w:tcPr>
            <w:tcW w:w="988" w:type="dxa"/>
            <w:tcBorders>
              <w:top w:val="single" w:sz="4" w:space="0" w:color="auto"/>
              <w:left w:val="single" w:sz="4" w:space="0" w:color="auto"/>
              <w:bottom w:val="single" w:sz="4" w:space="0" w:color="auto"/>
              <w:right w:val="single" w:sz="4" w:space="0" w:color="auto"/>
            </w:tcBorders>
            <w:hideMark/>
          </w:tcPr>
          <w:p w14:paraId="11EF5420" w14:textId="77777777" w:rsidR="001627EC" w:rsidRDefault="001627EC">
            <w:pPr>
              <w:rPr>
                <w:rFonts w:asciiTheme="minorHAnsi" w:hAnsiTheme="minorHAnsi"/>
                <w:sz w:val="20"/>
                <w:szCs w:val="20"/>
              </w:rPr>
            </w:pPr>
            <w:r>
              <w:rPr>
                <w:rFonts w:asciiTheme="minorHAnsi" w:hAnsiTheme="minorHAnsi"/>
                <w:sz w:val="20"/>
                <w:szCs w:val="20"/>
              </w:rPr>
              <w:t>2000</w:t>
            </w:r>
          </w:p>
        </w:tc>
        <w:tc>
          <w:tcPr>
            <w:tcW w:w="825" w:type="dxa"/>
            <w:tcBorders>
              <w:top w:val="single" w:sz="4" w:space="0" w:color="auto"/>
              <w:left w:val="single" w:sz="4" w:space="0" w:color="auto"/>
              <w:bottom w:val="single" w:sz="4" w:space="0" w:color="auto"/>
              <w:right w:val="single" w:sz="4" w:space="0" w:color="auto"/>
            </w:tcBorders>
            <w:hideMark/>
          </w:tcPr>
          <w:p w14:paraId="257B1862" w14:textId="77777777" w:rsidR="001627EC" w:rsidRDefault="001627EC">
            <w:pPr>
              <w:rPr>
                <w:rFonts w:asciiTheme="minorHAnsi" w:hAnsiTheme="minorHAnsi"/>
                <w:sz w:val="20"/>
                <w:szCs w:val="20"/>
              </w:rPr>
            </w:pPr>
            <w:r>
              <w:rPr>
                <w:rFonts w:asciiTheme="minorHAnsi" w:hAnsiTheme="minorHAnsi"/>
                <w:sz w:val="20"/>
                <w:szCs w:val="20"/>
              </w:rPr>
              <w:t>2000</w:t>
            </w:r>
          </w:p>
        </w:tc>
        <w:tc>
          <w:tcPr>
            <w:tcW w:w="1074" w:type="dxa"/>
            <w:tcBorders>
              <w:top w:val="single" w:sz="4" w:space="0" w:color="auto"/>
              <w:left w:val="single" w:sz="4" w:space="0" w:color="auto"/>
              <w:bottom w:val="single" w:sz="4" w:space="0" w:color="auto"/>
              <w:right w:val="single" w:sz="4" w:space="0" w:color="auto"/>
            </w:tcBorders>
            <w:hideMark/>
          </w:tcPr>
          <w:p w14:paraId="7E632963" w14:textId="77777777" w:rsidR="001627EC" w:rsidRDefault="001627EC">
            <w:pPr>
              <w:rPr>
                <w:rFonts w:asciiTheme="minorHAnsi" w:hAnsiTheme="minorHAnsi"/>
                <w:sz w:val="20"/>
                <w:szCs w:val="20"/>
              </w:rPr>
            </w:pPr>
            <w:r>
              <w:rPr>
                <w:rFonts w:asciiTheme="minorHAnsi" w:hAnsiTheme="minorHAnsi"/>
                <w:sz w:val="20"/>
                <w:szCs w:val="20"/>
              </w:rPr>
              <w:t>2000</w:t>
            </w:r>
          </w:p>
        </w:tc>
        <w:tc>
          <w:tcPr>
            <w:tcW w:w="1624" w:type="dxa"/>
            <w:tcBorders>
              <w:top w:val="single" w:sz="4" w:space="0" w:color="auto"/>
              <w:left w:val="single" w:sz="4" w:space="0" w:color="auto"/>
              <w:bottom w:val="single" w:sz="4" w:space="0" w:color="auto"/>
              <w:right w:val="single" w:sz="4" w:space="0" w:color="auto"/>
            </w:tcBorders>
            <w:hideMark/>
          </w:tcPr>
          <w:p w14:paraId="3D37A73D" w14:textId="77777777" w:rsidR="001627EC" w:rsidRDefault="001627EC">
            <w:pPr>
              <w:rPr>
                <w:rFonts w:asciiTheme="minorHAnsi" w:hAnsiTheme="minorHAnsi"/>
                <w:sz w:val="20"/>
                <w:szCs w:val="20"/>
              </w:rPr>
            </w:pPr>
            <w:r>
              <w:rPr>
                <w:rFonts w:asciiTheme="minorHAnsi" w:hAnsiTheme="minorHAnsi"/>
                <w:sz w:val="20"/>
                <w:szCs w:val="20"/>
              </w:rPr>
              <w:t>Under 5K procurement</w:t>
            </w:r>
          </w:p>
        </w:tc>
      </w:tr>
      <w:tr w:rsidR="001627EC" w14:paraId="45EFF2EB"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72B31996" w14:textId="77777777" w:rsidR="001627EC" w:rsidRDefault="001627EC">
            <w:pPr>
              <w:rPr>
                <w:rFonts w:asciiTheme="minorHAnsi" w:hAnsiTheme="minorHAnsi"/>
                <w:sz w:val="20"/>
                <w:szCs w:val="20"/>
              </w:rPr>
            </w:pPr>
            <w:r>
              <w:rPr>
                <w:rFonts w:asciiTheme="minorHAnsi" w:hAnsiTheme="minorHAnsi"/>
                <w:sz w:val="20"/>
                <w:szCs w:val="20"/>
              </w:rPr>
              <w:t>72500</w:t>
            </w:r>
          </w:p>
        </w:tc>
        <w:tc>
          <w:tcPr>
            <w:tcW w:w="2609" w:type="dxa"/>
            <w:tcBorders>
              <w:top w:val="single" w:sz="4" w:space="0" w:color="auto"/>
              <w:left w:val="single" w:sz="4" w:space="0" w:color="auto"/>
              <w:bottom w:val="single" w:sz="4" w:space="0" w:color="auto"/>
              <w:right w:val="single" w:sz="4" w:space="0" w:color="auto"/>
            </w:tcBorders>
            <w:hideMark/>
          </w:tcPr>
          <w:p w14:paraId="5BE98F65"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Procurement of external providers of video editing, animation, outreach and publication design materials</w:t>
            </w:r>
          </w:p>
        </w:tc>
        <w:tc>
          <w:tcPr>
            <w:tcW w:w="988" w:type="dxa"/>
            <w:tcBorders>
              <w:top w:val="single" w:sz="4" w:space="0" w:color="auto"/>
              <w:left w:val="single" w:sz="4" w:space="0" w:color="auto"/>
              <w:bottom w:val="single" w:sz="4" w:space="0" w:color="auto"/>
              <w:right w:val="single" w:sz="4" w:space="0" w:color="auto"/>
            </w:tcBorders>
            <w:hideMark/>
          </w:tcPr>
          <w:p w14:paraId="2A2EF1EE" w14:textId="77777777" w:rsidR="001627EC" w:rsidRDefault="001627EC">
            <w:pPr>
              <w:rPr>
                <w:rFonts w:asciiTheme="minorHAnsi" w:hAnsiTheme="minorHAnsi"/>
                <w:sz w:val="20"/>
                <w:szCs w:val="20"/>
              </w:rPr>
            </w:pPr>
            <w:r>
              <w:rPr>
                <w:rFonts w:asciiTheme="minorHAnsi" w:hAnsi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hideMark/>
          </w:tcPr>
          <w:p w14:paraId="660401F0" w14:textId="77777777" w:rsidR="001627EC" w:rsidRDefault="001627EC">
            <w:pPr>
              <w:rPr>
                <w:rFonts w:asciiTheme="minorHAnsi" w:hAnsiTheme="minorHAnsi"/>
                <w:sz w:val="20"/>
                <w:szCs w:val="20"/>
              </w:rPr>
            </w:pPr>
            <w:r>
              <w:rPr>
                <w:rFonts w:asciiTheme="minorHAnsi" w:hAnsiTheme="minorHAnsi"/>
                <w:sz w:val="20"/>
                <w:szCs w:val="20"/>
              </w:rPr>
              <w:t>5000</w:t>
            </w:r>
          </w:p>
        </w:tc>
        <w:tc>
          <w:tcPr>
            <w:tcW w:w="825" w:type="dxa"/>
            <w:tcBorders>
              <w:top w:val="single" w:sz="4" w:space="0" w:color="auto"/>
              <w:left w:val="single" w:sz="4" w:space="0" w:color="auto"/>
              <w:bottom w:val="single" w:sz="4" w:space="0" w:color="auto"/>
              <w:right w:val="single" w:sz="4" w:space="0" w:color="auto"/>
            </w:tcBorders>
            <w:hideMark/>
          </w:tcPr>
          <w:p w14:paraId="42CB4328" w14:textId="77777777" w:rsidR="001627EC" w:rsidRDefault="001627EC">
            <w:pPr>
              <w:rPr>
                <w:rFonts w:asciiTheme="minorHAnsi" w:hAnsiTheme="minorHAnsi"/>
                <w:sz w:val="20"/>
                <w:szCs w:val="20"/>
              </w:rPr>
            </w:pPr>
            <w:r>
              <w:rPr>
                <w:rFonts w:asciiTheme="minorHAnsi" w:hAnsiTheme="minorHAnsi"/>
                <w:sz w:val="20"/>
                <w:szCs w:val="20"/>
              </w:rPr>
              <w:t>5000</w:t>
            </w:r>
          </w:p>
        </w:tc>
        <w:tc>
          <w:tcPr>
            <w:tcW w:w="1074" w:type="dxa"/>
            <w:tcBorders>
              <w:top w:val="single" w:sz="4" w:space="0" w:color="auto"/>
              <w:left w:val="single" w:sz="4" w:space="0" w:color="auto"/>
              <w:bottom w:val="single" w:sz="4" w:space="0" w:color="auto"/>
              <w:right w:val="single" w:sz="4" w:space="0" w:color="auto"/>
            </w:tcBorders>
            <w:hideMark/>
          </w:tcPr>
          <w:p w14:paraId="0ADC2FC0" w14:textId="77777777" w:rsidR="001627EC" w:rsidRDefault="001627EC">
            <w:pPr>
              <w:rPr>
                <w:rFonts w:asciiTheme="minorHAnsi" w:hAnsiTheme="minorHAnsi"/>
                <w:sz w:val="20"/>
                <w:szCs w:val="20"/>
              </w:rPr>
            </w:pPr>
            <w:r>
              <w:rPr>
                <w:rFonts w:asciiTheme="minorHAnsi" w:hAnsiTheme="minorHAnsi"/>
                <w:sz w:val="20"/>
                <w:szCs w:val="20"/>
              </w:rPr>
              <w:t>5000</w:t>
            </w:r>
          </w:p>
        </w:tc>
        <w:tc>
          <w:tcPr>
            <w:tcW w:w="1624" w:type="dxa"/>
            <w:tcBorders>
              <w:top w:val="single" w:sz="4" w:space="0" w:color="auto"/>
              <w:left w:val="single" w:sz="4" w:space="0" w:color="auto"/>
              <w:bottom w:val="single" w:sz="4" w:space="0" w:color="auto"/>
              <w:right w:val="single" w:sz="4" w:space="0" w:color="auto"/>
            </w:tcBorders>
            <w:hideMark/>
          </w:tcPr>
          <w:p w14:paraId="3C20808A" w14:textId="77777777" w:rsidR="001627EC" w:rsidRDefault="001627EC">
            <w:pPr>
              <w:rPr>
                <w:rFonts w:asciiTheme="minorHAnsi" w:hAnsiTheme="minorHAnsi"/>
                <w:sz w:val="20"/>
                <w:szCs w:val="20"/>
              </w:rPr>
            </w:pPr>
            <w:r>
              <w:rPr>
                <w:rFonts w:asciiTheme="minorHAnsi" w:hAnsiTheme="minorHAnsi"/>
                <w:sz w:val="20"/>
                <w:szCs w:val="20"/>
              </w:rPr>
              <w:t>Under 5K procurement</w:t>
            </w:r>
          </w:p>
        </w:tc>
      </w:tr>
      <w:tr w:rsidR="001627EC" w14:paraId="1F52A2E9" w14:textId="77777777" w:rsidTr="001627EC">
        <w:tc>
          <w:tcPr>
            <w:tcW w:w="1071" w:type="dxa"/>
            <w:tcBorders>
              <w:top w:val="single" w:sz="4" w:space="0" w:color="auto"/>
              <w:left w:val="single" w:sz="4" w:space="0" w:color="auto"/>
              <w:bottom w:val="single" w:sz="4" w:space="0" w:color="auto"/>
              <w:right w:val="single" w:sz="4" w:space="0" w:color="auto"/>
            </w:tcBorders>
            <w:hideMark/>
          </w:tcPr>
          <w:p w14:paraId="2146F179" w14:textId="77777777" w:rsidR="001627EC" w:rsidRDefault="001627EC">
            <w:pPr>
              <w:rPr>
                <w:rFonts w:asciiTheme="minorHAnsi" w:hAnsiTheme="minorHAnsi"/>
                <w:sz w:val="20"/>
                <w:szCs w:val="20"/>
              </w:rPr>
            </w:pPr>
            <w:r>
              <w:rPr>
                <w:rFonts w:asciiTheme="minorHAnsi" w:hAnsiTheme="minorHAnsi"/>
                <w:sz w:val="20"/>
                <w:szCs w:val="20"/>
              </w:rPr>
              <w:t>74500</w:t>
            </w:r>
          </w:p>
        </w:tc>
        <w:tc>
          <w:tcPr>
            <w:tcW w:w="2609" w:type="dxa"/>
            <w:tcBorders>
              <w:top w:val="single" w:sz="4" w:space="0" w:color="auto"/>
              <w:left w:val="single" w:sz="4" w:space="0" w:color="auto"/>
              <w:bottom w:val="single" w:sz="4" w:space="0" w:color="auto"/>
              <w:right w:val="single" w:sz="4" w:space="0" w:color="auto"/>
            </w:tcBorders>
            <w:hideMark/>
          </w:tcPr>
          <w:p w14:paraId="39AA691A" w14:textId="77777777" w:rsidR="001627EC" w:rsidRDefault="001627EC">
            <w:pPr>
              <w:rPr>
                <w:rFonts w:asciiTheme="minorHAnsi" w:hAnsiTheme="minorHAnsi" w:cs="Arial"/>
                <w:color w:val="000000"/>
                <w:sz w:val="20"/>
                <w:szCs w:val="20"/>
              </w:rPr>
            </w:pPr>
            <w:r>
              <w:rPr>
                <w:rFonts w:asciiTheme="minorHAnsi" w:hAnsiTheme="minorHAnsi" w:cs="Arial"/>
                <w:color w:val="000000"/>
                <w:sz w:val="20"/>
                <w:szCs w:val="20"/>
              </w:rPr>
              <w:t>Procurement of single source printing and video editing services</w:t>
            </w:r>
          </w:p>
        </w:tc>
        <w:tc>
          <w:tcPr>
            <w:tcW w:w="988" w:type="dxa"/>
            <w:tcBorders>
              <w:top w:val="single" w:sz="4" w:space="0" w:color="auto"/>
              <w:left w:val="single" w:sz="4" w:space="0" w:color="auto"/>
              <w:bottom w:val="single" w:sz="4" w:space="0" w:color="auto"/>
              <w:right w:val="single" w:sz="4" w:space="0" w:color="auto"/>
            </w:tcBorders>
          </w:tcPr>
          <w:p w14:paraId="598EE27C" w14:textId="77777777" w:rsidR="001627EC" w:rsidRDefault="001627EC">
            <w:pPr>
              <w:rPr>
                <w:rFonts w:asciiTheme="minorHAnsi" w:hAnsiTheme="minorHAnsi"/>
                <w:sz w:val="20"/>
                <w:szCs w:val="20"/>
              </w:rPr>
            </w:pPr>
          </w:p>
        </w:tc>
        <w:tc>
          <w:tcPr>
            <w:tcW w:w="988" w:type="dxa"/>
            <w:tcBorders>
              <w:top w:val="single" w:sz="4" w:space="0" w:color="auto"/>
              <w:left w:val="single" w:sz="4" w:space="0" w:color="auto"/>
              <w:bottom w:val="single" w:sz="4" w:space="0" w:color="auto"/>
              <w:right w:val="single" w:sz="4" w:space="0" w:color="auto"/>
            </w:tcBorders>
          </w:tcPr>
          <w:p w14:paraId="5993994B" w14:textId="77777777" w:rsidR="001627EC" w:rsidRDefault="001627EC">
            <w:pPr>
              <w:rPr>
                <w:rFonts w:asciiTheme="minorHAnsi" w:hAnsi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0E6CC1D1" w14:textId="77777777" w:rsidR="001627EC" w:rsidRDefault="001627EC">
            <w:pPr>
              <w:rPr>
                <w:rFonts w:asciiTheme="minorHAnsi" w:hAnsiTheme="minorHAnsi"/>
                <w:sz w:val="20"/>
                <w:szCs w:val="20"/>
              </w:rPr>
            </w:pPr>
          </w:p>
        </w:tc>
        <w:tc>
          <w:tcPr>
            <w:tcW w:w="1074" w:type="dxa"/>
            <w:tcBorders>
              <w:top w:val="single" w:sz="4" w:space="0" w:color="auto"/>
              <w:left w:val="single" w:sz="4" w:space="0" w:color="auto"/>
              <w:bottom w:val="single" w:sz="4" w:space="0" w:color="auto"/>
              <w:right w:val="single" w:sz="4" w:space="0" w:color="auto"/>
            </w:tcBorders>
          </w:tcPr>
          <w:p w14:paraId="7D543428" w14:textId="77777777" w:rsidR="001627EC" w:rsidRDefault="001627EC">
            <w:pPr>
              <w:rPr>
                <w:rFonts w:asciiTheme="minorHAnsi" w:hAnsiTheme="minorHAnsi"/>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261DC71" w14:textId="77777777" w:rsidR="001627EC" w:rsidRDefault="001627EC">
            <w:pPr>
              <w:rPr>
                <w:rFonts w:asciiTheme="minorHAnsi" w:hAnsiTheme="minorHAnsi"/>
                <w:sz w:val="20"/>
                <w:szCs w:val="20"/>
              </w:rPr>
            </w:pPr>
            <w:r>
              <w:rPr>
                <w:rFonts w:asciiTheme="minorHAnsi" w:hAnsiTheme="minorHAnsi"/>
                <w:sz w:val="20"/>
                <w:szCs w:val="20"/>
              </w:rPr>
              <w:t>Miscellaneous –catering, single source</w:t>
            </w:r>
          </w:p>
        </w:tc>
      </w:tr>
    </w:tbl>
    <w:p w14:paraId="59E52629" w14:textId="10DE228A" w:rsidR="002B55C1" w:rsidRPr="001627EC" w:rsidRDefault="002B55C1" w:rsidP="001627EC">
      <w:pPr>
        <w:rPr>
          <w:b/>
          <w:bCs/>
          <w:szCs w:val="22"/>
        </w:rPr>
      </w:pPr>
      <w:r>
        <w:br w:type="page"/>
      </w:r>
    </w:p>
    <w:p w14:paraId="45F9D1B2" w14:textId="66E63041" w:rsidR="002B55C1" w:rsidRDefault="002B55C1" w:rsidP="002B55C1">
      <w:pPr>
        <w:pStyle w:val="Heading2"/>
        <w:rPr>
          <w:rFonts w:asciiTheme="minorHAnsi" w:hAnsiTheme="minorHAnsi" w:cstheme="minorHAnsi"/>
          <w:b/>
          <w:bCs/>
          <w:color w:val="000000" w:themeColor="text1"/>
          <w:sz w:val="28"/>
          <w:szCs w:val="28"/>
        </w:rPr>
      </w:pPr>
      <w:bookmarkStart w:id="68" w:name="_Toc115094403"/>
      <w:r w:rsidRPr="002B55C1">
        <w:rPr>
          <w:rFonts w:asciiTheme="minorHAnsi" w:hAnsiTheme="minorHAnsi" w:cstheme="minorHAnsi"/>
          <w:b/>
          <w:bCs/>
          <w:color w:val="000000" w:themeColor="text1"/>
          <w:sz w:val="28"/>
          <w:szCs w:val="28"/>
        </w:rPr>
        <w:lastRenderedPageBreak/>
        <w:t>Annex 10: GEF Core indicators</w:t>
      </w:r>
      <w:bookmarkEnd w:id="68"/>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922"/>
        <w:gridCol w:w="843"/>
        <w:gridCol w:w="15"/>
        <w:gridCol w:w="14"/>
        <w:gridCol w:w="873"/>
        <w:gridCol w:w="1220"/>
        <w:gridCol w:w="8"/>
        <w:gridCol w:w="1411"/>
        <w:gridCol w:w="18"/>
        <w:gridCol w:w="1189"/>
        <w:gridCol w:w="1272"/>
      </w:tblGrid>
      <w:tr w:rsidR="00A21E64" w14:paraId="376DF10B"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4D994AA6"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0CD1AF41"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Terrestrial protected areas created or under improved management for conservation and sustainable use</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633D0822"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(Hectares)</w:t>
            </w:r>
          </w:p>
        </w:tc>
      </w:tr>
      <w:tr w:rsidR="00A21E64" w14:paraId="700DBF3E"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FC51408" w14:textId="77777777" w:rsidR="00A21E64" w:rsidRDefault="00A21E64">
            <w:pPr>
              <w:rPr>
                <w:rFonts w:asciiTheme="minorHAnsi" w:hAnsiTheme="minorHAnsi" w:cstheme="minorHAnsi"/>
                <w:sz w:val="18"/>
                <w:szCs w:val="18"/>
              </w:rPr>
            </w:pPr>
            <w:bookmarkStart w:id="69" w:name="bookmark=id.2u6wntf"/>
            <w:bookmarkEnd w:id="69"/>
          </w:p>
        </w:tc>
        <w:tc>
          <w:tcPr>
            <w:tcW w:w="2665" w:type="dxa"/>
            <w:gridSpan w:val="5"/>
            <w:tcBorders>
              <w:top w:val="single" w:sz="4" w:space="0" w:color="000000"/>
              <w:left w:val="single" w:sz="4" w:space="0" w:color="000000"/>
              <w:bottom w:val="single" w:sz="4" w:space="0" w:color="000000"/>
              <w:right w:val="single" w:sz="4" w:space="0" w:color="000000"/>
            </w:tcBorders>
          </w:tcPr>
          <w:p w14:paraId="169E3300"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E175467"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Hectares (1.1+1.2)</w:t>
            </w:r>
          </w:p>
        </w:tc>
      </w:tr>
      <w:tr w:rsidR="00A21E64" w14:paraId="2254E3CF"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A6EA6D5"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62031637"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2B7817D8"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39378778"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Achieved</w:t>
            </w:r>
          </w:p>
        </w:tc>
      </w:tr>
      <w:tr w:rsidR="00A21E64" w14:paraId="0FB68D55"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DB42E2E"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745C541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15136EE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25920E0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6F2FE26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1B0E53EE"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TE</w:t>
            </w:r>
          </w:p>
        </w:tc>
      </w:tr>
      <w:tr w:rsidR="00A21E64" w14:paraId="24113686"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958AE5F"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A26711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7FCC6AF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60319FF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6AD28CC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2A6FF4DB"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090DC78"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436578A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1.1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26D2DE4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Terrestrial protected areas newly created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02A5754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10FA9E5"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vAlign w:val="center"/>
            <w:hideMark/>
          </w:tcPr>
          <w:p w14:paraId="7066997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Name of Protected Area</w:t>
            </w:r>
          </w:p>
        </w:tc>
        <w:tc>
          <w:tcPr>
            <w:tcW w:w="922" w:type="dxa"/>
            <w:vMerge w:val="restart"/>
            <w:tcBorders>
              <w:top w:val="single" w:sz="4" w:space="0" w:color="000000"/>
              <w:left w:val="single" w:sz="4" w:space="0" w:color="000000"/>
              <w:bottom w:val="single" w:sz="4" w:space="0" w:color="000000"/>
              <w:right w:val="single" w:sz="4" w:space="0" w:color="000000"/>
            </w:tcBorders>
            <w:vAlign w:val="center"/>
            <w:hideMark/>
          </w:tcPr>
          <w:p w14:paraId="2B1B8CE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WDPA ID</w:t>
            </w:r>
          </w:p>
        </w:tc>
        <w:tc>
          <w:tcPr>
            <w:tcW w:w="17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AFA609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IUCN category</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258BB2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15FAE40B"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0F585EA"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61F460A"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18CEB3EB"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4CD9006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3BF08A6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3BF0EB08"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50B442D"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C434572"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BCBEAC0"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8F9946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29BF064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0611AA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484937D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0CA5B963" w14:textId="77777777" w:rsidTr="00A21E64">
        <w:trPr>
          <w:trHeight w:val="125"/>
        </w:trPr>
        <w:tc>
          <w:tcPr>
            <w:tcW w:w="1230" w:type="dxa"/>
            <w:tcBorders>
              <w:top w:val="single" w:sz="4" w:space="0" w:color="000000"/>
              <w:left w:val="single" w:sz="4" w:space="0" w:color="000000"/>
              <w:bottom w:val="single" w:sz="4" w:space="0" w:color="000000"/>
              <w:right w:val="single" w:sz="4" w:space="0" w:color="000000"/>
            </w:tcBorders>
            <w:hideMark/>
          </w:tcPr>
          <w:p w14:paraId="2475724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48AD64C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3F012554"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A01CFF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22944FB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EC3B5B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51E0B5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A3474E9"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4CC5C7F5" w14:textId="77777777" w:rsidR="00A21E64" w:rsidRDefault="00A21E64">
            <w:pPr>
              <w:rPr>
                <w:rFonts w:asciiTheme="minorHAnsi" w:hAnsiTheme="minorHAnsi" w:cstheme="minorHAnsi"/>
                <w:sz w:val="18"/>
                <w:szCs w:val="18"/>
              </w:rPr>
            </w:pPr>
            <w:bookmarkStart w:id="70" w:name="bookmark=id.19c6y18"/>
            <w:bookmarkEnd w:id="70"/>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5A94D64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1AEE08B7"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8D1058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5CF17D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34D170B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1DEC4E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1743933"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975E1D2"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A64DA3B"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5A14D1F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Sum</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BC7C3F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9B6201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0AF9FD4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33766E5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A98DC5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42C356C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1.2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5AE611A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Terrestrial protected areas under improved management effectiveness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73FEDF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8950672"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vAlign w:val="center"/>
            <w:hideMark/>
          </w:tcPr>
          <w:p w14:paraId="5549FDF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Name of Protected Area</w:t>
            </w:r>
          </w:p>
        </w:tc>
        <w:tc>
          <w:tcPr>
            <w:tcW w:w="922" w:type="dxa"/>
            <w:vMerge w:val="restart"/>
            <w:tcBorders>
              <w:top w:val="single" w:sz="4" w:space="0" w:color="000000"/>
              <w:left w:val="single" w:sz="4" w:space="0" w:color="000000"/>
              <w:bottom w:val="single" w:sz="4" w:space="0" w:color="000000"/>
              <w:right w:val="single" w:sz="4" w:space="0" w:color="000000"/>
            </w:tcBorders>
            <w:vAlign w:val="center"/>
            <w:hideMark/>
          </w:tcPr>
          <w:p w14:paraId="12A129C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WDPA ID</w:t>
            </w:r>
          </w:p>
        </w:tc>
        <w:tc>
          <w:tcPr>
            <w:tcW w:w="85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BCC757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IUCN category</w:t>
            </w:r>
          </w:p>
        </w:tc>
        <w:tc>
          <w:tcPr>
            <w:tcW w:w="886"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DC3E6B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F77F8E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METT Score </w:t>
            </w:r>
          </w:p>
        </w:tc>
      </w:tr>
      <w:tr w:rsidR="00A21E64" w14:paraId="1A7ACC85"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8250A4C"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3008D902" w14:textId="77777777" w:rsidR="00A21E64" w:rsidRDefault="00A21E64">
            <w:pPr>
              <w:rPr>
                <w:rFonts w:asciiTheme="minorHAnsi" w:hAnsiTheme="minorHAnsi" w:cstheme="minorHAnsi"/>
                <w:sz w:val="18"/>
                <w:szCs w:val="18"/>
              </w:rPr>
            </w:pPr>
          </w:p>
        </w:tc>
        <w:tc>
          <w:tcPr>
            <w:tcW w:w="2644" w:type="dxa"/>
            <w:gridSpan w:val="2"/>
            <w:vMerge/>
            <w:tcBorders>
              <w:top w:val="single" w:sz="4" w:space="0" w:color="000000"/>
              <w:left w:val="single" w:sz="4" w:space="0" w:color="000000"/>
              <w:bottom w:val="single" w:sz="4" w:space="0" w:color="000000"/>
              <w:right w:val="single" w:sz="4" w:space="0" w:color="000000"/>
            </w:tcBorders>
            <w:vAlign w:val="center"/>
            <w:hideMark/>
          </w:tcPr>
          <w:p w14:paraId="5E79DB92" w14:textId="77777777" w:rsidR="00A21E64" w:rsidRDefault="00A21E64">
            <w:pPr>
              <w:rPr>
                <w:rFonts w:asciiTheme="minorHAnsi" w:hAnsiTheme="minorHAnsi" w:cstheme="minorHAnsi"/>
                <w:sz w:val="18"/>
                <w:szCs w:val="18"/>
              </w:rPr>
            </w:pPr>
          </w:p>
        </w:tc>
        <w:tc>
          <w:tcPr>
            <w:tcW w:w="1758" w:type="dxa"/>
            <w:gridSpan w:val="2"/>
            <w:vMerge/>
            <w:tcBorders>
              <w:top w:val="single" w:sz="4" w:space="0" w:color="000000"/>
              <w:left w:val="single" w:sz="4" w:space="0" w:color="000000"/>
              <w:bottom w:val="single" w:sz="4" w:space="0" w:color="000000"/>
              <w:right w:val="single" w:sz="4" w:space="0" w:color="000000"/>
            </w:tcBorders>
            <w:vAlign w:val="center"/>
            <w:hideMark/>
          </w:tcPr>
          <w:p w14:paraId="03E95293"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29117F6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Baseline</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1F51A6D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7164FDFF"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7404BD3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4DAE773" w14:textId="77777777" w:rsidR="00A21E64" w:rsidRDefault="00A21E64">
            <w:pPr>
              <w:rPr>
                <w:rFonts w:asciiTheme="minorHAnsi" w:hAnsiTheme="minorHAnsi" w:cstheme="minorHAnsi"/>
                <w:sz w:val="18"/>
                <w:szCs w:val="18"/>
              </w:rPr>
            </w:pPr>
          </w:p>
        </w:tc>
        <w:tc>
          <w:tcPr>
            <w:tcW w:w="2644" w:type="dxa"/>
            <w:gridSpan w:val="2"/>
            <w:vMerge/>
            <w:tcBorders>
              <w:top w:val="single" w:sz="4" w:space="0" w:color="000000"/>
              <w:left w:val="single" w:sz="4" w:space="0" w:color="000000"/>
              <w:bottom w:val="single" w:sz="4" w:space="0" w:color="000000"/>
              <w:right w:val="single" w:sz="4" w:space="0" w:color="000000"/>
            </w:tcBorders>
            <w:vAlign w:val="center"/>
            <w:hideMark/>
          </w:tcPr>
          <w:p w14:paraId="0CEE214A" w14:textId="77777777" w:rsidR="00A21E64" w:rsidRDefault="00A21E64">
            <w:pPr>
              <w:rPr>
                <w:rFonts w:asciiTheme="minorHAnsi" w:hAnsiTheme="minorHAnsi" w:cstheme="minorHAnsi"/>
                <w:sz w:val="18"/>
                <w:szCs w:val="18"/>
              </w:rPr>
            </w:pPr>
          </w:p>
        </w:tc>
        <w:tc>
          <w:tcPr>
            <w:tcW w:w="1758" w:type="dxa"/>
            <w:gridSpan w:val="2"/>
            <w:vMerge/>
            <w:tcBorders>
              <w:top w:val="single" w:sz="4" w:space="0" w:color="000000"/>
              <w:left w:val="single" w:sz="4" w:space="0" w:color="000000"/>
              <w:bottom w:val="single" w:sz="4" w:space="0" w:color="000000"/>
              <w:right w:val="single" w:sz="4" w:space="0" w:color="000000"/>
            </w:tcBorders>
            <w:vAlign w:val="center"/>
            <w:hideMark/>
          </w:tcPr>
          <w:p w14:paraId="267FC6C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tcPr>
          <w:p w14:paraId="0EF8E722"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DC7B0F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0DD7EC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7C5559D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044D9FCE"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4A711EF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70BCCE6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842" w:type="dxa"/>
            <w:tcBorders>
              <w:top w:val="single" w:sz="4" w:space="0" w:color="000000"/>
              <w:left w:val="single" w:sz="4" w:space="0" w:color="000000"/>
              <w:bottom w:val="single" w:sz="4" w:space="0" w:color="000000"/>
              <w:right w:val="single" w:sz="4" w:space="0" w:color="000000"/>
            </w:tcBorders>
            <w:hideMark/>
          </w:tcPr>
          <w:p w14:paraId="164730DE"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901" w:type="dxa"/>
            <w:gridSpan w:val="3"/>
            <w:tcBorders>
              <w:top w:val="single" w:sz="4" w:space="0" w:color="000000"/>
              <w:left w:val="single" w:sz="4" w:space="0" w:color="000000"/>
              <w:bottom w:val="single" w:sz="4" w:space="0" w:color="000000"/>
              <w:right w:val="single" w:sz="4" w:space="0" w:color="000000"/>
            </w:tcBorders>
            <w:hideMark/>
          </w:tcPr>
          <w:p w14:paraId="442A7A6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2CA6C5BE"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4FCDB5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376B5B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3C2576D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D28E4A1"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30F8590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427D694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842" w:type="dxa"/>
            <w:tcBorders>
              <w:top w:val="single" w:sz="4" w:space="0" w:color="000000"/>
              <w:left w:val="single" w:sz="4" w:space="0" w:color="000000"/>
              <w:bottom w:val="single" w:sz="4" w:space="0" w:color="000000"/>
              <w:right w:val="single" w:sz="4" w:space="0" w:color="000000"/>
            </w:tcBorders>
            <w:hideMark/>
          </w:tcPr>
          <w:p w14:paraId="603C4738"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901" w:type="dxa"/>
            <w:gridSpan w:val="3"/>
            <w:tcBorders>
              <w:top w:val="single" w:sz="4" w:space="0" w:color="000000"/>
              <w:left w:val="single" w:sz="4" w:space="0" w:color="000000"/>
              <w:bottom w:val="single" w:sz="4" w:space="0" w:color="000000"/>
              <w:right w:val="single" w:sz="4" w:space="0" w:color="000000"/>
            </w:tcBorders>
            <w:hideMark/>
          </w:tcPr>
          <w:p w14:paraId="0385104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22CF3576"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242C16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601E4C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1B2A32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5A37ED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4D7E4CF"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69719763" w14:textId="77777777" w:rsidR="00A21E64" w:rsidRDefault="00A21E64">
            <w:pPr>
              <w:rPr>
                <w:rFonts w:asciiTheme="minorHAnsi" w:hAnsiTheme="minorHAnsi" w:cstheme="minorHAnsi"/>
                <w:sz w:val="18"/>
                <w:szCs w:val="18"/>
              </w:rPr>
            </w:pPr>
          </w:p>
        </w:tc>
        <w:tc>
          <w:tcPr>
            <w:tcW w:w="842" w:type="dxa"/>
            <w:tcBorders>
              <w:top w:val="single" w:sz="4" w:space="0" w:color="000000"/>
              <w:left w:val="single" w:sz="4" w:space="0" w:color="000000"/>
              <w:bottom w:val="single" w:sz="4" w:space="0" w:color="000000"/>
              <w:right w:val="single" w:sz="4" w:space="0" w:color="000000"/>
            </w:tcBorders>
            <w:hideMark/>
          </w:tcPr>
          <w:p w14:paraId="45C9A80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Sum</w:t>
            </w:r>
          </w:p>
        </w:tc>
        <w:tc>
          <w:tcPr>
            <w:tcW w:w="901" w:type="dxa"/>
            <w:gridSpan w:val="3"/>
            <w:tcBorders>
              <w:top w:val="single" w:sz="4" w:space="0" w:color="000000"/>
              <w:left w:val="single" w:sz="4" w:space="0" w:color="000000"/>
              <w:bottom w:val="single" w:sz="4" w:space="0" w:color="000000"/>
              <w:right w:val="single" w:sz="4" w:space="0" w:color="000000"/>
            </w:tcBorders>
            <w:hideMark/>
          </w:tcPr>
          <w:p w14:paraId="643FE01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0183EFFB"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tcPr>
          <w:p w14:paraId="3D9A10B4" w14:textId="77777777" w:rsidR="00A21E64" w:rsidRDefault="00A21E64">
            <w:pPr>
              <w:rPr>
                <w:rFonts w:asciiTheme="minorHAnsi" w:hAnsiTheme="minorHAnsi" w:cstheme="minorHAnsi"/>
                <w:sz w:val="18"/>
                <w:szCs w:val="18"/>
              </w:rPr>
            </w:pPr>
          </w:p>
        </w:tc>
        <w:tc>
          <w:tcPr>
            <w:tcW w:w="1188" w:type="dxa"/>
            <w:tcBorders>
              <w:top w:val="single" w:sz="4" w:space="0" w:color="000000"/>
              <w:left w:val="single" w:sz="4" w:space="0" w:color="000000"/>
              <w:bottom w:val="single" w:sz="4" w:space="0" w:color="000000"/>
              <w:right w:val="single" w:sz="4" w:space="0" w:color="000000"/>
            </w:tcBorders>
          </w:tcPr>
          <w:p w14:paraId="5A7F9CC9" w14:textId="77777777" w:rsidR="00A21E64" w:rsidRDefault="00A21E64">
            <w:pPr>
              <w:rPr>
                <w:rFonts w:asciiTheme="minorHAnsi" w:hAnsiTheme="minorHAnsi" w:cstheme="minorHAnsi"/>
                <w:sz w:val="18"/>
                <w:szCs w:val="18"/>
              </w:rPr>
            </w:pPr>
          </w:p>
        </w:tc>
        <w:tc>
          <w:tcPr>
            <w:tcW w:w="1271" w:type="dxa"/>
            <w:tcBorders>
              <w:top w:val="single" w:sz="4" w:space="0" w:color="000000"/>
              <w:left w:val="single" w:sz="4" w:space="0" w:color="000000"/>
              <w:bottom w:val="single" w:sz="4" w:space="0" w:color="000000"/>
              <w:right w:val="single" w:sz="4" w:space="0" w:color="000000"/>
            </w:tcBorders>
          </w:tcPr>
          <w:p w14:paraId="6CAEB6B0" w14:textId="77777777" w:rsidR="00A21E64" w:rsidRDefault="00A21E64">
            <w:pPr>
              <w:rPr>
                <w:rFonts w:asciiTheme="minorHAnsi" w:hAnsiTheme="minorHAnsi" w:cstheme="minorHAnsi"/>
                <w:sz w:val="18"/>
                <w:szCs w:val="18"/>
              </w:rPr>
            </w:pPr>
          </w:p>
        </w:tc>
      </w:tr>
      <w:tr w:rsidR="00A21E64" w14:paraId="74BC1826"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6C44DB95"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28A8E428"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Marine protected areas created or under improved management for conservation and sustainable use</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7245A446"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(Hectares)</w:t>
            </w:r>
          </w:p>
        </w:tc>
      </w:tr>
      <w:tr w:rsidR="00A21E64" w14:paraId="03C1FD3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EF75A6B"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2254BB60"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27A51922"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Hectares (2.1+2.2)</w:t>
            </w:r>
          </w:p>
        </w:tc>
      </w:tr>
      <w:tr w:rsidR="00A21E64" w14:paraId="0C71D6D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41C65AC"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10755BE4"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0152FC98"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67B100A0"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Achieved</w:t>
            </w:r>
          </w:p>
        </w:tc>
      </w:tr>
      <w:tr w:rsidR="00A21E64" w14:paraId="41369CA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64AC2F5"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7D25D8DD" w14:textId="77777777" w:rsidR="00A21E64" w:rsidRDefault="00A21E64">
            <w:pPr>
              <w:rPr>
                <w:rFonts w:asciiTheme="minorHAnsi" w:hAnsiTheme="minorHAnsi" w:cstheme="minorHAns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F2F2F2"/>
            <w:hideMark/>
          </w:tcPr>
          <w:p w14:paraId="2FFD886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36"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2C66A37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Endorsement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789A1A7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4AF557D0"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TE</w:t>
            </w:r>
          </w:p>
        </w:tc>
      </w:tr>
      <w:tr w:rsidR="00A21E64" w14:paraId="185B58B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724A78E"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43CDA37" w14:textId="77777777" w:rsidR="00A21E64" w:rsidRDefault="00A21E64">
            <w:pPr>
              <w:rPr>
                <w:rFonts w:asciiTheme="minorHAnsi" w:hAnsiTheme="minorHAnsi" w:cstheme="minorHAns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F2F2F2"/>
            <w:hideMark/>
          </w:tcPr>
          <w:p w14:paraId="2D8C2B7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36"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756CA35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63C3070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4BF1DA95"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E98D55F"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0366AB5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2.1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14C6DF3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Marine protected areas newly created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2C6D77C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26346DC"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vAlign w:val="center"/>
            <w:hideMark/>
          </w:tcPr>
          <w:p w14:paraId="483E93A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Name of Protected Area</w:t>
            </w:r>
          </w:p>
        </w:tc>
        <w:tc>
          <w:tcPr>
            <w:tcW w:w="922" w:type="dxa"/>
            <w:vMerge w:val="restart"/>
            <w:tcBorders>
              <w:top w:val="single" w:sz="4" w:space="0" w:color="000000"/>
              <w:left w:val="single" w:sz="4" w:space="0" w:color="000000"/>
              <w:bottom w:val="single" w:sz="4" w:space="0" w:color="000000"/>
              <w:right w:val="single" w:sz="4" w:space="0" w:color="000000"/>
            </w:tcBorders>
            <w:vAlign w:val="center"/>
            <w:hideMark/>
          </w:tcPr>
          <w:p w14:paraId="23B4188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WDPA ID</w:t>
            </w:r>
          </w:p>
        </w:tc>
        <w:tc>
          <w:tcPr>
            <w:tcW w:w="17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F1EEF1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IUCN category</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70C6B6E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13766B5D"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5A22D7B"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39B78D11"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51ABA6A8"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412560E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52048BD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0322E8DE" w14:textId="77777777" w:rsidTr="00A21E64">
        <w:trPr>
          <w:trHeight w:val="71"/>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1018C9A"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37BC429"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E215F6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1555AF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28F954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95E1BE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1A60803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093CECD4"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6D4C32E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1F4AF41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1981D053"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421B0B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B84DE3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34D518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83E4DD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A1F4024"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01562BA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61D566B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52D1FAB5"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C8BC59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928623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D4D87F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265E56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6C0F7B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7BEC9218"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3DADADF0"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4AF6968B"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Sum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0FA41D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BBCABC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017911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326135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FE996A5"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53EB7AF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2.2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0BD9805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Marine protected areas under improved management effectiveness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321D7A4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4290199"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vAlign w:val="center"/>
            <w:hideMark/>
          </w:tcPr>
          <w:p w14:paraId="2F44F40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Name of Protected Area</w:t>
            </w:r>
          </w:p>
        </w:tc>
        <w:tc>
          <w:tcPr>
            <w:tcW w:w="922" w:type="dxa"/>
            <w:vMerge w:val="restart"/>
            <w:tcBorders>
              <w:top w:val="single" w:sz="4" w:space="0" w:color="000000"/>
              <w:left w:val="single" w:sz="4" w:space="0" w:color="000000"/>
              <w:bottom w:val="single" w:sz="4" w:space="0" w:color="000000"/>
              <w:right w:val="single" w:sz="4" w:space="0" w:color="000000"/>
            </w:tcBorders>
            <w:vAlign w:val="center"/>
            <w:hideMark/>
          </w:tcPr>
          <w:p w14:paraId="0352CAA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WDPA ID</w:t>
            </w:r>
          </w:p>
        </w:tc>
        <w:tc>
          <w:tcPr>
            <w:tcW w:w="871"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A35F45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IUCN category</w:t>
            </w:r>
          </w:p>
        </w:tc>
        <w:tc>
          <w:tcPr>
            <w:tcW w:w="872" w:type="dxa"/>
            <w:vMerge w:val="restart"/>
            <w:tcBorders>
              <w:top w:val="single" w:sz="4" w:space="0" w:color="000000"/>
              <w:left w:val="single" w:sz="4" w:space="0" w:color="000000"/>
              <w:bottom w:val="single" w:sz="4" w:space="0" w:color="000000"/>
              <w:right w:val="single" w:sz="4" w:space="0" w:color="000000"/>
            </w:tcBorders>
            <w:vAlign w:val="center"/>
            <w:hideMark/>
          </w:tcPr>
          <w:p w14:paraId="22EA740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1771647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METT Score </w:t>
            </w:r>
          </w:p>
        </w:tc>
      </w:tr>
      <w:tr w:rsidR="00A21E64" w14:paraId="764C16B7"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642F43E4"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044C5EAB" w14:textId="77777777" w:rsidR="00A21E64" w:rsidRDefault="00A21E64">
            <w:pPr>
              <w:rPr>
                <w:rFonts w:asciiTheme="minorHAnsi" w:hAnsiTheme="minorHAnsi" w:cstheme="minorHAnsi"/>
                <w:sz w:val="18"/>
                <w:szCs w:val="18"/>
              </w:rPr>
            </w:pPr>
          </w:p>
        </w:tc>
        <w:tc>
          <w:tcPr>
            <w:tcW w:w="3530" w:type="dxa"/>
            <w:gridSpan w:val="3"/>
            <w:vMerge/>
            <w:tcBorders>
              <w:top w:val="single" w:sz="4" w:space="0" w:color="000000"/>
              <w:left w:val="single" w:sz="4" w:space="0" w:color="000000"/>
              <w:bottom w:val="single" w:sz="4" w:space="0" w:color="000000"/>
              <w:right w:val="single" w:sz="4" w:space="0" w:color="000000"/>
            </w:tcBorders>
            <w:vAlign w:val="center"/>
            <w:hideMark/>
          </w:tcPr>
          <w:p w14:paraId="00D87BA0" w14:textId="77777777" w:rsidR="00A21E64" w:rsidRDefault="00A21E64">
            <w:pPr>
              <w:rPr>
                <w:rFonts w:asciiTheme="minorHAnsi" w:hAnsiTheme="minorHAnsi" w:cstheme="minorHAnsi"/>
                <w:sz w:val="18"/>
                <w:szCs w:val="18"/>
              </w:rPr>
            </w:pPr>
          </w:p>
        </w:tc>
        <w:tc>
          <w:tcPr>
            <w:tcW w:w="872" w:type="dxa"/>
            <w:vMerge/>
            <w:tcBorders>
              <w:top w:val="single" w:sz="4" w:space="0" w:color="000000"/>
              <w:left w:val="single" w:sz="4" w:space="0" w:color="000000"/>
              <w:bottom w:val="single" w:sz="4" w:space="0" w:color="000000"/>
              <w:right w:val="single" w:sz="4" w:space="0" w:color="000000"/>
            </w:tcBorders>
            <w:vAlign w:val="center"/>
            <w:hideMark/>
          </w:tcPr>
          <w:p w14:paraId="0C0B50C4"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2926260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Baseline</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378EA49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4AFA1733" w14:textId="77777777" w:rsidTr="00A21E64">
        <w:trPr>
          <w:trHeight w:val="18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6010704D"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1B123B2" w14:textId="77777777" w:rsidR="00A21E64" w:rsidRDefault="00A21E64">
            <w:pPr>
              <w:rPr>
                <w:rFonts w:asciiTheme="minorHAnsi" w:hAnsiTheme="minorHAnsi" w:cstheme="minorHAnsi"/>
                <w:sz w:val="18"/>
                <w:szCs w:val="18"/>
              </w:rPr>
            </w:pPr>
          </w:p>
        </w:tc>
        <w:tc>
          <w:tcPr>
            <w:tcW w:w="3530" w:type="dxa"/>
            <w:gridSpan w:val="3"/>
            <w:vMerge/>
            <w:tcBorders>
              <w:top w:val="single" w:sz="4" w:space="0" w:color="000000"/>
              <w:left w:val="single" w:sz="4" w:space="0" w:color="000000"/>
              <w:bottom w:val="single" w:sz="4" w:space="0" w:color="000000"/>
              <w:right w:val="single" w:sz="4" w:space="0" w:color="000000"/>
            </w:tcBorders>
            <w:vAlign w:val="center"/>
            <w:hideMark/>
          </w:tcPr>
          <w:p w14:paraId="33B348D1" w14:textId="77777777" w:rsidR="00A21E64" w:rsidRDefault="00A21E64">
            <w:pPr>
              <w:rPr>
                <w:rFonts w:asciiTheme="minorHAnsi" w:hAnsiTheme="minorHAnsi" w:cstheme="minorHAnsi"/>
                <w:sz w:val="18"/>
                <w:szCs w:val="18"/>
              </w:rPr>
            </w:pPr>
          </w:p>
        </w:tc>
        <w:tc>
          <w:tcPr>
            <w:tcW w:w="872" w:type="dxa"/>
            <w:vMerge/>
            <w:tcBorders>
              <w:top w:val="single" w:sz="4" w:space="0" w:color="000000"/>
              <w:left w:val="single" w:sz="4" w:space="0" w:color="000000"/>
              <w:bottom w:val="single" w:sz="4" w:space="0" w:color="000000"/>
              <w:right w:val="single" w:sz="4" w:space="0" w:color="000000"/>
            </w:tcBorders>
            <w:vAlign w:val="center"/>
            <w:hideMark/>
          </w:tcPr>
          <w:p w14:paraId="7FFD5C27"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5C5496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C9D59A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6B85D4E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08449AF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1C01B59D"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7758EA1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2918BFF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871" w:type="dxa"/>
            <w:gridSpan w:val="3"/>
            <w:tcBorders>
              <w:top w:val="single" w:sz="4" w:space="0" w:color="000000"/>
              <w:left w:val="single" w:sz="4" w:space="0" w:color="000000"/>
              <w:bottom w:val="single" w:sz="4" w:space="0" w:color="000000"/>
              <w:right w:val="single" w:sz="4" w:space="0" w:color="000000"/>
            </w:tcBorders>
            <w:hideMark/>
          </w:tcPr>
          <w:p w14:paraId="3589DB5F"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04B1A78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2E749B9E"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A82D15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7A6DC3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75BE8D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CCEF38B"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08A1129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922" w:type="dxa"/>
            <w:tcBorders>
              <w:top w:val="single" w:sz="4" w:space="0" w:color="000000"/>
              <w:left w:val="single" w:sz="4" w:space="0" w:color="000000"/>
              <w:bottom w:val="single" w:sz="4" w:space="0" w:color="000000"/>
              <w:right w:val="single" w:sz="4" w:space="0" w:color="000000"/>
            </w:tcBorders>
            <w:hideMark/>
          </w:tcPr>
          <w:p w14:paraId="2652FA6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871" w:type="dxa"/>
            <w:gridSpan w:val="3"/>
            <w:tcBorders>
              <w:top w:val="single" w:sz="4" w:space="0" w:color="000000"/>
              <w:left w:val="single" w:sz="4" w:space="0" w:color="000000"/>
              <w:bottom w:val="single" w:sz="4" w:space="0" w:color="000000"/>
              <w:right w:val="single" w:sz="4" w:space="0" w:color="000000"/>
            </w:tcBorders>
            <w:hideMark/>
          </w:tcPr>
          <w:p w14:paraId="585E240D"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872" w:type="dxa"/>
            <w:tcBorders>
              <w:top w:val="single" w:sz="4" w:space="0" w:color="000000"/>
              <w:left w:val="single" w:sz="4" w:space="0" w:color="000000"/>
              <w:bottom w:val="single" w:sz="4" w:space="0" w:color="000000"/>
              <w:right w:val="single" w:sz="4" w:space="0" w:color="000000"/>
            </w:tcBorders>
            <w:hideMark/>
          </w:tcPr>
          <w:p w14:paraId="2E99FB9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6456774C"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42B807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3EC379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81E487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046CBB2"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A61EE11" w14:textId="77777777" w:rsidR="00A21E64" w:rsidRDefault="00A21E64">
            <w:pPr>
              <w:rPr>
                <w:rFonts w:asciiTheme="minorHAnsi" w:hAnsiTheme="minorHAnsi" w:cstheme="minorHAnsi"/>
                <w:i/>
                <w:color w:val="000000"/>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59F6E275" w14:textId="77777777" w:rsidR="00A21E64" w:rsidRDefault="00A21E64">
            <w:pPr>
              <w:rPr>
                <w:rFonts w:asciiTheme="minorHAnsi" w:hAnsiTheme="minorHAnsi" w:cstheme="minorHAnsi"/>
                <w:i/>
                <w:color w:val="000000"/>
                <w:sz w:val="18"/>
                <w:szCs w:val="18"/>
              </w:rPr>
            </w:pPr>
          </w:p>
        </w:tc>
        <w:tc>
          <w:tcPr>
            <w:tcW w:w="871" w:type="dxa"/>
            <w:gridSpan w:val="3"/>
            <w:tcBorders>
              <w:top w:val="single" w:sz="4" w:space="0" w:color="000000"/>
              <w:left w:val="single" w:sz="4" w:space="0" w:color="000000"/>
              <w:bottom w:val="single" w:sz="4" w:space="0" w:color="000000"/>
              <w:right w:val="single" w:sz="4" w:space="0" w:color="000000"/>
            </w:tcBorders>
            <w:hideMark/>
          </w:tcPr>
          <w:p w14:paraId="6F5A8C00"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Sum</w:t>
            </w:r>
          </w:p>
        </w:tc>
        <w:tc>
          <w:tcPr>
            <w:tcW w:w="872" w:type="dxa"/>
            <w:tcBorders>
              <w:top w:val="single" w:sz="4" w:space="0" w:color="000000"/>
              <w:left w:val="single" w:sz="4" w:space="0" w:color="000000"/>
              <w:bottom w:val="single" w:sz="4" w:space="0" w:color="000000"/>
              <w:right w:val="single" w:sz="4" w:space="0" w:color="000000"/>
            </w:tcBorders>
            <w:hideMark/>
          </w:tcPr>
          <w:p w14:paraId="7FB9D29C" w14:textId="77777777" w:rsidR="00A21E64" w:rsidRDefault="00A21E64">
            <w:pPr>
              <w:rPr>
                <w:rFonts w:asciiTheme="minorHAnsi" w:hAnsiTheme="minorHAnsi" w:cstheme="minorHAns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16D19932" w14:textId="77777777" w:rsidR="00A21E64" w:rsidRDefault="00A21E64">
            <w:pPr>
              <w:rPr>
                <w:rFonts w:asciiTheme="minorHAnsi" w:hAnsiTheme="minorHAnsi" w:cstheme="minorHAnsi"/>
                <w:i/>
                <w:color w:val="000000"/>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tcPr>
          <w:p w14:paraId="01EEC3A6" w14:textId="77777777" w:rsidR="00A21E64" w:rsidRDefault="00A21E64">
            <w:pPr>
              <w:rPr>
                <w:rFonts w:asciiTheme="minorHAnsi" w:hAnsiTheme="minorHAnsi" w:cstheme="minorHAnsi"/>
                <w:i/>
                <w:color w:val="000000"/>
                <w:sz w:val="18"/>
                <w:szCs w:val="18"/>
              </w:rPr>
            </w:pPr>
          </w:p>
        </w:tc>
        <w:tc>
          <w:tcPr>
            <w:tcW w:w="1188" w:type="dxa"/>
            <w:tcBorders>
              <w:top w:val="single" w:sz="4" w:space="0" w:color="000000"/>
              <w:left w:val="single" w:sz="4" w:space="0" w:color="000000"/>
              <w:bottom w:val="single" w:sz="4" w:space="0" w:color="000000"/>
              <w:right w:val="single" w:sz="4" w:space="0" w:color="000000"/>
            </w:tcBorders>
          </w:tcPr>
          <w:p w14:paraId="3FD4586C" w14:textId="77777777" w:rsidR="00A21E64" w:rsidRDefault="00A21E64">
            <w:pPr>
              <w:rPr>
                <w:rFonts w:asciiTheme="minorHAnsi" w:hAnsiTheme="minorHAnsi" w:cstheme="minorHAnsi"/>
                <w:i/>
                <w:color w:val="000000"/>
                <w:sz w:val="18"/>
                <w:szCs w:val="18"/>
              </w:rPr>
            </w:pPr>
          </w:p>
        </w:tc>
        <w:tc>
          <w:tcPr>
            <w:tcW w:w="1271" w:type="dxa"/>
            <w:tcBorders>
              <w:top w:val="single" w:sz="4" w:space="0" w:color="000000"/>
              <w:left w:val="single" w:sz="4" w:space="0" w:color="000000"/>
              <w:bottom w:val="single" w:sz="4" w:space="0" w:color="000000"/>
              <w:right w:val="single" w:sz="4" w:space="0" w:color="000000"/>
            </w:tcBorders>
          </w:tcPr>
          <w:p w14:paraId="50510C04" w14:textId="77777777" w:rsidR="00A21E64" w:rsidRDefault="00A21E64">
            <w:pPr>
              <w:rPr>
                <w:rFonts w:asciiTheme="minorHAnsi" w:hAnsiTheme="minorHAnsi" w:cstheme="minorHAnsi"/>
                <w:i/>
                <w:color w:val="000000"/>
                <w:sz w:val="18"/>
                <w:szCs w:val="18"/>
              </w:rPr>
            </w:pPr>
          </w:p>
        </w:tc>
      </w:tr>
      <w:tr w:rsidR="00A21E64" w14:paraId="00425639"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47014820"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3</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1738D303"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Area of land restored</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7A03D654"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(Hectares)</w:t>
            </w:r>
          </w:p>
        </w:tc>
      </w:tr>
      <w:tr w:rsidR="00A21E64" w14:paraId="43962FB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BF26602"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6D400F07"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D8D5F84"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Hectares (3.1+3.2+3.3+3.4)</w:t>
            </w:r>
          </w:p>
        </w:tc>
      </w:tr>
      <w:tr w:rsidR="00A21E64" w14:paraId="77F3AB2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73B1FE89"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E7EB34D"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2DB1493F"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553B92D"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Achieved</w:t>
            </w:r>
          </w:p>
        </w:tc>
      </w:tr>
      <w:tr w:rsidR="00A21E64" w14:paraId="1E0DC7AA"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9FA76D2"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78AD4D3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2B77817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22AF318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360B42A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69091F97"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TE</w:t>
            </w:r>
          </w:p>
        </w:tc>
      </w:tr>
      <w:tr w:rsidR="00A21E64" w14:paraId="68BF81C7"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1B17624"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600DEB17"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1100AB0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61AEAF1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05800D5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1C8D032C"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190D34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15E2A47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3.1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32CCDFD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degraded agricultural land restored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78B34CA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31E2E62"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7C060336"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0DB62635"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1FE46ED6"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197CC85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2F35DA53"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17E646B6"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833772D"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96FE8FD"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054A24A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086BEB7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61C0CAA0" w14:textId="77777777" w:rsidTr="00A21E64">
        <w:trPr>
          <w:trHeight w:val="143"/>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00579AB"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D1974F5"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44A89AB1"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343614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AF7A6A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9C02D0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4C8D3F4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42062E8E"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C2A3B6F"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3B36ECF6"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452D78D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C81203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0BE284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A1C62D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E08C8A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34CCAA2"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234E032"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41899323"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55DE8FA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63A577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739F02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4BF016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EA5A23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01EFAE6"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4067A9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3.2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379A1FF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forest and forest land restored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2EC82AC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1E9DBE2"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4F8C3022"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501F5561"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5D1B3996"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787D170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10CEE396"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33A553AE"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888074F"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458D5E61"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5B6A92A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2289856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1409FAFA" w14:textId="77777777" w:rsidTr="00A21E64">
        <w:trPr>
          <w:trHeight w:val="215"/>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6BFDA2F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C60F341"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E61009F"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A619EE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E1A57F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03AD7A3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13687F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7F31C75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DEDF4CD"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CD54E38"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E26637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1C334C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8CDBBD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7AC34B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46F5C3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F73637E"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3B8CC70"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5387C651"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AD00544"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966D48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8F3015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D86AA4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23FAA4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7319DCC"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8BCB77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lastRenderedPageBreak/>
              <w:t>Indicator 3.3</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7AD7DA4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natural grass and shrublands restored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5DE961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211ED29"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157F449F"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4E78535D"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7922FB30"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E0B499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05EA6AB4"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4C3FB30"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0D882A3F"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3BC96324"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37ED350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2217CB9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213C4D27" w14:textId="77777777" w:rsidTr="00A21E64">
        <w:trPr>
          <w:trHeight w:val="107"/>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D0C1EC3"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504C821"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437E50B0"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FEA3A5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7CD039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4F102FA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B009AB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1BD2EBC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1688F83"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43564CDC"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0CF7D9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311283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440F8E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B99D33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747E2C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6D8FDDC"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5AC90F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4841C20C"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DBE254C"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2A98D6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DA29C7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25A026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21A526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0E5A5E9"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1D8FA7B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3.4</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2B227D5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wetlands (including estuaries, mangroves) restored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653016C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1F7BDF9"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051A8D2D"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66A6AD4C"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2353198E"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608281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4C364309"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83FC057"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0C29D01"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50DE935"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61B878C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7CFE8B6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4EE4E5AF" w14:textId="77777777" w:rsidTr="00A21E64">
        <w:trPr>
          <w:trHeight w:val="197"/>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8B683AA"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CE5F0F7"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4C5A164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714DCC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666D9B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2BA50D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60BD07E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4D0DC6D2"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E4C5054"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0B2739F"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290A4AB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AE131E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C4492E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6DC4B14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DD12F3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13C785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4913EB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731F661D"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69D67D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FA6508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A6CB45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7506C1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35078F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72CB9CD"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07E068D6"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4</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47229011"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Area of landscapes under improved practices (hectares; excluding protected areas)</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13FDB59B"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(Hectares)</w:t>
            </w:r>
          </w:p>
        </w:tc>
      </w:tr>
      <w:tr w:rsidR="00A21E64" w14:paraId="5A1D8B09"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9E0B3AE"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1C59FB9F"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316BB55"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Hectares (4.1+4.2+4.3+4.4)</w:t>
            </w:r>
          </w:p>
        </w:tc>
      </w:tr>
      <w:tr w:rsidR="00A21E64" w14:paraId="28506EB5"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A6BCC56"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548AC094"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6A0AD697"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3CD73D1E"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Expected</w:t>
            </w:r>
          </w:p>
        </w:tc>
      </w:tr>
      <w:tr w:rsidR="00A21E64" w14:paraId="311F32D9"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0B3E22F"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7FF8E309"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A2AD8C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28CB956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25303A7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46407040"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TE</w:t>
            </w:r>
          </w:p>
        </w:tc>
      </w:tr>
      <w:tr w:rsidR="00A21E64" w14:paraId="34B71412"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4EE8261"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1D0C8B06"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53E191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3A55F5E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0EC86C2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39E8D819"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B7E48BE"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6E89B9F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4.1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34B0719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landscapes under improved management to benefit biodiversity</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700218C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F17B2C4"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56B95399"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1EC905BA"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20ED6EB0"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FBC1FA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3CB5F600" w14:textId="77777777" w:rsidTr="00A21E64">
        <w:trPr>
          <w:trHeight w:val="125"/>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B320CA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5A1B470A"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3814091"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7096F72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6A93A1E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70D9FBC7" w14:textId="77777777" w:rsidTr="00A21E64">
        <w:trPr>
          <w:trHeight w:val="80"/>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BAB3FDC"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3BD96F0"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B5461FB"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F3FD07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E2E6AC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55C361F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4392C69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5ED4A44F"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759CE877"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F8F2215"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511B350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BCF211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4365D3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64A3786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E4EC47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4C4FC90"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EB04DD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6CA6A3C4"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4FE589AB"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3DF3B8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5FAFAF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87B930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7C53D1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765A270"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1419E10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4.2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3FDB872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landscapes that meet national or international third-party certification that incorporates biodiversity considerations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63DD2F1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85746B4" w14:textId="77777777" w:rsidTr="00A21E64">
        <w:trPr>
          <w:trHeight w:val="125"/>
        </w:trPr>
        <w:tc>
          <w:tcPr>
            <w:tcW w:w="3895" w:type="dxa"/>
            <w:gridSpan w:val="6"/>
            <w:vMerge w:val="restart"/>
            <w:tcBorders>
              <w:top w:val="single" w:sz="4" w:space="0" w:color="000000"/>
              <w:left w:val="single" w:sz="4" w:space="0" w:color="000000"/>
              <w:bottom w:val="single" w:sz="4" w:space="0" w:color="000000"/>
              <w:right w:val="single" w:sz="4" w:space="0" w:color="000000"/>
            </w:tcBorders>
          </w:tcPr>
          <w:p w14:paraId="511564EC"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 xml:space="preserve">Third party certification(s):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p w14:paraId="3CCDA174"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xml:space="preserve"> </w:t>
            </w:r>
          </w:p>
          <w:p w14:paraId="37B7B250" w14:textId="77777777" w:rsidR="00A21E64" w:rsidRDefault="00A21E64">
            <w:pPr>
              <w:ind w:left="1782" w:firstLine="378"/>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xml:space="preserve"> </w:t>
            </w:r>
          </w:p>
          <w:p w14:paraId="1D40725E" w14:textId="77777777" w:rsidR="00A21E64" w:rsidRDefault="00A21E64">
            <w:pPr>
              <w:ind w:left="1782" w:firstLine="378"/>
              <w:rPr>
                <w:rFonts w:asciiTheme="minorHAnsi" w:hAnsiTheme="minorHAnsi" w:cstheme="minorHAnsi"/>
                <w:i/>
                <w:color w:val="000000"/>
                <w:sz w:val="18"/>
                <w:szCs w:val="18"/>
              </w:rPr>
            </w:pPr>
          </w:p>
          <w:p w14:paraId="4C7048AE" w14:textId="77777777" w:rsidR="00A21E64" w:rsidRDefault="00A21E64">
            <w:pPr>
              <w:ind w:left="1782" w:firstLine="378"/>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p w14:paraId="0AA10E76"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FB470C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134798ED" w14:textId="77777777" w:rsidTr="00A21E64">
        <w:trPr>
          <w:trHeight w:val="58"/>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37403B03"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3624B0D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38A0FE4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0BBEEB07" w14:textId="77777777" w:rsidTr="00A21E64">
        <w:trPr>
          <w:trHeight w:val="197"/>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3CC2793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BB1FB6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6060A3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0C1ABA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50E2114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00BFE687" w14:textId="77777777" w:rsidTr="00A21E64">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364B3187"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DB7D48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061C3C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1A120C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D7370E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3F6C55F" w14:textId="77777777" w:rsidTr="00A21E64">
        <w:trPr>
          <w:trHeight w:val="215"/>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5CFB85F5"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84EFBB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91AABF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F44D7F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F1DC40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3DD16C1"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4CFE8C2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4.3</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5C53885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landscapes under sustainable land management in production systems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0BA13E3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FF61B6A"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13BEC23B"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182E1C4A"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3C0007F8"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683E7AB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492546C6"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F868B0C"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47912785"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6A60331"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49D53B8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145983E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0D85A391"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3618F352"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63B5F03"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5EB8E834"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6B1054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025693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364126F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7C81758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60661173"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AE0B316"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794342C8"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2465F329"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62E332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56D2F0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8B284C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39B85B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E9D497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6B863A9"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2AD4200A"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26DDEAB6"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A82221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D63456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46AEB0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4C6EDC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06FA31B"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2317D6A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4.4</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6491E97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Area of High Conservation Value Forest (HCVF) loss avoided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CB6EB5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CA58DB7" w14:textId="77777777" w:rsidTr="00A21E64">
        <w:trPr>
          <w:trHeight w:val="125"/>
        </w:trPr>
        <w:tc>
          <w:tcPr>
            <w:tcW w:w="3895" w:type="dxa"/>
            <w:gridSpan w:val="6"/>
            <w:vMerge w:val="restart"/>
            <w:tcBorders>
              <w:top w:val="single" w:sz="4" w:space="0" w:color="000000"/>
              <w:left w:val="single" w:sz="4" w:space="0" w:color="000000"/>
              <w:bottom w:val="single" w:sz="4" w:space="0" w:color="000000"/>
              <w:right w:val="single" w:sz="4" w:space="0" w:color="000000"/>
            </w:tcBorders>
            <w:hideMark/>
          </w:tcPr>
          <w:p w14:paraId="75D0FA4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Include documentation that justifies HCVF</w:t>
            </w:r>
          </w:p>
          <w:p w14:paraId="6D1D795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1EC4BD7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Hectares</w:t>
            </w:r>
          </w:p>
        </w:tc>
      </w:tr>
      <w:tr w:rsidR="00A21E64" w14:paraId="0B6A8340" w14:textId="77777777" w:rsidTr="00A21E64">
        <w:trPr>
          <w:trHeight w:val="58"/>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763A9F9C"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420A26D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1A8214F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3723E924" w14:textId="77777777" w:rsidTr="00A21E64">
        <w:trPr>
          <w:trHeight w:val="80"/>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1039E0FB"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778AF8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BF2F70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02FAD23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6B5F03D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15CB13BA" w14:textId="77777777" w:rsidTr="00A21E64">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77B3C8F1"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730AE9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1A716E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2263DE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022E57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EC48435" w14:textId="77777777" w:rsidTr="00A21E64">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2AC0913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88F281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7010C8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E49CC7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036BB8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262DB71"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4410A325"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5</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4D4F9DA1"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Area of marine habitat under improved practices to benefit biodiversity</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025F0581"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(Hectares)</w:t>
            </w:r>
          </w:p>
        </w:tc>
      </w:tr>
      <w:tr w:rsidR="00A21E64" w14:paraId="5EE24A7D"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5892CA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5.1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2A83192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fisheries that meet national or international third-party certification that incorporates biodiversity considerations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0267B04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ADB47E8" w14:textId="77777777" w:rsidTr="00A21E64">
        <w:trPr>
          <w:trHeight w:val="125"/>
        </w:trPr>
        <w:tc>
          <w:tcPr>
            <w:tcW w:w="3895" w:type="dxa"/>
            <w:gridSpan w:val="6"/>
            <w:vMerge w:val="restart"/>
            <w:tcBorders>
              <w:top w:val="single" w:sz="4" w:space="0" w:color="000000"/>
              <w:left w:val="single" w:sz="4" w:space="0" w:color="000000"/>
              <w:bottom w:val="single" w:sz="4" w:space="0" w:color="000000"/>
              <w:right w:val="single" w:sz="4" w:space="0" w:color="000000"/>
            </w:tcBorders>
          </w:tcPr>
          <w:p w14:paraId="2A508E2E"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 xml:space="preserve">Third party certification(s):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p w14:paraId="6F6B5359" w14:textId="77777777" w:rsidR="00A21E64" w:rsidRDefault="00A21E64">
            <w:pPr>
              <w:rPr>
                <w:rFonts w:asciiTheme="minorHAnsi" w:hAnsiTheme="minorHAnsi" w:cstheme="minorHAnsi"/>
                <w:i/>
                <w:color w:val="000000"/>
                <w:sz w:val="18"/>
                <w:szCs w:val="18"/>
              </w:rPr>
            </w:pPr>
          </w:p>
          <w:p w14:paraId="036978F8" w14:textId="77777777" w:rsidR="00A21E64" w:rsidRDefault="00A21E64">
            <w:pPr>
              <w:ind w:left="2160"/>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p w14:paraId="00526A7C" w14:textId="77777777" w:rsidR="00A21E64" w:rsidRDefault="00A21E64">
            <w:pPr>
              <w:ind w:left="2160"/>
              <w:rPr>
                <w:rFonts w:asciiTheme="minorHAnsi" w:hAnsiTheme="minorHAnsi" w:cstheme="minorHAnsi"/>
                <w:i/>
                <w:color w:val="000000"/>
                <w:sz w:val="18"/>
                <w:szCs w:val="18"/>
              </w:rPr>
            </w:pPr>
          </w:p>
          <w:p w14:paraId="74CBC6D9" w14:textId="77777777" w:rsidR="00A21E64" w:rsidRDefault="00A21E64">
            <w:pPr>
              <w:ind w:left="2160"/>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8986EB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w:t>
            </w:r>
          </w:p>
        </w:tc>
      </w:tr>
      <w:tr w:rsidR="00A21E64" w14:paraId="182E4622" w14:textId="77777777" w:rsidTr="00A21E64">
        <w:trPr>
          <w:trHeight w:val="58"/>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69624D52"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7B3D2BE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74CA83C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0977E98B" w14:textId="77777777" w:rsidTr="00A21E64">
        <w:trPr>
          <w:trHeight w:val="71"/>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42453BE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518C81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2C00D4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CC9C27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53373EF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512A75AC" w14:textId="77777777" w:rsidTr="00A21E64">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5847427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0CE190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DA2680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A7C8EA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3779A7E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ED32865" w14:textId="77777777" w:rsidTr="00A21E64">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64F128E4"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2BA91C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A76C50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9705EB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6EDE0B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1306E1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5C188F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5.2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1CAFBF7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Number of large marine ecosystems (LMEs) with reduced pollution and </w:t>
            </w:r>
            <w:proofErr w:type="spellStart"/>
            <w:r>
              <w:rPr>
                <w:rFonts w:asciiTheme="minorHAnsi" w:hAnsiTheme="minorHAnsi" w:cstheme="minorHAnsi"/>
                <w:sz w:val="18"/>
                <w:szCs w:val="18"/>
              </w:rPr>
              <w:t>hypoxial</w:t>
            </w:r>
            <w:proofErr w:type="spellEnd"/>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1D506B4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857942E"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29FC4664"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4E254298"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06789A03"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BB921E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w:t>
            </w:r>
          </w:p>
        </w:tc>
      </w:tr>
      <w:tr w:rsidR="00A21E64" w14:paraId="654C5C1F"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2DC980F"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3C227C7"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A7CDD35"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133EF18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70C58A0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205E08DA" w14:textId="77777777" w:rsidTr="00A21E64">
        <w:trPr>
          <w:trHeight w:val="107"/>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3D76F298"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17458930"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1ACB35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969776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E15D5D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46B8D6B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C122D3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5F4B3C4A"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286538F"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6406FEA"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71122B1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10CDFD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5F3E89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392EA62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DA8C99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3E4A48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454BBD2"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21B6586F"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B6B5870"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02CB0C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D86B84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459656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0493C47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68F821A4"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A6A6A6"/>
            <w:hideMark/>
          </w:tcPr>
          <w:p w14:paraId="6587C73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5.3</w:t>
            </w:r>
          </w:p>
        </w:tc>
        <w:tc>
          <w:tcPr>
            <w:tcW w:w="7779" w:type="dxa"/>
            <w:gridSpan w:val="11"/>
            <w:tcBorders>
              <w:top w:val="single" w:sz="4" w:space="0" w:color="000000"/>
              <w:left w:val="single" w:sz="4" w:space="0" w:color="000000"/>
              <w:bottom w:val="single" w:sz="4" w:space="0" w:color="000000"/>
              <w:right w:val="single" w:sz="4" w:space="0" w:color="000000"/>
            </w:tcBorders>
            <w:shd w:val="clear" w:color="auto" w:fill="BFBFBF"/>
            <w:hideMark/>
          </w:tcPr>
          <w:p w14:paraId="24F1BD4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Amount of Marine Litter Avoided</w:t>
            </w:r>
          </w:p>
        </w:tc>
      </w:tr>
      <w:tr w:rsidR="00A21E64" w14:paraId="58D5398E" w14:textId="77777777" w:rsidTr="00A21E64">
        <w:tc>
          <w:tcPr>
            <w:tcW w:w="1230" w:type="dxa"/>
            <w:vMerge w:val="restart"/>
            <w:tcBorders>
              <w:top w:val="single" w:sz="4" w:space="0" w:color="000000"/>
              <w:left w:val="single" w:sz="4" w:space="0" w:color="000000"/>
              <w:bottom w:val="single" w:sz="4" w:space="0" w:color="000000"/>
              <w:right w:val="single" w:sz="4" w:space="0" w:color="000000"/>
            </w:tcBorders>
          </w:tcPr>
          <w:p w14:paraId="122F7549"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41B329CA"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11571409"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4A85517"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Metric Tons</w:t>
            </w:r>
          </w:p>
        </w:tc>
      </w:tr>
      <w:tr w:rsidR="00A21E64" w14:paraId="34B6EB9D" w14:textId="77777777" w:rsidTr="00A21E64">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70DF380"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3D433317"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560BDF08"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20782268"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3BCCA3DB"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Achieved</w:t>
            </w:r>
          </w:p>
        </w:tc>
      </w:tr>
      <w:tr w:rsidR="00A21E64" w14:paraId="16740999" w14:textId="77777777" w:rsidTr="00A21E64">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6879C4D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2807D83"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365BE089"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DC1A85B"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9649AEE"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3985747"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6592F30"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TE</w:t>
            </w:r>
          </w:p>
        </w:tc>
      </w:tr>
      <w:tr w:rsidR="00A21E64" w14:paraId="2A8B39C9"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7CA0FF28"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476993CC"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3857D319"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C4A45B1"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8606872"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593D2C0"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308FAD3"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3A72AA5"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A349249"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DDCD230"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B7842D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FA93647"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9942B85"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64564C2E"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DB569C2"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0EAD638D"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0F1BB664"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6</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3530C184"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Greenhouse gas emission mitigated</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2A7CBEB8"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 xml:space="preserve">(Metric tons of </w:t>
            </w:r>
            <w:proofErr w:type="spellStart"/>
            <w:r>
              <w:rPr>
                <w:rFonts w:asciiTheme="minorHAnsi" w:hAnsiTheme="minorHAnsi" w:cstheme="minorHAnsi"/>
                <w:b/>
                <w:i/>
                <w:color w:val="000000"/>
                <w:sz w:val="18"/>
                <w:szCs w:val="18"/>
              </w:rPr>
              <w:t>CO₂e</w:t>
            </w:r>
            <w:proofErr w:type="spellEnd"/>
            <w:r>
              <w:rPr>
                <w:rFonts w:asciiTheme="minorHAnsi" w:hAnsiTheme="minorHAnsi" w:cstheme="minorHAnsi"/>
                <w:b/>
                <w:i/>
                <w:color w:val="000000"/>
                <w:sz w:val="18"/>
                <w:szCs w:val="18"/>
              </w:rPr>
              <w:t> )</w:t>
            </w:r>
          </w:p>
        </w:tc>
      </w:tr>
      <w:tr w:rsidR="00A21E64" w:rsidRPr="00A21E64" w14:paraId="3F89680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CD0CF5F"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1B03D5C"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12EE80F"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 xml:space="preserve">Expected metric tons of </w:t>
            </w:r>
            <w:proofErr w:type="spellStart"/>
            <w:r>
              <w:rPr>
                <w:rFonts w:asciiTheme="minorHAnsi" w:hAnsiTheme="minorHAnsi" w:cstheme="minorHAnsi"/>
                <w:sz w:val="18"/>
                <w:szCs w:val="18"/>
              </w:rPr>
              <w:t>CO₂e</w:t>
            </w:r>
            <w:proofErr w:type="spellEnd"/>
            <w:r>
              <w:rPr>
                <w:rFonts w:asciiTheme="minorHAnsi" w:hAnsiTheme="minorHAnsi" w:cstheme="minorHAnsi"/>
                <w:sz w:val="18"/>
                <w:szCs w:val="18"/>
              </w:rPr>
              <w:t xml:space="preserve"> (6.1+6.2)</w:t>
            </w:r>
          </w:p>
        </w:tc>
      </w:tr>
      <w:tr w:rsidR="00A21E64" w14:paraId="5E566A09"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568D9EB"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7CCC22" w14:textId="77777777" w:rsidR="00A21E64" w:rsidRDefault="00A21E64">
            <w:pPr>
              <w:rPr>
                <w:rFonts w:asciiTheme="minorHAnsi" w:hAnsiTheme="minorHAnsi" w:cstheme="minorHAns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F2F2F2"/>
            <w:hideMark/>
          </w:tcPr>
          <w:p w14:paraId="38B0244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586D397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206"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7142A3D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24940A28"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TE</w:t>
            </w:r>
          </w:p>
        </w:tc>
      </w:tr>
      <w:tr w:rsidR="00A21E64" w14:paraId="488AE75E"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42EBC61"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14:paraId="7FFD984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 CO2e (direct)</w:t>
            </w:r>
          </w:p>
        </w:tc>
        <w:tc>
          <w:tcPr>
            <w:tcW w:w="1219" w:type="dxa"/>
            <w:tcBorders>
              <w:top w:val="single" w:sz="4" w:space="0" w:color="000000"/>
              <w:left w:val="single" w:sz="4" w:space="0" w:color="000000"/>
              <w:bottom w:val="single" w:sz="4" w:space="0" w:color="000000"/>
              <w:right w:val="single" w:sz="4" w:space="0" w:color="000000"/>
            </w:tcBorders>
            <w:shd w:val="clear" w:color="auto" w:fill="F2F2F2"/>
            <w:hideMark/>
          </w:tcPr>
          <w:p w14:paraId="3EC88B4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2E9308F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06"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59CBC91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79EE5DA1"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60D074F"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3DAE0FC"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14:paraId="4EF5E33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 CO2e (indirect)</w:t>
            </w:r>
          </w:p>
        </w:tc>
        <w:tc>
          <w:tcPr>
            <w:tcW w:w="1219" w:type="dxa"/>
            <w:tcBorders>
              <w:top w:val="single" w:sz="4" w:space="0" w:color="000000"/>
              <w:left w:val="single" w:sz="4" w:space="0" w:color="000000"/>
              <w:bottom w:val="single" w:sz="4" w:space="0" w:color="000000"/>
              <w:right w:val="single" w:sz="4" w:space="0" w:color="000000"/>
            </w:tcBorders>
            <w:shd w:val="clear" w:color="auto" w:fill="F2F2F2"/>
            <w:hideMark/>
          </w:tcPr>
          <w:p w14:paraId="4A1B5DC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16E93AC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06"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C802FC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2CB565BE"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41E240F"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CDE410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6.1</w:t>
            </w:r>
          </w:p>
        </w:tc>
        <w:tc>
          <w:tcPr>
            <w:tcW w:w="5302" w:type="dxa"/>
            <w:gridSpan w:val="8"/>
            <w:tcBorders>
              <w:top w:val="single" w:sz="4" w:space="0" w:color="000000"/>
              <w:left w:val="single" w:sz="4" w:space="0" w:color="000000"/>
              <w:bottom w:val="single" w:sz="4" w:space="0" w:color="000000"/>
              <w:right w:val="single" w:sz="4" w:space="0" w:color="000000"/>
            </w:tcBorders>
            <w:shd w:val="clear" w:color="auto" w:fill="BFBFBF"/>
            <w:hideMark/>
          </w:tcPr>
          <w:p w14:paraId="7570C55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Carbon sequestered or emissions avoided in the AFOLU sector</w:t>
            </w:r>
          </w:p>
        </w:tc>
        <w:tc>
          <w:tcPr>
            <w:tcW w:w="1206" w:type="dxa"/>
            <w:gridSpan w:val="2"/>
            <w:tcBorders>
              <w:top w:val="single" w:sz="4" w:space="0" w:color="000000"/>
              <w:left w:val="single" w:sz="4" w:space="0" w:color="000000"/>
              <w:bottom w:val="single" w:sz="4" w:space="0" w:color="000000"/>
              <w:right w:val="single" w:sz="4" w:space="0" w:color="000000"/>
            </w:tcBorders>
            <w:shd w:val="clear" w:color="auto" w:fill="BFBFBF"/>
          </w:tcPr>
          <w:p w14:paraId="02506053" w14:textId="77777777" w:rsidR="00A21E64" w:rsidRDefault="00A21E64">
            <w:pPr>
              <w:rPr>
                <w:rFonts w:asciiTheme="minorHAnsi" w:hAnsiTheme="minorHAnsi" w:cstheme="minorHAnsi"/>
                <w:sz w:val="18"/>
                <w:szCs w:val="18"/>
              </w:rPr>
            </w:pP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608BF40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7D2318DD"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435A5107"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7AE363DD"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007B0BD3"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0B815EE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 Expected metric tons of </w:t>
            </w:r>
            <w:proofErr w:type="spellStart"/>
            <w:r>
              <w:rPr>
                <w:rFonts w:asciiTheme="minorHAnsi" w:hAnsiTheme="minorHAnsi" w:cstheme="minorHAnsi"/>
                <w:sz w:val="18"/>
                <w:szCs w:val="18"/>
              </w:rPr>
              <w:t>CO₂e</w:t>
            </w:r>
            <w:proofErr w:type="spellEnd"/>
          </w:p>
        </w:tc>
      </w:tr>
      <w:tr w:rsidR="00A21E64" w14:paraId="0319D132" w14:textId="77777777" w:rsidTr="00A21E64">
        <w:trPr>
          <w:trHeight w:val="89"/>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67DC42B"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1DB7AD0"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3C036B8F"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A42194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4D17C5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39BAF2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69B690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1997B98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07B2ADB"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6027D62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 CO2e (direct)</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35032D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6BA7E2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B866C5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0EF64A9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E4E5ADC"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CB44401"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5AA1D8C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 CO2e (indirect)</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E05C18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DDE283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EB9AD7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440356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16F6CBD"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F006F9B"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2EC6644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Anticipated start year of accounting</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C02B365"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EA8DFDD"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0FA107A4"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FAED6B3"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EE2A6FA"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AAB7517"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6EB7B27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Duration of accounting</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8459702"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0BEE83D"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6E0550F"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72C05AE"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88594AA"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282C723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6.2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4C26F7C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Emissions avoided Outside AFOLU </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0DFB9B6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0889D69A"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07A4F3DC"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5E2BF7F1"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57D3BB28"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70BFC8D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Expected metric tons of </w:t>
            </w:r>
            <w:proofErr w:type="spellStart"/>
            <w:r>
              <w:rPr>
                <w:rFonts w:asciiTheme="minorHAnsi" w:hAnsiTheme="minorHAnsi" w:cstheme="minorHAnsi"/>
                <w:sz w:val="18"/>
                <w:szCs w:val="18"/>
              </w:rPr>
              <w:t>CO₂e</w:t>
            </w:r>
            <w:proofErr w:type="spellEnd"/>
          </w:p>
        </w:tc>
      </w:tr>
      <w:tr w:rsidR="00A21E64" w14:paraId="1CB7E17A"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AFA7F6E"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6F75C40"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3A9AF36B"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6579267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73C6625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5C7C8F24" w14:textId="77777777" w:rsidTr="00A21E64">
        <w:trPr>
          <w:trHeight w:val="206"/>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551C396"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3CC92929"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0C3CD14E"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43654C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35F666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DE77C6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49BEA6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2A6E548F"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18C3F7B"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6C6C1EA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 CO2e (direct)</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AE01B9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28F820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667CA21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662E16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62E3FBD"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5AEBC80"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7B82706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 CO2e (indirect)</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6204EC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07B1D4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E1E353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7EC0FF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DFEB9A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75025E8"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78CAEC8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Anticipated start year of accounting</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BDFE5AF"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77B35B9"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CC90187"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64C73AE"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0ED9B2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025BEB2"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hideMark/>
          </w:tcPr>
          <w:p w14:paraId="031189E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Duration of accounting</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2E36710"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8F5A0FC"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022DE208"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3544F166"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3C130B1"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266590B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6.3</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216C9D4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Energy saved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5ED9C75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4C783BD"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0575D936"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151A971B"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382399E9"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8D454D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MJ</w:t>
            </w:r>
          </w:p>
        </w:tc>
      </w:tr>
      <w:tr w:rsidR="00A21E64" w14:paraId="3576311C"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515B603"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CF46E73"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83E180D"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012DA8A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4FACDBB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018B1493" w14:textId="77777777" w:rsidTr="00A21E64">
        <w:trPr>
          <w:trHeight w:val="9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1246C98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40AD1488"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4AF987D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1DDF6A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B4D89C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08AAF72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21D8499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7F4999C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FA0F729"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6D36BCBB"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7F3394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8E8856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B526D8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440950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CA133B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CAEED2A"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59CED83"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3050976D"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ECE0C76"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1C0D8D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E4C99D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BB7654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5B49B1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DEA7E34"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3DCD515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6.4</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08B6D58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Increase in installed renewable energy capacity per technology</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692A116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9BE0614"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77F845F0"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0A9FF91C"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3624507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Technology</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2A2F759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Capacity (MW)</w:t>
            </w:r>
          </w:p>
        </w:tc>
      </w:tr>
      <w:tr w:rsidR="00A21E64" w14:paraId="53C2A243"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9FC1545"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6C8B00A"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C163D68"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7C3EAD7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0B90F98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1AF86E04" w14:textId="77777777" w:rsidTr="00A21E64">
        <w:trPr>
          <w:trHeight w:val="89"/>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6CD7D0D5"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2E737C2F"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1F6FD3D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01EC4D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772F90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0C8317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4B1FB89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1CFC5766"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7A1530A"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2FB7A55"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5490BE3C"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 xml:space="preserve">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FDED5D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2BE955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473E43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D0752B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4F196E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7B1AAB7"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5EEECF9"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0A05D2AB"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C6FA52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2201B3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4C005F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5B17C1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13C39B6"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33361593"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7</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3CE66818"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Number of shared water ecosystems (fresh or marine) under new or improved cooperative management</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6E342354"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(Number)</w:t>
            </w:r>
          </w:p>
        </w:tc>
      </w:tr>
      <w:tr w:rsidR="00A21E64" w14:paraId="2F142A65"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5E7EE00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7.1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4465F98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Level of Transboundary Diagnostic Analysis and Strategic Action Program (TDA/SAP) formulation and implementation</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1722DA0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95F4496" w14:textId="77777777" w:rsidTr="00A21E64">
        <w:trPr>
          <w:trHeight w:val="233"/>
        </w:trPr>
        <w:tc>
          <w:tcPr>
            <w:tcW w:w="1230" w:type="dxa"/>
            <w:vMerge w:val="restart"/>
            <w:tcBorders>
              <w:top w:val="single" w:sz="4" w:space="0" w:color="000000"/>
              <w:left w:val="single" w:sz="4" w:space="0" w:color="000000"/>
              <w:bottom w:val="single" w:sz="4" w:space="0" w:color="000000"/>
              <w:right w:val="single" w:sz="4" w:space="0" w:color="000000"/>
            </w:tcBorders>
          </w:tcPr>
          <w:p w14:paraId="33AB4054"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4BCFB5F9"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hideMark/>
          </w:tcPr>
          <w:p w14:paraId="7A84FB0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Shared water ecosystem</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A9F391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Rating (scale 1-4)</w:t>
            </w:r>
          </w:p>
        </w:tc>
      </w:tr>
      <w:tr w:rsidR="00A21E64" w14:paraId="79BFF44C" w14:textId="77777777" w:rsidTr="00A21E64">
        <w:trPr>
          <w:trHeight w:val="197"/>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6D6FEAA"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40F4A73C"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04C07CB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77D631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04FC87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1FCB60C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584C149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6CF23166"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40BEDF6"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68B4D500"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7C5C4AA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tcPr>
          <w:p w14:paraId="7BA8A07C" w14:textId="77777777" w:rsidR="00A21E64" w:rsidRDefault="00A21E64">
            <w:pPr>
              <w:rPr>
                <w:rFonts w:asciiTheme="minorHAnsi" w:hAnsiTheme="minorHAnsi" w:cstheme="minorHAnsi"/>
                <w:sz w:val="18"/>
                <w:szCs w:val="18"/>
              </w:rPr>
            </w:pPr>
          </w:p>
        </w:tc>
        <w:tc>
          <w:tcPr>
            <w:tcW w:w="1428" w:type="dxa"/>
            <w:gridSpan w:val="2"/>
            <w:tcBorders>
              <w:top w:val="single" w:sz="4" w:space="0" w:color="000000"/>
              <w:left w:val="single" w:sz="4" w:space="0" w:color="000000"/>
              <w:bottom w:val="single" w:sz="4" w:space="0" w:color="000000"/>
              <w:right w:val="single" w:sz="4" w:space="0" w:color="000000"/>
            </w:tcBorders>
          </w:tcPr>
          <w:p w14:paraId="0F21C1B1" w14:textId="77777777" w:rsidR="00A21E64" w:rsidRDefault="00A21E64">
            <w:pPr>
              <w:rPr>
                <w:rFonts w:asciiTheme="minorHAnsi" w:hAnsiTheme="minorHAnsi" w:cstheme="minorHAnsi"/>
                <w:sz w:val="18"/>
                <w:szCs w:val="18"/>
              </w:rPr>
            </w:pPr>
          </w:p>
        </w:tc>
        <w:tc>
          <w:tcPr>
            <w:tcW w:w="1188" w:type="dxa"/>
            <w:tcBorders>
              <w:top w:val="single" w:sz="4" w:space="0" w:color="000000"/>
              <w:left w:val="single" w:sz="4" w:space="0" w:color="000000"/>
              <w:bottom w:val="single" w:sz="4" w:space="0" w:color="000000"/>
              <w:right w:val="single" w:sz="4" w:space="0" w:color="000000"/>
            </w:tcBorders>
          </w:tcPr>
          <w:p w14:paraId="1D105488" w14:textId="77777777" w:rsidR="00A21E64" w:rsidRDefault="00A21E64">
            <w:pPr>
              <w:rPr>
                <w:rFonts w:asciiTheme="minorHAnsi" w:hAnsiTheme="minorHAnsi" w:cstheme="minorHAnsi"/>
                <w:sz w:val="18"/>
                <w:szCs w:val="18"/>
                <w:lang w:val="hr-HR"/>
              </w:rPr>
            </w:pPr>
          </w:p>
        </w:tc>
        <w:tc>
          <w:tcPr>
            <w:tcW w:w="1271" w:type="dxa"/>
            <w:tcBorders>
              <w:top w:val="single" w:sz="4" w:space="0" w:color="000000"/>
              <w:left w:val="single" w:sz="4" w:space="0" w:color="000000"/>
              <w:bottom w:val="single" w:sz="4" w:space="0" w:color="000000"/>
              <w:right w:val="single" w:sz="4" w:space="0" w:color="000000"/>
            </w:tcBorders>
          </w:tcPr>
          <w:p w14:paraId="1687A5D9" w14:textId="77777777" w:rsidR="00A21E64" w:rsidRDefault="00A21E64">
            <w:pPr>
              <w:jc w:val="center"/>
              <w:rPr>
                <w:rFonts w:asciiTheme="minorHAnsi" w:hAnsiTheme="minorHAnsi" w:cstheme="minorHAnsi"/>
                <w:sz w:val="18"/>
                <w:szCs w:val="18"/>
                <w:lang w:val="hr-HR"/>
              </w:rPr>
            </w:pPr>
          </w:p>
        </w:tc>
      </w:tr>
      <w:tr w:rsidR="00A21E64" w14:paraId="7002D9B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25DFF68"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B1BFB3F"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4B8257C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26E80D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451117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7517006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0E766B6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B75E3A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3867C52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7.2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0004656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Level of Regional Legal Agreements and Regional Management Institutions to support its implementation</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3B4002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5C067FB"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24AB7A6D"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61846BB5"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hideMark/>
          </w:tcPr>
          <w:p w14:paraId="3024DCD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Shared water ecosystem</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1139E98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Rating (scale 1-4)</w:t>
            </w:r>
          </w:p>
        </w:tc>
      </w:tr>
      <w:tr w:rsidR="00A21E64" w14:paraId="5587FD68" w14:textId="77777777" w:rsidTr="00A21E64">
        <w:trPr>
          <w:trHeight w:val="134"/>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71621220"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5A5E3EE6"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C9FDF55"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C47C1A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7DD149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76B8E1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7435F86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661FD5E6"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D11653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7F6487B4"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4EB7025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DE1D0D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B15D75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FF4166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20B49E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E450F72"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E5DB95C"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C9CF257"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4C09A71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95BA24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B6E3D5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0F34E70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B8F29D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B4EC22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A6E697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7.3</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78D01CD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Level of National/Local reforms and active participation of Inter-Ministerial Committees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62F0649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95C571B" w14:textId="77777777" w:rsidTr="00A21E64">
        <w:trPr>
          <w:trHeight w:val="179"/>
        </w:trPr>
        <w:tc>
          <w:tcPr>
            <w:tcW w:w="1230" w:type="dxa"/>
            <w:vMerge w:val="restart"/>
            <w:tcBorders>
              <w:top w:val="single" w:sz="4" w:space="0" w:color="000000"/>
              <w:left w:val="single" w:sz="4" w:space="0" w:color="000000"/>
              <w:bottom w:val="single" w:sz="4" w:space="0" w:color="000000"/>
              <w:right w:val="single" w:sz="4" w:space="0" w:color="000000"/>
            </w:tcBorders>
          </w:tcPr>
          <w:p w14:paraId="577B23D7"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2A1AC87F"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hideMark/>
          </w:tcPr>
          <w:p w14:paraId="608A7E5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Shared water ecosystem</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3C1E818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Rating (scale 1-4)</w:t>
            </w:r>
          </w:p>
        </w:tc>
      </w:tr>
      <w:tr w:rsidR="00A21E64" w14:paraId="3468E05C" w14:textId="77777777" w:rsidTr="00A21E64">
        <w:trPr>
          <w:trHeight w:val="62"/>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6686AE0D"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57D023AE"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6F5A6D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90DB39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DB0420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0DE22F8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94558B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72447F8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67403A3"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BBC525E"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22B0A4EF"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DB434E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355F223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DB17C9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3D048A9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C8349F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8DCD68D"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5B1FB2C4"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A19F75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132EBA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98607E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5E929C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CF4202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3F7E05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33B89C7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7.4</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4C5722A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Level of engagement in IWLEARN through participation and delivery of key products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5D9149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41990C9"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47662A45"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3570698A"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348DB01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Shared water ecosystem</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3AAA58B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Rating (scale 1-4)</w:t>
            </w:r>
          </w:p>
        </w:tc>
      </w:tr>
      <w:tr w:rsidR="00A21E64" w14:paraId="4DE55888"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3D44CFB"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129A0A7C"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3A90ED98"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64F7C30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Rating</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1002939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Rating</w:t>
            </w:r>
          </w:p>
        </w:tc>
      </w:tr>
      <w:tr w:rsidR="00A21E64" w14:paraId="4CD3740A" w14:textId="77777777" w:rsidTr="00A21E64">
        <w:trPr>
          <w:trHeight w:val="197"/>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72822E39"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0734323A"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87795BC"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EB8561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20CC8A7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61E8378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24A79A3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4249BBA3"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717717B"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9697153"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2D2D376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AB21685" w14:textId="77777777" w:rsidR="00A21E64" w:rsidRDefault="00A21E64">
            <w:pPr>
              <w:rPr>
                <w:rFonts w:asciiTheme="minorHAnsi" w:hAnsiTheme="minorHAnsi" w:cstheme="minorHAnsi"/>
                <w:sz w:val="18"/>
                <w:szCs w:val="18"/>
                <w:lang w:val="hr-HR"/>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lang w:val="hr-HR"/>
              </w:rPr>
              <w:t>4</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D16D27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4</w:t>
            </w:r>
          </w:p>
        </w:tc>
        <w:tc>
          <w:tcPr>
            <w:tcW w:w="1188" w:type="dxa"/>
            <w:tcBorders>
              <w:top w:val="single" w:sz="4" w:space="0" w:color="000000"/>
              <w:left w:val="single" w:sz="4" w:space="0" w:color="000000"/>
              <w:bottom w:val="single" w:sz="4" w:space="0" w:color="000000"/>
              <w:right w:val="single" w:sz="4" w:space="0" w:color="000000"/>
            </w:tcBorders>
            <w:hideMark/>
          </w:tcPr>
          <w:p w14:paraId="4F9428F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01F5805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B0D868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1B025E0"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7DA9BBB1"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739273C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4708A8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C7E88B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D50FA5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6A0349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1BCE2078"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20EEB971"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8</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014CFA13"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Globally over-exploited fisheries Moved to more sustainable levels</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01224C1A"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(Metric Tons)</w:t>
            </w:r>
          </w:p>
        </w:tc>
      </w:tr>
      <w:tr w:rsidR="00A21E64" w14:paraId="68C55642" w14:textId="77777777" w:rsidTr="00A21E64">
        <w:trPr>
          <w:trHeight w:val="197"/>
        </w:trPr>
        <w:tc>
          <w:tcPr>
            <w:tcW w:w="3895" w:type="dxa"/>
            <w:gridSpan w:val="6"/>
            <w:vMerge w:val="restart"/>
            <w:tcBorders>
              <w:top w:val="single" w:sz="4" w:space="0" w:color="000000"/>
              <w:left w:val="single" w:sz="4" w:space="0" w:color="000000"/>
              <w:bottom w:val="single" w:sz="4" w:space="0" w:color="000000"/>
              <w:right w:val="single" w:sz="4" w:space="0" w:color="000000"/>
            </w:tcBorders>
            <w:hideMark/>
          </w:tcPr>
          <w:p w14:paraId="4DC0623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Fishery Details</w:t>
            </w:r>
          </w:p>
          <w:p w14:paraId="68848F2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07522D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Metric Tons</w:t>
            </w:r>
          </w:p>
        </w:tc>
      </w:tr>
      <w:tr w:rsidR="00A21E64" w14:paraId="32D2106D" w14:textId="77777777" w:rsidTr="00A21E64">
        <w:trPr>
          <w:trHeight w:val="188"/>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758B13DD"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386091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81757F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3295DFB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AB4529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73F24198" w14:textId="77777777" w:rsidTr="00A21E64">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3FCCF2B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487935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02C7A6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560765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0A7E46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29022F70"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2FCB5FED"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9</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282BDCBE"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Reduction, disposal/destruction, phase out, elimination and avoidance of chemicals of global concern and their waste in the environment and in processes, materials and products</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35C0301A"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(Metric Tons)</w:t>
            </w:r>
          </w:p>
        </w:tc>
      </w:tr>
      <w:tr w:rsidR="00A21E64" w14:paraId="6F04F70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3E294EF"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367865F9"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3ECD06E"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Metric Tons (9.1+9.2+9.3)</w:t>
            </w:r>
          </w:p>
        </w:tc>
      </w:tr>
      <w:tr w:rsidR="00A21E64" w14:paraId="07DD5C46"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C85DD67"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268B76AF"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4F54EF3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86AE4EF"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Achieved</w:t>
            </w:r>
          </w:p>
        </w:tc>
      </w:tr>
      <w:tr w:rsidR="00A21E64" w14:paraId="5316FBA5"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229ACCA"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23D6A68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7CBFB7D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61FCF71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40A11A5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7F7BFFF3" w14:textId="77777777" w:rsidR="00A21E64" w:rsidRDefault="00A21E64">
            <w:pPr>
              <w:rPr>
                <w:rFonts w:asciiTheme="minorHAnsi" w:hAnsiTheme="minorHAnsi" w:cstheme="minorHAnsi"/>
                <w:i/>
                <w:sz w:val="18"/>
                <w:szCs w:val="18"/>
              </w:rPr>
            </w:pPr>
            <w:r>
              <w:rPr>
                <w:rFonts w:asciiTheme="minorHAnsi" w:hAnsiTheme="minorHAnsi" w:cstheme="minorHAnsi"/>
                <w:sz w:val="18"/>
                <w:szCs w:val="18"/>
              </w:rPr>
              <w:t>TE</w:t>
            </w:r>
          </w:p>
        </w:tc>
      </w:tr>
      <w:tr w:rsidR="00A21E64" w14:paraId="6AFF39F3"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3C0D836"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8335F5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35DD70A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0B36E38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F2F2F2"/>
            <w:hideMark/>
          </w:tcPr>
          <w:p w14:paraId="53C2678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shd w:val="clear" w:color="auto" w:fill="F2F2F2"/>
            <w:hideMark/>
          </w:tcPr>
          <w:p w14:paraId="6409E767"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6414A68"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5C5F0FD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9.1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45EEBE8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Solid and liquid Persistent Organic Pollutants (POPs) removed or disposed (POPs type)</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7310600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CBA1AAE" w14:textId="77777777" w:rsidTr="00A21E64">
        <w:trPr>
          <w:trHeight w:val="125"/>
        </w:trPr>
        <w:tc>
          <w:tcPr>
            <w:tcW w:w="3895" w:type="dxa"/>
            <w:gridSpan w:val="6"/>
            <w:vMerge w:val="restart"/>
            <w:tcBorders>
              <w:top w:val="single" w:sz="4" w:space="0" w:color="000000"/>
              <w:left w:val="single" w:sz="4" w:space="0" w:color="000000"/>
              <w:bottom w:val="single" w:sz="4" w:space="0" w:color="000000"/>
              <w:right w:val="single" w:sz="4" w:space="0" w:color="000000"/>
            </w:tcBorders>
            <w:vAlign w:val="center"/>
            <w:hideMark/>
          </w:tcPr>
          <w:p w14:paraId="21D04B7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POPs type</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4EEC5D0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Metric Tons</w:t>
            </w:r>
          </w:p>
        </w:tc>
      </w:tr>
      <w:tr w:rsidR="00A21E64" w14:paraId="6A71A41B" w14:textId="77777777" w:rsidTr="00A21E64">
        <w:trPr>
          <w:trHeight w:val="58"/>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6A9E5B14"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5818EE3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4F78DAE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1DB020D4" w14:textId="77777777" w:rsidTr="00A21E64">
        <w:trPr>
          <w:trHeight w:val="179"/>
        </w:trPr>
        <w:tc>
          <w:tcPr>
            <w:tcW w:w="16076" w:type="dxa"/>
            <w:gridSpan w:val="6"/>
            <w:vMerge/>
            <w:tcBorders>
              <w:top w:val="single" w:sz="4" w:space="0" w:color="000000"/>
              <w:left w:val="single" w:sz="4" w:space="0" w:color="000000"/>
              <w:bottom w:val="single" w:sz="4" w:space="0" w:color="000000"/>
              <w:right w:val="single" w:sz="4" w:space="0" w:color="000000"/>
            </w:tcBorders>
            <w:vAlign w:val="center"/>
            <w:hideMark/>
          </w:tcPr>
          <w:p w14:paraId="24B18CC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A71A60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4FA185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09842F8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2F20F051"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6C6F99BF"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08E830D9" w14:textId="77777777" w:rsidR="00A21E64" w:rsidRDefault="00A21E64">
            <w:pPr>
              <w:rPr>
                <w:rFonts w:asciiTheme="minorHAnsi" w:hAnsiTheme="minorHAnsi" w:cstheme="minorHAnsi"/>
                <w:sz w:val="18"/>
                <w:szCs w:val="18"/>
              </w:rPr>
            </w:pPr>
            <w:r>
              <w:rPr>
                <w:rFonts w:asciiTheme="minorHAnsi" w:hAnsiTheme="minorHAnsi" w:cstheme="minorHAnsi"/>
                <w:color w:val="000000"/>
              </w:rPr>
              <w:t xml:space="preserve">  </w:t>
            </w:r>
          </w:p>
        </w:tc>
        <w:tc>
          <w:tcPr>
            <w:tcW w:w="922" w:type="dxa"/>
            <w:tcBorders>
              <w:top w:val="single" w:sz="4" w:space="0" w:color="000000"/>
              <w:left w:val="single" w:sz="4" w:space="0" w:color="000000"/>
              <w:bottom w:val="single" w:sz="4" w:space="0" w:color="000000"/>
              <w:right w:val="single" w:sz="4" w:space="0" w:color="000000"/>
            </w:tcBorders>
            <w:hideMark/>
          </w:tcPr>
          <w:p w14:paraId="4EA6A16A" w14:textId="77777777" w:rsidR="00A21E64" w:rsidRDefault="00A21E64">
            <w:pPr>
              <w:rPr>
                <w:rFonts w:asciiTheme="minorHAnsi" w:hAnsiTheme="minorHAnsi" w:cstheme="minorHAnsi"/>
                <w:sz w:val="18"/>
                <w:szCs w:val="18"/>
              </w:rPr>
            </w:pPr>
            <w:r>
              <w:rPr>
                <w:rFonts w:asciiTheme="minorHAnsi" w:hAnsiTheme="minorHAnsi" w:cstheme="minorHAnsi"/>
                <w:color w:val="000000"/>
              </w:rPr>
              <w:t xml:space="preserve">    </w:t>
            </w:r>
          </w:p>
        </w:tc>
        <w:tc>
          <w:tcPr>
            <w:tcW w:w="1743" w:type="dxa"/>
            <w:gridSpan w:val="4"/>
            <w:tcBorders>
              <w:top w:val="single" w:sz="4" w:space="0" w:color="000000"/>
              <w:left w:val="single" w:sz="4" w:space="0" w:color="000000"/>
              <w:bottom w:val="single" w:sz="4" w:space="0" w:color="000000"/>
              <w:right w:val="single" w:sz="4" w:space="0" w:color="000000"/>
            </w:tcBorders>
          </w:tcPr>
          <w:p w14:paraId="698B3C44"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D93F7F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509C6A7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BAE1A4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0131BEC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C2DC7C6"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106A37F7" w14:textId="77777777" w:rsidR="00A21E64" w:rsidRDefault="00A21E64">
            <w:pPr>
              <w:rPr>
                <w:rFonts w:asciiTheme="minorHAnsi" w:hAnsiTheme="minorHAnsi" w:cstheme="minorHAnsi"/>
                <w:sz w:val="18"/>
                <w:szCs w:val="18"/>
              </w:rPr>
            </w:pPr>
            <w:r>
              <w:rPr>
                <w:rFonts w:asciiTheme="minorHAnsi" w:hAnsiTheme="minorHAnsi" w:cstheme="minorHAnsi"/>
                <w:color w:val="000000"/>
              </w:rPr>
              <w:t xml:space="preserve">  </w:t>
            </w:r>
          </w:p>
        </w:tc>
        <w:tc>
          <w:tcPr>
            <w:tcW w:w="922" w:type="dxa"/>
            <w:tcBorders>
              <w:top w:val="single" w:sz="4" w:space="0" w:color="000000"/>
              <w:left w:val="single" w:sz="4" w:space="0" w:color="000000"/>
              <w:bottom w:val="single" w:sz="4" w:space="0" w:color="000000"/>
              <w:right w:val="single" w:sz="4" w:space="0" w:color="000000"/>
            </w:tcBorders>
            <w:hideMark/>
          </w:tcPr>
          <w:p w14:paraId="55F1BC3F" w14:textId="77777777" w:rsidR="00A21E64" w:rsidRDefault="00A21E64">
            <w:pPr>
              <w:rPr>
                <w:rFonts w:asciiTheme="minorHAnsi" w:hAnsiTheme="minorHAnsi" w:cstheme="minorHAnsi"/>
                <w:sz w:val="18"/>
                <w:szCs w:val="18"/>
              </w:rPr>
            </w:pPr>
            <w:r>
              <w:rPr>
                <w:rFonts w:asciiTheme="minorHAnsi" w:hAnsiTheme="minorHAnsi" w:cstheme="minorHAnsi"/>
                <w:color w:val="000000"/>
              </w:rPr>
              <w:t xml:space="preserve">    </w:t>
            </w:r>
          </w:p>
        </w:tc>
        <w:tc>
          <w:tcPr>
            <w:tcW w:w="1743" w:type="dxa"/>
            <w:gridSpan w:val="4"/>
            <w:tcBorders>
              <w:top w:val="single" w:sz="4" w:space="0" w:color="000000"/>
              <w:left w:val="single" w:sz="4" w:space="0" w:color="000000"/>
              <w:bottom w:val="single" w:sz="4" w:space="0" w:color="000000"/>
              <w:right w:val="single" w:sz="4" w:space="0" w:color="000000"/>
            </w:tcBorders>
          </w:tcPr>
          <w:p w14:paraId="35CF9B99"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89106D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EC019CE"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AAADA9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78FA15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049C116" w14:textId="77777777" w:rsidTr="00A21E64">
        <w:tc>
          <w:tcPr>
            <w:tcW w:w="1230" w:type="dxa"/>
            <w:tcBorders>
              <w:top w:val="single" w:sz="4" w:space="0" w:color="000000"/>
              <w:left w:val="single" w:sz="4" w:space="0" w:color="000000"/>
              <w:bottom w:val="single" w:sz="4" w:space="0" w:color="000000"/>
              <w:right w:val="single" w:sz="4" w:space="0" w:color="000000"/>
            </w:tcBorders>
            <w:hideMark/>
          </w:tcPr>
          <w:p w14:paraId="5355B4BF" w14:textId="77777777" w:rsidR="00A21E64" w:rsidRDefault="00A21E64">
            <w:pPr>
              <w:rPr>
                <w:rFonts w:asciiTheme="minorHAnsi" w:hAnsiTheme="minorHAnsi" w:cstheme="minorHAnsi"/>
                <w:sz w:val="18"/>
                <w:szCs w:val="18"/>
              </w:rPr>
            </w:pPr>
            <w:r>
              <w:rPr>
                <w:rFonts w:asciiTheme="minorHAnsi" w:hAnsiTheme="minorHAnsi" w:cstheme="minorHAnsi"/>
                <w:color w:val="000000"/>
              </w:rPr>
              <w:t xml:space="preserve">  </w:t>
            </w:r>
          </w:p>
        </w:tc>
        <w:tc>
          <w:tcPr>
            <w:tcW w:w="922" w:type="dxa"/>
            <w:tcBorders>
              <w:top w:val="single" w:sz="4" w:space="0" w:color="000000"/>
              <w:left w:val="single" w:sz="4" w:space="0" w:color="000000"/>
              <w:bottom w:val="single" w:sz="4" w:space="0" w:color="000000"/>
              <w:right w:val="single" w:sz="4" w:space="0" w:color="000000"/>
            </w:tcBorders>
            <w:hideMark/>
          </w:tcPr>
          <w:p w14:paraId="1A03D79C" w14:textId="77777777" w:rsidR="00A21E64" w:rsidRDefault="00A21E64">
            <w:pPr>
              <w:rPr>
                <w:rFonts w:asciiTheme="minorHAnsi" w:hAnsiTheme="minorHAnsi" w:cstheme="minorHAnsi"/>
                <w:sz w:val="18"/>
                <w:szCs w:val="18"/>
              </w:rPr>
            </w:pPr>
            <w:r>
              <w:rPr>
                <w:rFonts w:asciiTheme="minorHAnsi" w:hAnsiTheme="minorHAnsi" w:cstheme="minorHAnsi"/>
                <w:color w:val="000000"/>
              </w:rPr>
              <w:t xml:space="preserve">    </w:t>
            </w:r>
          </w:p>
        </w:tc>
        <w:tc>
          <w:tcPr>
            <w:tcW w:w="1743" w:type="dxa"/>
            <w:gridSpan w:val="4"/>
            <w:tcBorders>
              <w:top w:val="single" w:sz="4" w:space="0" w:color="000000"/>
              <w:left w:val="single" w:sz="4" w:space="0" w:color="000000"/>
              <w:bottom w:val="single" w:sz="4" w:space="0" w:color="000000"/>
              <w:right w:val="single" w:sz="4" w:space="0" w:color="000000"/>
            </w:tcBorders>
          </w:tcPr>
          <w:p w14:paraId="2073357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ED60B9C"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4885E86"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2E9F2873"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ADFA1AA"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B17053A"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08814A0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9.2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6301AAA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Quantity of mercury reduced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51FBFC9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19CB0FA"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4D305504"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523A5737"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2330ADE0"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1D8B3C8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Metric Tons</w:t>
            </w:r>
          </w:p>
        </w:tc>
      </w:tr>
      <w:tr w:rsidR="00A21E64" w14:paraId="76CFBB44"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733E1C5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30D143CB"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67228535"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325D208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39B52EC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40ABBC25" w14:textId="77777777" w:rsidTr="00A21E64">
        <w:trPr>
          <w:trHeight w:val="206"/>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1A500409"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0AB78924"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3E14E293"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244F99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B280E0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7AAF7CF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3959AF6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2FE2F30E"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75D9F3A"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7DB227FE"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6B536C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102712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35BB428D"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BF4F83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124D2643"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309325D8" w14:textId="77777777" w:rsidR="00A21E64" w:rsidRDefault="00A21E64">
            <w:pPr>
              <w:rPr>
                <w:rFonts w:asciiTheme="minorHAnsi" w:hAnsiTheme="minorHAnsi" w:cstheme="minorHAnsi"/>
                <w:sz w:val="18"/>
                <w:szCs w:val="18"/>
              </w:rPr>
            </w:pPr>
            <w:r>
              <w:rPr>
                <w:rFonts w:asciiTheme="minorHAnsi" w:hAnsiTheme="minorHAnsi" w:cstheme="minorHAnsi"/>
                <w:color w:val="000000"/>
                <w:sz w:val="18"/>
                <w:szCs w:val="18"/>
              </w:rPr>
              <w:t>Indicator 9.3</w:t>
            </w:r>
          </w:p>
        </w:tc>
        <w:tc>
          <w:tcPr>
            <w:tcW w:w="7779" w:type="dxa"/>
            <w:gridSpan w:val="11"/>
            <w:tcBorders>
              <w:top w:val="single" w:sz="4" w:space="0" w:color="000000"/>
              <w:left w:val="single" w:sz="4" w:space="0" w:color="000000"/>
              <w:bottom w:val="single" w:sz="4" w:space="0" w:color="000000"/>
              <w:right w:val="single" w:sz="4" w:space="0" w:color="000000"/>
            </w:tcBorders>
            <w:shd w:val="clear" w:color="auto" w:fill="BFBFBF"/>
            <w:hideMark/>
          </w:tcPr>
          <w:p w14:paraId="181FAD6E" w14:textId="77777777" w:rsidR="00A21E64" w:rsidRDefault="00A21E64">
            <w:pPr>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Hydrochloroflurocarbons</w:t>
            </w:r>
            <w:proofErr w:type="spellEnd"/>
            <w:r>
              <w:rPr>
                <w:rFonts w:asciiTheme="minorHAnsi" w:hAnsiTheme="minorHAnsi" w:cstheme="minorHAnsi"/>
                <w:color w:val="000000"/>
                <w:sz w:val="18"/>
                <w:szCs w:val="18"/>
              </w:rPr>
              <w:t xml:space="preserve"> (HCFC) Reduced/Phased out </w:t>
            </w:r>
          </w:p>
        </w:tc>
      </w:tr>
      <w:tr w:rsidR="00A21E64" w14:paraId="23AC1700"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4C18EE3"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0937D4D"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353A967D"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Metric Tons</w:t>
            </w:r>
          </w:p>
        </w:tc>
      </w:tr>
      <w:tr w:rsidR="00A21E64" w14:paraId="34B6FBB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BFB14F6"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A5FD4CF"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1973C435"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093AED87"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Achieved</w:t>
            </w:r>
          </w:p>
        </w:tc>
      </w:tr>
      <w:tr w:rsidR="00A21E64" w14:paraId="5063D6E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AE38F5B"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36FF7F85"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2CBF14E"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4F4E499"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1F2A252"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7449DB02"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TE</w:t>
            </w:r>
          </w:p>
        </w:tc>
      </w:tr>
      <w:tr w:rsidR="00A21E64" w14:paraId="32E847F4"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213873CD"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0DBF3A12"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C2379A9"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77FF4047"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651D59D"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C7C9836"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362A167"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141D2A8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9.4</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3DF5D43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countries with legislation and policy implemented to control chemicals and waste</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1ADBF56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51512072"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79D6A13D"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39F4A389"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79329AB4"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2565E6B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Countries</w:t>
            </w:r>
          </w:p>
        </w:tc>
      </w:tr>
      <w:tr w:rsidR="00A21E64" w14:paraId="6A2F0CA5"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30569C11"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05AE0C2D"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0115BF37"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3A55628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78B245D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00A00BE6" w14:textId="77777777" w:rsidTr="00A21E64">
        <w:trPr>
          <w:trHeight w:val="206"/>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A04FC5F"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1C52879B"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528F68A"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F86CC9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162DEF8"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2910B97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01A70CB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6E3262E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6F51F3F"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54BC64B3"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5A700A0B"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73E3671"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8BB5CD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56E5DBD4"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4B2F3C8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021E04E"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1E084F6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9.5</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3FDAA0B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low-chemical/non-chemical systems implemented particularly in food production, manufacturing and cities</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1539FA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7F3236AD"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6EA6E11B"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1316C1AC"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6B10968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Technology</w:t>
            </w: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766AEDD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w:t>
            </w:r>
          </w:p>
        </w:tc>
      </w:tr>
      <w:tr w:rsidR="00A21E64" w14:paraId="21C8B047"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44687D43"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79A5B43"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7AC1711"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1FFDDF96"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6977536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77ED1007"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B1F5D4D"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D4B0DB7"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35A0EE7"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0FAA3A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A64777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4B47BC2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1A09757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7622019B"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5C8CD1A8"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2153F047"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2C3589E5"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CF7CF37"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9D52D3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3234BF0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2C91F2F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4095901F"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1A4936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71B7355F"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1C8779BF"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4564E29"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E013018"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1E9EE136"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50329BF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19D60314"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44C6BCB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9.6</w:t>
            </w:r>
          </w:p>
        </w:tc>
        <w:tc>
          <w:tcPr>
            <w:tcW w:w="7779" w:type="dxa"/>
            <w:gridSpan w:val="11"/>
            <w:tcBorders>
              <w:top w:val="single" w:sz="4" w:space="0" w:color="000000"/>
              <w:left w:val="single" w:sz="4" w:space="0" w:color="000000"/>
              <w:bottom w:val="single" w:sz="4" w:space="0" w:color="000000"/>
              <w:right w:val="single" w:sz="4" w:space="0" w:color="000000"/>
            </w:tcBorders>
            <w:shd w:val="clear" w:color="auto" w:fill="BFBFBF"/>
            <w:hideMark/>
          </w:tcPr>
          <w:p w14:paraId="1743A9CE"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Quantity of POPs/Mercury containing materials and products directly avoided</w:t>
            </w:r>
          </w:p>
        </w:tc>
      </w:tr>
      <w:tr w:rsidR="00A21E64" w14:paraId="3927B26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240D56E"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4C48BB85"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D4EC000" w14:textId="77777777" w:rsidR="00A21E64" w:rsidRDefault="00A21E64">
            <w:pPr>
              <w:rPr>
                <w:rFonts w:asciiTheme="minorHAnsi" w:hAnsiTheme="minorHAnsi" w:cstheme="minorHAnsi"/>
                <w:i/>
                <w:color w:val="000000"/>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71287BF1" w14:textId="77777777" w:rsidR="00A21E64" w:rsidRDefault="00A21E64">
            <w:pPr>
              <w:rPr>
                <w:rFonts w:asciiTheme="minorHAnsi" w:hAnsiTheme="minorHAnsi" w:cstheme="minorHAnsi"/>
                <w:color w:val="000000"/>
                <w:sz w:val="18"/>
                <w:szCs w:val="18"/>
              </w:rPr>
            </w:pPr>
            <w:r>
              <w:rPr>
                <w:rFonts w:asciiTheme="minorHAnsi" w:hAnsiTheme="minorHAnsi" w:cstheme="minorHAnsi"/>
                <w:color w:val="000000"/>
                <w:sz w:val="18"/>
                <w:szCs w:val="18"/>
              </w:rPr>
              <w:t>Metric Tons</w:t>
            </w:r>
          </w:p>
        </w:tc>
      </w:tr>
      <w:tr w:rsidR="00A21E64" w14:paraId="50EDAFD8"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2F30762"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06F13C5"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405625E3" w14:textId="77777777" w:rsidR="00A21E64" w:rsidRDefault="00A21E64">
            <w:pPr>
              <w:rPr>
                <w:rFonts w:asciiTheme="minorHAnsi" w:hAnsiTheme="minorHAnsi" w:cstheme="minorHAnsi"/>
                <w:i/>
                <w:color w:val="000000"/>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43F84D95"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27C52373"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Achieved</w:t>
            </w:r>
          </w:p>
        </w:tc>
      </w:tr>
      <w:tr w:rsidR="00A21E64" w14:paraId="31D3116D"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497FCCBB"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46DE04EA"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4E6F5CD3" w14:textId="77777777" w:rsidR="00A21E64" w:rsidRDefault="00A21E64">
            <w:pPr>
              <w:rPr>
                <w:rFonts w:asciiTheme="minorHAnsi" w:hAnsiTheme="minorHAnsi" w:cstheme="minorHAnsi"/>
                <w:i/>
                <w:color w:val="000000"/>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148DFFF"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3C60F35"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6042285D"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PIF stage</w:t>
            </w:r>
          </w:p>
        </w:tc>
        <w:tc>
          <w:tcPr>
            <w:tcW w:w="1271" w:type="dxa"/>
            <w:tcBorders>
              <w:top w:val="single" w:sz="4" w:space="0" w:color="000000"/>
              <w:left w:val="single" w:sz="4" w:space="0" w:color="000000"/>
              <w:bottom w:val="single" w:sz="4" w:space="0" w:color="000000"/>
              <w:right w:val="single" w:sz="4" w:space="0" w:color="000000"/>
            </w:tcBorders>
            <w:hideMark/>
          </w:tcPr>
          <w:p w14:paraId="651355E5" w14:textId="77777777" w:rsidR="00A21E64" w:rsidRDefault="00A21E64">
            <w:pPr>
              <w:rPr>
                <w:rFonts w:asciiTheme="minorHAnsi" w:hAnsiTheme="minorHAnsi" w:cstheme="minorHAnsi"/>
                <w:i/>
                <w:color w:val="000000"/>
                <w:sz w:val="18"/>
                <w:szCs w:val="18"/>
              </w:rPr>
            </w:pPr>
            <w:r>
              <w:rPr>
                <w:rFonts w:asciiTheme="minorHAnsi" w:hAnsiTheme="minorHAnsi" w:cstheme="minorHAnsi"/>
                <w:sz w:val="18"/>
                <w:szCs w:val="18"/>
              </w:rPr>
              <w:t>Endorsement</w:t>
            </w:r>
          </w:p>
        </w:tc>
      </w:tr>
      <w:tr w:rsidR="00A21E64" w14:paraId="56D4B6E6"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950574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6A30AF48"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68C1465A" w14:textId="77777777" w:rsidR="00A21E64" w:rsidRDefault="00A21E64">
            <w:pPr>
              <w:rPr>
                <w:rFonts w:asciiTheme="minorHAnsi" w:hAnsiTheme="minorHAnsi" w:cstheme="minorHAnsi"/>
                <w:i/>
                <w:color w:val="000000"/>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59B4EBCC"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CC6C9AE"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4133C026"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795F4486"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BE60800"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97976E3"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3D2BA6F"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4646F13E" w14:textId="77777777" w:rsidR="00A21E64" w:rsidRDefault="00A21E64">
            <w:pPr>
              <w:rPr>
                <w:rFonts w:asciiTheme="minorHAnsi" w:hAnsiTheme="minorHAnsi" w:cstheme="minorHAnsi"/>
                <w:i/>
                <w:color w:val="000000"/>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2AA1A4DA"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63E040F"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642E6427"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2C5088E"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rsidRPr="00A21E64" w14:paraId="331CF6AE"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02CDCEBB"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10</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2C809089"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 xml:space="preserve">Reduction, avoidance of emissions of POPs to air from point and non-point sources </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5B359EE1"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 xml:space="preserve">(grams of toxic equivalent </w:t>
            </w:r>
            <w:proofErr w:type="spellStart"/>
            <w:r>
              <w:rPr>
                <w:rFonts w:asciiTheme="minorHAnsi" w:hAnsiTheme="minorHAnsi" w:cstheme="minorHAnsi"/>
                <w:b/>
                <w:i/>
                <w:color w:val="000000"/>
                <w:sz w:val="18"/>
                <w:szCs w:val="18"/>
              </w:rPr>
              <w:t>gTEQ</w:t>
            </w:r>
            <w:proofErr w:type="spellEnd"/>
            <w:r>
              <w:rPr>
                <w:rFonts w:asciiTheme="minorHAnsi" w:hAnsiTheme="minorHAnsi" w:cstheme="minorHAnsi"/>
                <w:b/>
                <w:i/>
                <w:color w:val="000000"/>
                <w:sz w:val="18"/>
                <w:szCs w:val="18"/>
              </w:rPr>
              <w:t>)</w:t>
            </w:r>
          </w:p>
        </w:tc>
      </w:tr>
      <w:tr w:rsidR="00A21E64" w14:paraId="4F8FC1F8"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79303BF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lastRenderedPageBreak/>
              <w:t>Indicator 10.1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4A7A3D6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countries with legislation and policy implemented to control emissions of POPs to air</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4E91EF2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9664DED"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59112008"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0106C40D"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7B9BE4D6"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26A6D5D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Countries</w:t>
            </w:r>
          </w:p>
        </w:tc>
      </w:tr>
      <w:tr w:rsidR="00A21E64" w14:paraId="1E74E95C"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14C87F7A"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6ACF20E4"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72DC629"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2217EC2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0ACABB02"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5570BEA2" w14:textId="77777777" w:rsidTr="00A21E64">
        <w:trPr>
          <w:trHeight w:val="125"/>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62939A7"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6957D3A"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5FF217CC"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587E58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297CF530"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39D6EC0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052AC91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6967385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614E39CC"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10C24FF"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9F414F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43D528C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389A34B"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324A680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6B8506E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6B4C8E09"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BFBFBF"/>
            <w:hideMark/>
          </w:tcPr>
          <w:p w14:paraId="37E8584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Indicator 10.2</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BFBFBF"/>
            <w:hideMark/>
          </w:tcPr>
          <w:p w14:paraId="678EDE3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 of emission control technologies/practices implemented</w:t>
            </w:r>
          </w:p>
        </w:tc>
        <w:tc>
          <w:tcPr>
            <w:tcW w:w="1271" w:type="dxa"/>
            <w:tcBorders>
              <w:top w:val="single" w:sz="4" w:space="0" w:color="000000"/>
              <w:left w:val="single" w:sz="4" w:space="0" w:color="000000"/>
              <w:bottom w:val="single" w:sz="4" w:space="0" w:color="000000"/>
              <w:right w:val="single" w:sz="4" w:space="0" w:color="000000"/>
            </w:tcBorders>
            <w:shd w:val="clear" w:color="auto" w:fill="BFBFBF"/>
            <w:hideMark/>
          </w:tcPr>
          <w:p w14:paraId="6EEF3EE3"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3FD46632" w14:textId="77777777" w:rsidTr="00A21E64">
        <w:trPr>
          <w:trHeight w:val="125"/>
        </w:trPr>
        <w:tc>
          <w:tcPr>
            <w:tcW w:w="1230" w:type="dxa"/>
            <w:vMerge w:val="restart"/>
            <w:tcBorders>
              <w:top w:val="single" w:sz="4" w:space="0" w:color="000000"/>
              <w:left w:val="single" w:sz="4" w:space="0" w:color="000000"/>
              <w:bottom w:val="single" w:sz="4" w:space="0" w:color="000000"/>
              <w:right w:val="single" w:sz="4" w:space="0" w:color="000000"/>
            </w:tcBorders>
          </w:tcPr>
          <w:p w14:paraId="72F1EDF8"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4643494A"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1E5F8203"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510B76AB"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Number</w:t>
            </w:r>
          </w:p>
        </w:tc>
      </w:tr>
      <w:tr w:rsidR="00A21E64" w14:paraId="5FCBD044" w14:textId="77777777" w:rsidTr="00A21E64">
        <w:trPr>
          <w:trHeight w:val="58"/>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52617177"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F4AD23F"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7470A9ED"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2133F0C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60A973C9"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4604A382" w14:textId="77777777" w:rsidTr="00A21E64">
        <w:trPr>
          <w:trHeight w:val="206"/>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2901B046"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40D432AA"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27A8774E"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04F5B31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60E5602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5AA7E68E"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7644BC9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292DA3B5"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B018F5D" w14:textId="77777777" w:rsidR="00A21E64" w:rsidRDefault="00A21E64">
            <w:pPr>
              <w:rPr>
                <w:rFonts w:asciiTheme="minorHAnsi" w:hAnsiTheme="minorHAnsi" w:cstheme="minorHAnsi"/>
                <w:sz w:val="18"/>
                <w:szCs w:val="18"/>
              </w:rPr>
            </w:pPr>
          </w:p>
        </w:tc>
        <w:tc>
          <w:tcPr>
            <w:tcW w:w="2665" w:type="dxa"/>
            <w:gridSpan w:val="5"/>
            <w:tcBorders>
              <w:top w:val="single" w:sz="4" w:space="0" w:color="000000"/>
              <w:left w:val="single" w:sz="4" w:space="0" w:color="000000"/>
              <w:bottom w:val="single" w:sz="4" w:space="0" w:color="000000"/>
              <w:right w:val="single" w:sz="4" w:space="0" w:color="000000"/>
            </w:tcBorders>
          </w:tcPr>
          <w:p w14:paraId="45E5B428"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83D466A"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01C308DC"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188" w:type="dxa"/>
            <w:tcBorders>
              <w:top w:val="single" w:sz="4" w:space="0" w:color="000000"/>
              <w:left w:val="single" w:sz="4" w:space="0" w:color="000000"/>
              <w:bottom w:val="single" w:sz="4" w:space="0" w:color="000000"/>
              <w:right w:val="single" w:sz="4" w:space="0" w:color="000000"/>
            </w:tcBorders>
            <w:hideMark/>
          </w:tcPr>
          <w:p w14:paraId="323783D0"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6C89CA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r>
      <w:tr w:rsidR="00A21E64" w14:paraId="0907735D" w14:textId="77777777" w:rsidTr="00A21E64">
        <w:tc>
          <w:tcPr>
            <w:tcW w:w="1230" w:type="dxa"/>
            <w:tcBorders>
              <w:top w:val="single" w:sz="4" w:space="0" w:color="000000"/>
              <w:left w:val="single" w:sz="4" w:space="0" w:color="000000"/>
              <w:bottom w:val="single" w:sz="4" w:space="0" w:color="000000"/>
              <w:right w:val="single" w:sz="4" w:space="0" w:color="000000"/>
            </w:tcBorders>
            <w:shd w:val="clear" w:color="auto" w:fill="D9D9D9"/>
            <w:hideMark/>
          </w:tcPr>
          <w:p w14:paraId="56EE1AB6"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Core Indicator 11</w:t>
            </w:r>
          </w:p>
        </w:tc>
        <w:tc>
          <w:tcPr>
            <w:tcW w:w="6508" w:type="dxa"/>
            <w:gridSpan w:val="10"/>
            <w:tcBorders>
              <w:top w:val="single" w:sz="4" w:space="0" w:color="000000"/>
              <w:left w:val="single" w:sz="4" w:space="0" w:color="000000"/>
              <w:bottom w:val="single" w:sz="4" w:space="0" w:color="000000"/>
              <w:right w:val="single" w:sz="4" w:space="0" w:color="000000"/>
            </w:tcBorders>
            <w:shd w:val="clear" w:color="auto" w:fill="D9D9D9"/>
            <w:hideMark/>
          </w:tcPr>
          <w:p w14:paraId="0783AEA8" w14:textId="77777777" w:rsidR="00A21E64" w:rsidRDefault="00A21E64">
            <w:pPr>
              <w:rPr>
                <w:rFonts w:asciiTheme="minorHAnsi" w:hAnsiTheme="minorHAnsi" w:cstheme="minorHAnsi"/>
                <w:b/>
                <w:sz w:val="18"/>
                <w:szCs w:val="18"/>
              </w:rPr>
            </w:pPr>
            <w:r>
              <w:rPr>
                <w:rFonts w:asciiTheme="minorHAnsi" w:hAnsiTheme="minorHAnsi" w:cstheme="minorHAnsi"/>
                <w:b/>
                <w:sz w:val="18"/>
                <w:szCs w:val="18"/>
              </w:rPr>
              <w:t>Number of direct beneficiaries disaggregated by gender as co-benefit of GEF investment</w:t>
            </w:r>
          </w:p>
        </w:tc>
        <w:tc>
          <w:tcPr>
            <w:tcW w:w="1271" w:type="dxa"/>
            <w:tcBorders>
              <w:top w:val="single" w:sz="4" w:space="0" w:color="000000"/>
              <w:left w:val="single" w:sz="4" w:space="0" w:color="000000"/>
              <w:bottom w:val="single" w:sz="4" w:space="0" w:color="000000"/>
              <w:right w:val="single" w:sz="4" w:space="0" w:color="000000"/>
            </w:tcBorders>
            <w:shd w:val="clear" w:color="auto" w:fill="D9D9D9"/>
            <w:hideMark/>
          </w:tcPr>
          <w:p w14:paraId="61D02424" w14:textId="77777777" w:rsidR="00A21E64" w:rsidRDefault="00A21E64">
            <w:pPr>
              <w:rPr>
                <w:rFonts w:asciiTheme="minorHAnsi" w:hAnsiTheme="minorHAnsi" w:cstheme="minorHAnsi"/>
                <w:b/>
                <w:sz w:val="18"/>
                <w:szCs w:val="18"/>
              </w:rPr>
            </w:pPr>
            <w:r>
              <w:rPr>
                <w:rFonts w:asciiTheme="minorHAnsi" w:hAnsiTheme="minorHAnsi" w:cstheme="minorHAnsi"/>
                <w:b/>
                <w:i/>
                <w:color w:val="000000"/>
                <w:sz w:val="18"/>
                <w:szCs w:val="18"/>
              </w:rPr>
              <w:t>(Number)</w:t>
            </w:r>
          </w:p>
        </w:tc>
      </w:tr>
      <w:tr w:rsidR="00A21E64" w14:paraId="72464AD5" w14:textId="77777777" w:rsidTr="00A21E64">
        <w:trPr>
          <w:trHeight w:val="58"/>
        </w:trPr>
        <w:tc>
          <w:tcPr>
            <w:tcW w:w="1230" w:type="dxa"/>
            <w:vMerge w:val="restart"/>
            <w:tcBorders>
              <w:top w:val="single" w:sz="4" w:space="0" w:color="000000"/>
              <w:left w:val="single" w:sz="4" w:space="0" w:color="000000"/>
              <w:bottom w:val="single" w:sz="4" w:space="0" w:color="000000"/>
              <w:right w:val="single" w:sz="4" w:space="0" w:color="000000"/>
            </w:tcBorders>
          </w:tcPr>
          <w:p w14:paraId="7DE17B0B" w14:textId="77777777" w:rsidR="00A21E64" w:rsidRDefault="00A21E64">
            <w:pPr>
              <w:rPr>
                <w:rFonts w:asciiTheme="minorHAnsi" w:hAnsiTheme="minorHAnsi" w:cstheme="minorHAnsi"/>
                <w:sz w:val="18"/>
                <w:szCs w:val="18"/>
              </w:rPr>
            </w:pPr>
          </w:p>
        </w:tc>
        <w:tc>
          <w:tcPr>
            <w:tcW w:w="922" w:type="dxa"/>
            <w:vMerge w:val="restart"/>
            <w:tcBorders>
              <w:top w:val="single" w:sz="4" w:space="0" w:color="000000"/>
              <w:left w:val="single" w:sz="4" w:space="0" w:color="000000"/>
              <w:bottom w:val="single" w:sz="4" w:space="0" w:color="000000"/>
              <w:right w:val="single" w:sz="4" w:space="0" w:color="000000"/>
            </w:tcBorders>
          </w:tcPr>
          <w:p w14:paraId="4E3A410B" w14:textId="77777777" w:rsidR="00A21E64" w:rsidRDefault="00A21E64">
            <w:pPr>
              <w:rPr>
                <w:rFonts w:asciiTheme="minorHAnsi" w:hAnsiTheme="minorHAnsi" w:cstheme="minorHAnsi"/>
                <w:sz w:val="18"/>
                <w:szCs w:val="18"/>
              </w:rPr>
            </w:pPr>
          </w:p>
        </w:tc>
        <w:tc>
          <w:tcPr>
            <w:tcW w:w="1743" w:type="dxa"/>
            <w:gridSpan w:val="4"/>
            <w:vMerge w:val="restart"/>
            <w:tcBorders>
              <w:top w:val="single" w:sz="4" w:space="0" w:color="000000"/>
              <w:left w:val="single" w:sz="4" w:space="0" w:color="000000"/>
              <w:bottom w:val="single" w:sz="4" w:space="0" w:color="000000"/>
              <w:right w:val="single" w:sz="4" w:space="0" w:color="000000"/>
            </w:tcBorders>
          </w:tcPr>
          <w:p w14:paraId="2BDE1A24" w14:textId="77777777" w:rsidR="00A21E64" w:rsidRDefault="00A21E64">
            <w:pPr>
              <w:rPr>
                <w:rFonts w:asciiTheme="minorHAnsi" w:hAnsiTheme="minorHAnsi" w:cstheme="minorHAnsi"/>
                <w:sz w:val="18"/>
                <w:szCs w:val="18"/>
              </w:rPr>
            </w:pPr>
          </w:p>
        </w:tc>
        <w:tc>
          <w:tcPr>
            <w:tcW w:w="5114" w:type="dxa"/>
            <w:gridSpan w:val="6"/>
            <w:tcBorders>
              <w:top w:val="single" w:sz="4" w:space="0" w:color="000000"/>
              <w:left w:val="single" w:sz="4" w:space="0" w:color="000000"/>
              <w:bottom w:val="single" w:sz="4" w:space="0" w:color="000000"/>
              <w:right w:val="single" w:sz="4" w:space="0" w:color="000000"/>
            </w:tcBorders>
            <w:hideMark/>
          </w:tcPr>
          <w:p w14:paraId="029D9413"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 xml:space="preserve">Number </w:t>
            </w:r>
          </w:p>
        </w:tc>
      </w:tr>
      <w:tr w:rsidR="00A21E64" w14:paraId="467517B8" w14:textId="77777777" w:rsidTr="00A21E64">
        <w:trPr>
          <w:trHeight w:val="161"/>
        </w:trPr>
        <w:tc>
          <w:tcPr>
            <w:tcW w:w="3895" w:type="dxa"/>
            <w:vMerge/>
            <w:tcBorders>
              <w:top w:val="single" w:sz="4" w:space="0" w:color="000000"/>
              <w:left w:val="single" w:sz="4" w:space="0" w:color="000000"/>
              <w:bottom w:val="single" w:sz="4" w:space="0" w:color="000000"/>
              <w:right w:val="single" w:sz="4" w:space="0" w:color="000000"/>
            </w:tcBorders>
            <w:vAlign w:val="center"/>
            <w:hideMark/>
          </w:tcPr>
          <w:p w14:paraId="0DB1B47C" w14:textId="77777777" w:rsidR="00A21E64" w:rsidRDefault="00A21E64">
            <w:pPr>
              <w:rPr>
                <w:rFonts w:asciiTheme="minorHAnsi" w:hAnsiTheme="minorHAnsi" w:cstheme="minorHAnsi"/>
                <w:sz w:val="18"/>
                <w:szCs w:val="18"/>
              </w:rPr>
            </w:pPr>
          </w:p>
        </w:tc>
        <w:tc>
          <w:tcPr>
            <w:tcW w:w="7779" w:type="dxa"/>
            <w:vMerge/>
            <w:tcBorders>
              <w:top w:val="single" w:sz="4" w:space="0" w:color="000000"/>
              <w:left w:val="single" w:sz="4" w:space="0" w:color="000000"/>
              <w:bottom w:val="single" w:sz="4" w:space="0" w:color="000000"/>
              <w:right w:val="single" w:sz="4" w:space="0" w:color="000000"/>
            </w:tcBorders>
            <w:vAlign w:val="center"/>
            <w:hideMark/>
          </w:tcPr>
          <w:p w14:paraId="7565C133" w14:textId="77777777" w:rsidR="00A21E64" w:rsidRDefault="00A21E64">
            <w:pPr>
              <w:rPr>
                <w:rFonts w:asciiTheme="minorHAnsi" w:hAnsiTheme="minorHAnsi" w:cstheme="minorHAnsi"/>
                <w:sz w:val="18"/>
                <w:szCs w:val="18"/>
              </w:rPr>
            </w:pPr>
          </w:p>
        </w:tc>
        <w:tc>
          <w:tcPr>
            <w:tcW w:w="4402" w:type="dxa"/>
            <w:gridSpan w:val="4"/>
            <w:vMerge/>
            <w:tcBorders>
              <w:top w:val="single" w:sz="4" w:space="0" w:color="000000"/>
              <w:left w:val="single" w:sz="4" w:space="0" w:color="000000"/>
              <w:bottom w:val="single" w:sz="4" w:space="0" w:color="000000"/>
              <w:right w:val="single" w:sz="4" w:space="0" w:color="000000"/>
            </w:tcBorders>
            <w:vAlign w:val="center"/>
            <w:hideMark/>
          </w:tcPr>
          <w:p w14:paraId="5BB1BEA8" w14:textId="77777777" w:rsidR="00A21E64" w:rsidRDefault="00A21E64">
            <w:pPr>
              <w:rPr>
                <w:rFonts w:asciiTheme="minorHAnsi" w:hAnsiTheme="minorHAnsi" w:cstheme="minorHAnsi"/>
                <w:sz w:val="18"/>
                <w:szCs w:val="18"/>
              </w:rPr>
            </w:pPr>
          </w:p>
        </w:tc>
        <w:tc>
          <w:tcPr>
            <w:tcW w:w="2655" w:type="dxa"/>
            <w:gridSpan w:val="4"/>
            <w:tcBorders>
              <w:top w:val="single" w:sz="4" w:space="0" w:color="000000"/>
              <w:left w:val="single" w:sz="4" w:space="0" w:color="000000"/>
              <w:bottom w:val="single" w:sz="4" w:space="0" w:color="000000"/>
              <w:right w:val="single" w:sz="4" w:space="0" w:color="000000"/>
            </w:tcBorders>
            <w:hideMark/>
          </w:tcPr>
          <w:p w14:paraId="4CEC1A0F"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Expected</w:t>
            </w:r>
          </w:p>
        </w:tc>
        <w:tc>
          <w:tcPr>
            <w:tcW w:w="2459" w:type="dxa"/>
            <w:gridSpan w:val="2"/>
            <w:tcBorders>
              <w:top w:val="single" w:sz="4" w:space="0" w:color="000000"/>
              <w:left w:val="single" w:sz="4" w:space="0" w:color="000000"/>
              <w:bottom w:val="single" w:sz="4" w:space="0" w:color="000000"/>
              <w:right w:val="single" w:sz="4" w:space="0" w:color="000000"/>
            </w:tcBorders>
            <w:hideMark/>
          </w:tcPr>
          <w:p w14:paraId="18B081ED"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Achieved</w:t>
            </w:r>
          </w:p>
        </w:tc>
      </w:tr>
      <w:tr w:rsidR="00A21E64" w14:paraId="7A617061"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151BD7A5"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682C9AB3"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tcPr>
          <w:p w14:paraId="1237A2FE" w14:textId="77777777" w:rsidR="00A21E64" w:rsidRDefault="00A21E64">
            <w:pPr>
              <w:rPr>
                <w:rFonts w:asciiTheme="minorHAnsi" w:hAnsiTheme="minorHAnsi" w:cstheme="minorHAnsi"/>
                <w:sz w:val="18"/>
                <w:szCs w:val="18"/>
              </w:rPr>
            </w:pP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7B749534"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PIF stage</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428CEF2A"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Endorsement</w:t>
            </w:r>
          </w:p>
        </w:tc>
        <w:tc>
          <w:tcPr>
            <w:tcW w:w="1188" w:type="dxa"/>
            <w:tcBorders>
              <w:top w:val="single" w:sz="4" w:space="0" w:color="000000"/>
              <w:left w:val="single" w:sz="4" w:space="0" w:color="000000"/>
              <w:bottom w:val="single" w:sz="4" w:space="0" w:color="000000"/>
              <w:right w:val="single" w:sz="4" w:space="0" w:color="000000"/>
            </w:tcBorders>
            <w:hideMark/>
          </w:tcPr>
          <w:p w14:paraId="33C00117"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MTR</w:t>
            </w:r>
          </w:p>
        </w:tc>
        <w:tc>
          <w:tcPr>
            <w:tcW w:w="1271" w:type="dxa"/>
            <w:tcBorders>
              <w:top w:val="single" w:sz="4" w:space="0" w:color="000000"/>
              <w:left w:val="single" w:sz="4" w:space="0" w:color="000000"/>
              <w:bottom w:val="single" w:sz="4" w:space="0" w:color="000000"/>
              <w:right w:val="single" w:sz="4" w:space="0" w:color="000000"/>
            </w:tcBorders>
            <w:hideMark/>
          </w:tcPr>
          <w:p w14:paraId="67F6993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TE</w:t>
            </w:r>
          </w:p>
        </w:tc>
      </w:tr>
      <w:tr w:rsidR="00A21E64" w14:paraId="5CC980D3"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0721346D"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1FE4DE64"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2A345CEC"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Female</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35DDA539" w14:textId="77777777" w:rsidR="00A21E64" w:rsidRDefault="00A21E64">
            <w:pPr>
              <w:jc w:val="cente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0</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3184D3B" w14:textId="77777777" w:rsidR="00A21E64" w:rsidRDefault="00A21E64">
            <w:pPr>
              <w:jc w:val="center"/>
              <w:rPr>
                <w:rFonts w:asciiTheme="minorHAnsi" w:hAnsiTheme="minorHAnsi" w:cstheme="minorHAns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0</w:t>
            </w:r>
          </w:p>
        </w:tc>
        <w:tc>
          <w:tcPr>
            <w:tcW w:w="1188" w:type="dxa"/>
            <w:tcBorders>
              <w:top w:val="single" w:sz="4" w:space="0" w:color="000000"/>
              <w:left w:val="single" w:sz="4" w:space="0" w:color="000000"/>
              <w:bottom w:val="single" w:sz="4" w:space="0" w:color="000000"/>
              <w:right w:val="single" w:sz="4" w:space="0" w:color="000000"/>
            </w:tcBorders>
            <w:hideMark/>
          </w:tcPr>
          <w:p w14:paraId="26579BE3" w14:textId="77777777" w:rsidR="00A21E64" w:rsidRDefault="00A21E64">
            <w:pPr>
              <w:jc w:val="center"/>
              <w:rPr>
                <w:rFonts w:asciiTheme="minorHAnsi" w:hAnsiTheme="minorHAnsi" w:cstheme="minorHAnsi"/>
                <w:i/>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1000</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0A0429F0" w14:textId="77777777" w:rsidR="00A21E64" w:rsidRDefault="00A21E64">
            <w:pPr>
              <w:jc w:val="center"/>
              <w:rPr>
                <w:rFonts w:asciiTheme="minorHAnsi" w:hAnsiTheme="minorHAnsi" w:cstheme="minorHAnsi"/>
                <w:i/>
                <w:sz w:val="18"/>
                <w:szCs w:val="18"/>
              </w:rPr>
            </w:pPr>
            <w:r>
              <w:rPr>
                <w:rFonts w:asciiTheme="minorHAnsi" w:hAnsiTheme="minorHAnsi" w:cstheme="minorHAnsi"/>
                <w:i/>
                <w:color w:val="000000"/>
                <w:sz w:val="18"/>
                <w:szCs w:val="18"/>
              </w:rPr>
              <w:t>2000</w:t>
            </w:r>
          </w:p>
        </w:tc>
      </w:tr>
      <w:tr w:rsidR="00A21E64" w14:paraId="0D922293"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9601809"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3686F500"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7271D1C5" w14:textId="77777777" w:rsidR="00A21E64" w:rsidRDefault="00A21E64">
            <w:pPr>
              <w:rPr>
                <w:rFonts w:asciiTheme="minorHAnsi" w:hAnsiTheme="minorHAnsi" w:cstheme="minorHAnsi"/>
                <w:sz w:val="18"/>
                <w:szCs w:val="18"/>
              </w:rPr>
            </w:pPr>
            <w:r>
              <w:rPr>
                <w:rFonts w:asciiTheme="minorHAnsi" w:hAnsiTheme="minorHAnsi" w:cstheme="minorHAnsi"/>
                <w:sz w:val="18"/>
                <w:szCs w:val="18"/>
              </w:rPr>
              <w:t>Male</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13896B6E"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0</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9EB0DFD"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0</w:t>
            </w:r>
          </w:p>
        </w:tc>
        <w:tc>
          <w:tcPr>
            <w:tcW w:w="1188" w:type="dxa"/>
            <w:tcBorders>
              <w:top w:val="single" w:sz="4" w:space="0" w:color="000000"/>
              <w:left w:val="single" w:sz="4" w:space="0" w:color="000000"/>
              <w:bottom w:val="single" w:sz="4" w:space="0" w:color="000000"/>
              <w:right w:val="single" w:sz="4" w:space="0" w:color="000000"/>
            </w:tcBorders>
            <w:hideMark/>
          </w:tcPr>
          <w:p w14:paraId="69847122"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1000</w:t>
            </w:r>
            <w:r>
              <w:rPr>
                <w:rFonts w:asciiTheme="minorHAnsi" w:hAnsiTheme="minorHAnsi" w:cstheme="minorHAnsi"/>
                <w:i/>
                <w:color w:val="000000"/>
                <w:sz w:val="18"/>
                <w:szCs w:val="18"/>
              </w:rPr>
              <w:t> </w:t>
            </w:r>
          </w:p>
        </w:tc>
        <w:tc>
          <w:tcPr>
            <w:tcW w:w="1271" w:type="dxa"/>
            <w:tcBorders>
              <w:top w:val="single" w:sz="4" w:space="0" w:color="000000"/>
              <w:left w:val="single" w:sz="4" w:space="0" w:color="000000"/>
              <w:bottom w:val="single" w:sz="4" w:space="0" w:color="000000"/>
              <w:right w:val="single" w:sz="4" w:space="0" w:color="000000"/>
            </w:tcBorders>
            <w:hideMark/>
          </w:tcPr>
          <w:p w14:paraId="18F51778"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2000</w:t>
            </w:r>
            <w:r>
              <w:rPr>
                <w:rFonts w:asciiTheme="minorHAnsi" w:hAnsiTheme="minorHAnsi" w:cstheme="minorHAnsi"/>
                <w:i/>
                <w:color w:val="000000"/>
                <w:sz w:val="18"/>
                <w:szCs w:val="18"/>
              </w:rPr>
              <w:t> </w:t>
            </w:r>
          </w:p>
        </w:tc>
      </w:tr>
      <w:tr w:rsidR="00A21E64" w14:paraId="7C4DD1B5" w14:textId="77777777" w:rsidTr="00A21E64">
        <w:tc>
          <w:tcPr>
            <w:tcW w:w="1230" w:type="dxa"/>
            <w:tcBorders>
              <w:top w:val="single" w:sz="4" w:space="0" w:color="000000"/>
              <w:left w:val="single" w:sz="4" w:space="0" w:color="000000"/>
              <w:bottom w:val="single" w:sz="4" w:space="0" w:color="000000"/>
              <w:right w:val="single" w:sz="4" w:space="0" w:color="000000"/>
            </w:tcBorders>
          </w:tcPr>
          <w:p w14:paraId="3A451BEC" w14:textId="77777777" w:rsidR="00A21E64" w:rsidRDefault="00A21E64">
            <w:pPr>
              <w:rPr>
                <w:rFonts w:asciiTheme="minorHAnsi" w:hAnsiTheme="minorHAnsi" w:cstheme="minorHAnsi"/>
                <w:sz w:val="18"/>
                <w:szCs w:val="18"/>
              </w:rPr>
            </w:pPr>
          </w:p>
        </w:tc>
        <w:tc>
          <w:tcPr>
            <w:tcW w:w="922" w:type="dxa"/>
            <w:tcBorders>
              <w:top w:val="single" w:sz="4" w:space="0" w:color="000000"/>
              <w:left w:val="single" w:sz="4" w:space="0" w:color="000000"/>
              <w:bottom w:val="single" w:sz="4" w:space="0" w:color="000000"/>
              <w:right w:val="single" w:sz="4" w:space="0" w:color="000000"/>
            </w:tcBorders>
          </w:tcPr>
          <w:p w14:paraId="084D0142" w14:textId="77777777" w:rsidR="00A21E64" w:rsidRDefault="00A21E64">
            <w:pPr>
              <w:rPr>
                <w:rFonts w:asciiTheme="minorHAnsi" w:hAnsiTheme="minorHAnsi" w:cstheme="minorHAnsi"/>
                <w:sz w:val="18"/>
                <w:szCs w:val="18"/>
              </w:rPr>
            </w:pPr>
          </w:p>
        </w:tc>
        <w:tc>
          <w:tcPr>
            <w:tcW w:w="1743" w:type="dxa"/>
            <w:gridSpan w:val="4"/>
            <w:tcBorders>
              <w:top w:val="single" w:sz="4" w:space="0" w:color="000000"/>
              <w:left w:val="single" w:sz="4" w:space="0" w:color="000000"/>
              <w:bottom w:val="single" w:sz="4" w:space="0" w:color="000000"/>
              <w:right w:val="single" w:sz="4" w:space="0" w:color="000000"/>
            </w:tcBorders>
            <w:hideMark/>
          </w:tcPr>
          <w:p w14:paraId="0D35F042" w14:textId="77777777" w:rsidR="00A21E64" w:rsidRDefault="00A21E64">
            <w:pPr>
              <w:rPr>
                <w:rFonts w:asciiTheme="minorHAnsi" w:hAnsiTheme="minorHAnsi" w:cstheme="minorHAnsi"/>
                <w:sz w:val="18"/>
                <w:szCs w:val="18"/>
              </w:rPr>
            </w:pPr>
            <w:r>
              <w:rPr>
                <w:rFonts w:asciiTheme="minorHAnsi" w:hAnsiTheme="minorHAnsi" w:cstheme="minorHAnsi"/>
                <w:i/>
                <w:color w:val="000000"/>
                <w:sz w:val="18"/>
                <w:szCs w:val="18"/>
              </w:rPr>
              <w:t>Total</w:t>
            </w:r>
          </w:p>
        </w:tc>
        <w:tc>
          <w:tcPr>
            <w:tcW w:w="1227" w:type="dxa"/>
            <w:gridSpan w:val="2"/>
            <w:tcBorders>
              <w:top w:val="single" w:sz="4" w:space="0" w:color="000000"/>
              <w:left w:val="single" w:sz="4" w:space="0" w:color="000000"/>
              <w:bottom w:val="single" w:sz="4" w:space="0" w:color="000000"/>
              <w:right w:val="single" w:sz="4" w:space="0" w:color="000000"/>
            </w:tcBorders>
            <w:hideMark/>
          </w:tcPr>
          <w:p w14:paraId="694EDF0D"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0</w:t>
            </w:r>
          </w:p>
        </w:tc>
        <w:tc>
          <w:tcPr>
            <w:tcW w:w="1428" w:type="dxa"/>
            <w:gridSpan w:val="2"/>
            <w:tcBorders>
              <w:top w:val="single" w:sz="4" w:space="0" w:color="000000"/>
              <w:left w:val="single" w:sz="4" w:space="0" w:color="000000"/>
              <w:bottom w:val="single" w:sz="4" w:space="0" w:color="000000"/>
              <w:right w:val="single" w:sz="4" w:space="0" w:color="000000"/>
            </w:tcBorders>
            <w:hideMark/>
          </w:tcPr>
          <w:p w14:paraId="11CFF614"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0</w:t>
            </w:r>
          </w:p>
        </w:tc>
        <w:tc>
          <w:tcPr>
            <w:tcW w:w="1188" w:type="dxa"/>
            <w:tcBorders>
              <w:top w:val="single" w:sz="4" w:space="0" w:color="000000"/>
              <w:left w:val="single" w:sz="4" w:space="0" w:color="000000"/>
              <w:bottom w:val="single" w:sz="4" w:space="0" w:color="000000"/>
              <w:right w:val="single" w:sz="4" w:space="0" w:color="000000"/>
            </w:tcBorders>
            <w:hideMark/>
          </w:tcPr>
          <w:p w14:paraId="72201682" w14:textId="77777777" w:rsidR="00A21E64" w:rsidRDefault="00A21E64">
            <w:pPr>
              <w:rPr>
                <w:rFonts w:asciiTheme="minorHAnsi" w:hAnsiTheme="minorHAnsi" w:cstheme="minorHAnsi"/>
                <w:i/>
                <w:color w:val="000000"/>
                <w:sz w:val="18"/>
                <w:szCs w:val="18"/>
              </w:rPr>
            </w:pP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 </w:t>
            </w:r>
            <w:r>
              <w:rPr>
                <w:rFonts w:asciiTheme="minorHAnsi" w:hAnsiTheme="minorHAnsi" w:cstheme="minorHAnsi"/>
                <w:i/>
                <w:color w:val="000000"/>
                <w:sz w:val="18"/>
                <w:szCs w:val="18"/>
              </w:rPr>
              <w:t>2000</w:t>
            </w:r>
          </w:p>
        </w:tc>
        <w:tc>
          <w:tcPr>
            <w:tcW w:w="1271" w:type="dxa"/>
            <w:tcBorders>
              <w:top w:val="single" w:sz="4" w:space="0" w:color="000000"/>
              <w:left w:val="single" w:sz="4" w:space="0" w:color="000000"/>
              <w:bottom w:val="single" w:sz="4" w:space="0" w:color="000000"/>
              <w:right w:val="single" w:sz="4" w:space="0" w:color="000000"/>
            </w:tcBorders>
            <w:hideMark/>
          </w:tcPr>
          <w:p w14:paraId="540C70BC" w14:textId="77777777" w:rsidR="00A21E64" w:rsidRDefault="00A21E64">
            <w:pPr>
              <w:jc w:val="center"/>
              <w:rPr>
                <w:rFonts w:asciiTheme="minorHAnsi" w:hAnsiTheme="minorHAnsi" w:cstheme="minorHAnsi"/>
                <w:i/>
                <w:color w:val="000000"/>
                <w:sz w:val="18"/>
                <w:szCs w:val="18"/>
              </w:rPr>
            </w:pPr>
            <w:r>
              <w:rPr>
                <w:rFonts w:asciiTheme="minorHAnsi" w:hAnsiTheme="minorHAnsi" w:cstheme="minorHAnsi"/>
                <w:i/>
                <w:color w:val="000000"/>
                <w:sz w:val="18"/>
                <w:szCs w:val="18"/>
              </w:rPr>
              <w:t>4000</w:t>
            </w:r>
          </w:p>
        </w:tc>
      </w:tr>
    </w:tbl>
    <w:p w14:paraId="5072FECB" w14:textId="77777777" w:rsidR="00A21E64" w:rsidRDefault="00A21E64" w:rsidP="00A21E64"/>
    <w:p w14:paraId="5ED318EF" w14:textId="567EC7D7" w:rsidR="002B55C1" w:rsidRPr="002B55C1" w:rsidRDefault="002B55C1" w:rsidP="002B55C1">
      <w:pPr>
        <w:spacing w:after="160" w:line="259" w:lineRule="auto"/>
      </w:pPr>
      <w:r>
        <w:br w:type="page"/>
      </w:r>
    </w:p>
    <w:p w14:paraId="5D9DF6BA" w14:textId="77777777" w:rsidR="00DC00FF" w:rsidRDefault="00DC00FF" w:rsidP="002B55C1">
      <w:pPr>
        <w:pStyle w:val="Heading2"/>
        <w:rPr>
          <w:rFonts w:asciiTheme="minorHAnsi" w:hAnsiTheme="minorHAnsi" w:cstheme="minorHAnsi"/>
          <w:b/>
          <w:bCs/>
          <w:color w:val="000000" w:themeColor="text1"/>
          <w:sz w:val="28"/>
          <w:szCs w:val="28"/>
        </w:rPr>
        <w:sectPr w:rsidR="00DC00FF" w:rsidSect="004B362B">
          <w:pgSz w:w="11906" w:h="16838"/>
          <w:pgMar w:top="1440" w:right="1440" w:bottom="1440" w:left="1440" w:header="706" w:footer="706" w:gutter="0"/>
          <w:cols w:space="708"/>
          <w:docGrid w:linePitch="360"/>
        </w:sectPr>
      </w:pPr>
    </w:p>
    <w:p w14:paraId="1BEE711C" w14:textId="5DAB87FA" w:rsidR="002B55C1" w:rsidRDefault="002B55C1" w:rsidP="002B55C1">
      <w:pPr>
        <w:pStyle w:val="Heading2"/>
        <w:rPr>
          <w:rFonts w:asciiTheme="minorHAnsi" w:hAnsiTheme="minorHAnsi" w:cstheme="minorHAnsi"/>
          <w:b/>
          <w:bCs/>
          <w:color w:val="000000" w:themeColor="text1"/>
          <w:sz w:val="28"/>
          <w:szCs w:val="28"/>
        </w:rPr>
      </w:pPr>
      <w:bookmarkStart w:id="71" w:name="_Toc115094404"/>
      <w:r w:rsidRPr="002B55C1">
        <w:rPr>
          <w:rFonts w:asciiTheme="minorHAnsi" w:hAnsiTheme="minorHAnsi" w:cstheme="minorHAnsi"/>
          <w:b/>
          <w:bCs/>
          <w:color w:val="000000" w:themeColor="text1"/>
          <w:sz w:val="28"/>
          <w:szCs w:val="28"/>
        </w:rPr>
        <w:lastRenderedPageBreak/>
        <w:t>Annex 11: GEF 7 Taxonomy</w:t>
      </w:r>
      <w:bookmarkEnd w:id="71"/>
    </w:p>
    <w:p w14:paraId="56562874" w14:textId="77777777" w:rsidR="00DC00FF" w:rsidRDefault="00DC00FF" w:rsidP="002B55C1">
      <w:pPr>
        <w:spacing w:after="160" w:line="259" w:lineRule="auto"/>
      </w:pPr>
    </w:p>
    <w:p w14:paraId="45983346" w14:textId="77777777" w:rsidR="00DC00FF" w:rsidRDefault="00DC00FF" w:rsidP="00DC00FF">
      <w:pPr>
        <w:rPr>
          <w:rFonts w:asciiTheme="minorHAnsi" w:hAnsiTheme="minorHAnsi" w:cstheme="minorHAnsi"/>
          <w:b/>
          <w:i/>
        </w:rPr>
      </w:pPr>
    </w:p>
    <w:tbl>
      <w:tblPr>
        <w:tblW w:w="5000" w:type="pct"/>
        <w:tblLook w:val="04A0" w:firstRow="1" w:lastRow="0" w:firstColumn="1" w:lastColumn="0" w:noHBand="0" w:noVBand="1"/>
      </w:tblPr>
      <w:tblGrid>
        <w:gridCol w:w="2758"/>
        <w:gridCol w:w="3171"/>
        <w:gridCol w:w="4084"/>
        <w:gridCol w:w="3945"/>
      </w:tblGrid>
      <w:tr w:rsidR="00DC00FF" w14:paraId="71CD8933" w14:textId="77777777" w:rsidTr="00DC00FF">
        <w:trPr>
          <w:trHeight w:val="68"/>
        </w:trPr>
        <w:tc>
          <w:tcPr>
            <w:tcW w:w="988" w:type="pct"/>
            <w:tcBorders>
              <w:top w:val="nil"/>
              <w:left w:val="nil"/>
              <w:bottom w:val="single" w:sz="12" w:space="0" w:color="4472C4"/>
              <w:right w:val="nil"/>
            </w:tcBorders>
            <w:hideMark/>
          </w:tcPr>
          <w:p w14:paraId="7AF3E44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Level 1</w:t>
            </w:r>
          </w:p>
        </w:tc>
        <w:tc>
          <w:tcPr>
            <w:tcW w:w="1136" w:type="pct"/>
            <w:tcBorders>
              <w:top w:val="nil"/>
              <w:left w:val="nil"/>
              <w:bottom w:val="single" w:sz="12" w:space="0" w:color="4472C4"/>
              <w:right w:val="nil"/>
            </w:tcBorders>
            <w:hideMark/>
          </w:tcPr>
          <w:p w14:paraId="7988C46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Level 2</w:t>
            </w:r>
          </w:p>
        </w:tc>
        <w:tc>
          <w:tcPr>
            <w:tcW w:w="1463" w:type="pct"/>
            <w:tcBorders>
              <w:top w:val="nil"/>
              <w:left w:val="nil"/>
              <w:bottom w:val="single" w:sz="12" w:space="0" w:color="4472C4"/>
              <w:right w:val="nil"/>
            </w:tcBorders>
            <w:hideMark/>
          </w:tcPr>
          <w:p w14:paraId="0EE3197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Level 3</w:t>
            </w:r>
          </w:p>
        </w:tc>
        <w:tc>
          <w:tcPr>
            <w:tcW w:w="1413" w:type="pct"/>
            <w:tcBorders>
              <w:top w:val="nil"/>
              <w:left w:val="nil"/>
              <w:bottom w:val="single" w:sz="12" w:space="0" w:color="4472C4"/>
              <w:right w:val="nil"/>
            </w:tcBorders>
            <w:hideMark/>
          </w:tcPr>
          <w:p w14:paraId="39544AF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Level 4</w:t>
            </w:r>
          </w:p>
        </w:tc>
      </w:tr>
      <w:tr w:rsidR="00DC00FF" w14:paraId="58588E7E" w14:textId="77777777" w:rsidTr="00DC00FF">
        <w:trPr>
          <w:trHeight w:val="51"/>
        </w:trPr>
        <w:tc>
          <w:tcPr>
            <w:tcW w:w="988" w:type="pct"/>
            <w:tcBorders>
              <w:top w:val="single" w:sz="4" w:space="0" w:color="auto"/>
              <w:left w:val="single" w:sz="4" w:space="0" w:color="auto"/>
              <w:bottom w:val="single" w:sz="4" w:space="0" w:color="auto"/>
              <w:right w:val="single" w:sz="4" w:space="0" w:color="auto"/>
            </w:tcBorders>
            <w:hideMark/>
          </w:tcPr>
          <w:p w14:paraId="751559B1"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Influencing models</w:t>
            </w:r>
          </w:p>
        </w:tc>
        <w:tc>
          <w:tcPr>
            <w:tcW w:w="1136" w:type="pct"/>
            <w:noWrap/>
            <w:vAlign w:val="bottom"/>
            <w:hideMark/>
          </w:tcPr>
          <w:p w14:paraId="4F1ED85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single" w:sz="4" w:space="0" w:color="auto"/>
              <w:left w:val="single" w:sz="4" w:space="0" w:color="auto"/>
              <w:bottom w:val="single" w:sz="4" w:space="0" w:color="auto"/>
              <w:right w:val="single" w:sz="4" w:space="0" w:color="auto"/>
            </w:tcBorders>
            <w:hideMark/>
          </w:tcPr>
          <w:p w14:paraId="6D5EFB0A"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single" w:sz="4" w:space="0" w:color="auto"/>
              <w:left w:val="nil"/>
              <w:bottom w:val="single" w:sz="4" w:space="0" w:color="auto"/>
              <w:right w:val="single" w:sz="4" w:space="0" w:color="auto"/>
            </w:tcBorders>
            <w:hideMark/>
          </w:tcPr>
          <w:p w14:paraId="6FD1A29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7AF37955" w14:textId="77777777" w:rsidTr="00DC00FF">
        <w:trPr>
          <w:trHeight w:val="233"/>
        </w:trPr>
        <w:tc>
          <w:tcPr>
            <w:tcW w:w="988" w:type="pct"/>
            <w:tcBorders>
              <w:top w:val="nil"/>
              <w:left w:val="single" w:sz="4" w:space="0" w:color="auto"/>
              <w:bottom w:val="single" w:sz="4" w:space="0" w:color="auto"/>
              <w:right w:val="single" w:sz="4" w:space="0" w:color="auto"/>
            </w:tcBorders>
            <w:hideMark/>
          </w:tcPr>
          <w:p w14:paraId="585F64C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single" w:sz="4" w:space="0" w:color="auto"/>
              <w:left w:val="nil"/>
              <w:bottom w:val="single" w:sz="4" w:space="0" w:color="auto"/>
              <w:right w:val="single" w:sz="4" w:space="0" w:color="auto"/>
            </w:tcBorders>
            <w:hideMark/>
          </w:tcPr>
          <w:p w14:paraId="5EAAA499" w14:textId="77777777" w:rsidR="00DC00FF" w:rsidRDefault="00DC00FF">
            <w:pPr>
              <w:ind w:left="204" w:hanging="204"/>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Transform policy and regulatory environments</w:t>
            </w:r>
          </w:p>
        </w:tc>
        <w:tc>
          <w:tcPr>
            <w:tcW w:w="1463" w:type="pct"/>
            <w:tcBorders>
              <w:top w:val="nil"/>
              <w:left w:val="nil"/>
              <w:bottom w:val="single" w:sz="4" w:space="0" w:color="auto"/>
              <w:right w:val="single" w:sz="4" w:space="0" w:color="auto"/>
            </w:tcBorders>
            <w:hideMark/>
          </w:tcPr>
          <w:p w14:paraId="53796E2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7483AF92"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7F5707AF" w14:textId="77777777" w:rsidTr="00DC00FF">
        <w:trPr>
          <w:trHeight w:val="386"/>
        </w:trPr>
        <w:tc>
          <w:tcPr>
            <w:tcW w:w="988" w:type="pct"/>
            <w:tcBorders>
              <w:top w:val="nil"/>
              <w:left w:val="single" w:sz="4" w:space="0" w:color="auto"/>
              <w:bottom w:val="single" w:sz="4" w:space="0" w:color="auto"/>
              <w:right w:val="single" w:sz="4" w:space="0" w:color="auto"/>
            </w:tcBorders>
            <w:hideMark/>
          </w:tcPr>
          <w:p w14:paraId="6982B77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6C59810" w14:textId="77777777" w:rsidR="00DC00FF" w:rsidRDefault="00DC00FF">
            <w:pPr>
              <w:ind w:left="204" w:hanging="204"/>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Strengthen institutional capacity and decision-making</w:t>
            </w:r>
          </w:p>
        </w:tc>
        <w:tc>
          <w:tcPr>
            <w:tcW w:w="1463" w:type="pct"/>
            <w:tcBorders>
              <w:top w:val="nil"/>
              <w:left w:val="nil"/>
              <w:bottom w:val="single" w:sz="4" w:space="0" w:color="auto"/>
              <w:right w:val="single" w:sz="4" w:space="0" w:color="auto"/>
            </w:tcBorders>
            <w:hideMark/>
          </w:tcPr>
          <w:p w14:paraId="7567885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1FE7168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6E76BDE" w14:textId="77777777" w:rsidTr="00DC00FF">
        <w:trPr>
          <w:trHeight w:val="89"/>
        </w:trPr>
        <w:tc>
          <w:tcPr>
            <w:tcW w:w="988" w:type="pct"/>
            <w:tcBorders>
              <w:top w:val="nil"/>
              <w:left w:val="single" w:sz="4" w:space="0" w:color="auto"/>
              <w:bottom w:val="single" w:sz="4" w:space="0" w:color="auto"/>
              <w:right w:val="single" w:sz="4" w:space="0" w:color="auto"/>
            </w:tcBorders>
            <w:hideMark/>
          </w:tcPr>
          <w:p w14:paraId="48CEC6F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FB33437" w14:textId="77777777" w:rsidR="00DC00FF" w:rsidRDefault="00DC00FF">
            <w:pPr>
              <w:ind w:left="204" w:hanging="204"/>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Convene multi-stakeholder alliances</w:t>
            </w:r>
          </w:p>
        </w:tc>
        <w:tc>
          <w:tcPr>
            <w:tcW w:w="1463" w:type="pct"/>
            <w:tcBorders>
              <w:top w:val="nil"/>
              <w:left w:val="nil"/>
              <w:bottom w:val="single" w:sz="4" w:space="0" w:color="auto"/>
              <w:right w:val="single" w:sz="4" w:space="0" w:color="auto"/>
            </w:tcBorders>
            <w:hideMark/>
          </w:tcPr>
          <w:p w14:paraId="58E6F6F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noWrap/>
            <w:vAlign w:val="bottom"/>
            <w:hideMark/>
          </w:tcPr>
          <w:p w14:paraId="2F9CA15E"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r>
      <w:tr w:rsidR="00DC00FF" w14:paraId="689DBBA1" w14:textId="77777777" w:rsidTr="00DC00FF">
        <w:trPr>
          <w:trHeight w:val="323"/>
        </w:trPr>
        <w:tc>
          <w:tcPr>
            <w:tcW w:w="988" w:type="pct"/>
            <w:tcBorders>
              <w:top w:val="nil"/>
              <w:left w:val="single" w:sz="4" w:space="0" w:color="auto"/>
              <w:bottom w:val="single" w:sz="4" w:space="0" w:color="auto"/>
              <w:right w:val="single" w:sz="4" w:space="0" w:color="auto"/>
            </w:tcBorders>
            <w:hideMark/>
          </w:tcPr>
          <w:p w14:paraId="1721D98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8A2B42A" w14:textId="77777777" w:rsidR="00DC00FF" w:rsidRDefault="00DC00FF">
            <w:pPr>
              <w:ind w:left="114" w:hanging="114"/>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Demonstrate innovative approaches</w:t>
            </w:r>
          </w:p>
        </w:tc>
        <w:tc>
          <w:tcPr>
            <w:tcW w:w="1463" w:type="pct"/>
            <w:tcBorders>
              <w:top w:val="nil"/>
              <w:left w:val="nil"/>
              <w:bottom w:val="single" w:sz="4" w:space="0" w:color="auto"/>
              <w:right w:val="single" w:sz="4" w:space="0" w:color="auto"/>
            </w:tcBorders>
            <w:hideMark/>
          </w:tcPr>
          <w:p w14:paraId="64E6518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72D175B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9D9C5E2" w14:textId="77777777" w:rsidTr="00DC00FF">
        <w:trPr>
          <w:trHeight w:val="305"/>
        </w:trPr>
        <w:tc>
          <w:tcPr>
            <w:tcW w:w="988" w:type="pct"/>
            <w:tcBorders>
              <w:top w:val="nil"/>
              <w:left w:val="single" w:sz="4" w:space="0" w:color="auto"/>
              <w:bottom w:val="single" w:sz="4" w:space="0" w:color="auto"/>
              <w:right w:val="single" w:sz="4" w:space="0" w:color="auto"/>
            </w:tcBorders>
            <w:hideMark/>
          </w:tcPr>
          <w:p w14:paraId="0633FAB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325EF30" w14:textId="77777777" w:rsidR="00DC00FF" w:rsidRDefault="00DC00FF">
            <w:pPr>
              <w:ind w:left="114" w:hanging="114"/>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Deploy innovative financial instruments</w:t>
            </w:r>
          </w:p>
        </w:tc>
        <w:tc>
          <w:tcPr>
            <w:tcW w:w="1463" w:type="pct"/>
            <w:tcBorders>
              <w:top w:val="nil"/>
              <w:left w:val="nil"/>
              <w:bottom w:val="single" w:sz="4" w:space="0" w:color="auto"/>
              <w:right w:val="single" w:sz="4" w:space="0" w:color="auto"/>
            </w:tcBorders>
            <w:hideMark/>
          </w:tcPr>
          <w:p w14:paraId="3155BA7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40DF194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0CE70FD" w14:textId="77777777" w:rsidTr="00DC00FF">
        <w:trPr>
          <w:trHeight w:val="188"/>
        </w:trPr>
        <w:tc>
          <w:tcPr>
            <w:tcW w:w="988" w:type="pct"/>
            <w:tcBorders>
              <w:top w:val="nil"/>
              <w:left w:val="single" w:sz="4" w:space="0" w:color="auto"/>
              <w:bottom w:val="single" w:sz="4" w:space="0" w:color="auto"/>
              <w:right w:val="single" w:sz="4" w:space="0" w:color="auto"/>
            </w:tcBorders>
            <w:hideMark/>
          </w:tcPr>
          <w:p w14:paraId="42894A11"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Stakeholders</w:t>
            </w:r>
          </w:p>
        </w:tc>
        <w:tc>
          <w:tcPr>
            <w:tcW w:w="1136" w:type="pct"/>
            <w:tcBorders>
              <w:top w:val="nil"/>
              <w:left w:val="nil"/>
              <w:bottom w:val="single" w:sz="4" w:space="0" w:color="auto"/>
              <w:right w:val="single" w:sz="4" w:space="0" w:color="auto"/>
            </w:tcBorders>
            <w:hideMark/>
          </w:tcPr>
          <w:p w14:paraId="27EB354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567F37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7FF3A35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5B3B439" w14:textId="77777777" w:rsidTr="00DC00FF">
        <w:trPr>
          <w:trHeight w:val="161"/>
        </w:trPr>
        <w:tc>
          <w:tcPr>
            <w:tcW w:w="988" w:type="pct"/>
            <w:tcBorders>
              <w:top w:val="nil"/>
              <w:left w:val="single" w:sz="4" w:space="0" w:color="auto"/>
              <w:bottom w:val="single" w:sz="4" w:space="0" w:color="auto"/>
              <w:right w:val="single" w:sz="4" w:space="0" w:color="auto"/>
            </w:tcBorders>
            <w:hideMark/>
          </w:tcPr>
          <w:p w14:paraId="4AD163D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DF0F9D6"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ed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 xml:space="preserve">Indigenous Peoples </w:t>
            </w:r>
          </w:p>
        </w:tc>
        <w:tc>
          <w:tcPr>
            <w:tcW w:w="1463" w:type="pct"/>
            <w:tcBorders>
              <w:top w:val="nil"/>
              <w:left w:val="nil"/>
              <w:bottom w:val="single" w:sz="4" w:space="0" w:color="auto"/>
              <w:right w:val="single" w:sz="4" w:space="0" w:color="auto"/>
            </w:tcBorders>
            <w:hideMark/>
          </w:tcPr>
          <w:p w14:paraId="00AD7DC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1AC0135E"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2237FAE" w14:textId="77777777" w:rsidTr="00DC00FF">
        <w:trPr>
          <w:trHeight w:val="152"/>
        </w:trPr>
        <w:tc>
          <w:tcPr>
            <w:tcW w:w="988" w:type="pct"/>
            <w:tcBorders>
              <w:top w:val="nil"/>
              <w:left w:val="single" w:sz="4" w:space="0" w:color="auto"/>
              <w:bottom w:val="single" w:sz="4" w:space="0" w:color="auto"/>
              <w:right w:val="single" w:sz="4" w:space="0" w:color="auto"/>
            </w:tcBorders>
            <w:hideMark/>
          </w:tcPr>
          <w:p w14:paraId="6A15C11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F9D715C"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Private Sector</w:t>
            </w:r>
          </w:p>
        </w:tc>
        <w:tc>
          <w:tcPr>
            <w:tcW w:w="1463" w:type="pct"/>
            <w:tcBorders>
              <w:top w:val="nil"/>
              <w:left w:val="nil"/>
              <w:bottom w:val="single" w:sz="4" w:space="0" w:color="auto"/>
              <w:right w:val="single" w:sz="4" w:space="0" w:color="auto"/>
            </w:tcBorders>
            <w:hideMark/>
          </w:tcPr>
          <w:p w14:paraId="3612C6BE"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095F253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0BC004C"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46E601B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0DD8D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E7ABEF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Capital providers</w:t>
            </w:r>
          </w:p>
        </w:tc>
        <w:tc>
          <w:tcPr>
            <w:tcW w:w="1413" w:type="pct"/>
            <w:tcBorders>
              <w:top w:val="nil"/>
              <w:left w:val="nil"/>
              <w:bottom w:val="single" w:sz="4" w:space="0" w:color="auto"/>
              <w:right w:val="single" w:sz="4" w:space="0" w:color="auto"/>
            </w:tcBorders>
            <w:hideMark/>
          </w:tcPr>
          <w:p w14:paraId="55FCDD2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096B50E9" w14:textId="77777777" w:rsidTr="00DC00FF">
        <w:trPr>
          <w:trHeight w:val="179"/>
        </w:trPr>
        <w:tc>
          <w:tcPr>
            <w:tcW w:w="988" w:type="pct"/>
            <w:tcBorders>
              <w:top w:val="nil"/>
              <w:left w:val="single" w:sz="4" w:space="0" w:color="auto"/>
              <w:bottom w:val="single" w:sz="4" w:space="0" w:color="auto"/>
              <w:right w:val="single" w:sz="4" w:space="0" w:color="auto"/>
            </w:tcBorders>
            <w:hideMark/>
          </w:tcPr>
          <w:p w14:paraId="27643E2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BB0154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D2D6C2F" w14:textId="77777777" w:rsidR="00DC00FF" w:rsidRDefault="00DC00FF">
            <w:pPr>
              <w:ind w:left="150" w:hanging="150"/>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Financial intermediaries and market facilitators</w:t>
            </w:r>
          </w:p>
        </w:tc>
        <w:tc>
          <w:tcPr>
            <w:tcW w:w="1413" w:type="pct"/>
            <w:tcBorders>
              <w:top w:val="nil"/>
              <w:left w:val="nil"/>
              <w:bottom w:val="single" w:sz="4" w:space="0" w:color="auto"/>
              <w:right w:val="single" w:sz="4" w:space="0" w:color="auto"/>
            </w:tcBorders>
            <w:hideMark/>
          </w:tcPr>
          <w:p w14:paraId="129C18A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304A1E3" w14:textId="77777777" w:rsidTr="00DC00FF">
        <w:trPr>
          <w:trHeight w:val="197"/>
        </w:trPr>
        <w:tc>
          <w:tcPr>
            <w:tcW w:w="988" w:type="pct"/>
            <w:tcBorders>
              <w:top w:val="nil"/>
              <w:left w:val="single" w:sz="4" w:space="0" w:color="auto"/>
              <w:bottom w:val="single" w:sz="4" w:space="0" w:color="auto"/>
              <w:right w:val="single" w:sz="4" w:space="0" w:color="auto"/>
            </w:tcBorders>
            <w:hideMark/>
          </w:tcPr>
          <w:p w14:paraId="750BA6A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B0439D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C2CC94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Large corporations</w:t>
            </w:r>
          </w:p>
        </w:tc>
        <w:tc>
          <w:tcPr>
            <w:tcW w:w="1413" w:type="pct"/>
            <w:tcBorders>
              <w:top w:val="nil"/>
              <w:left w:val="nil"/>
              <w:bottom w:val="single" w:sz="4" w:space="0" w:color="auto"/>
              <w:right w:val="single" w:sz="4" w:space="0" w:color="auto"/>
            </w:tcBorders>
            <w:hideMark/>
          </w:tcPr>
          <w:p w14:paraId="6D3345A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8AE137C" w14:textId="77777777" w:rsidTr="00DC00FF">
        <w:trPr>
          <w:trHeight w:val="179"/>
        </w:trPr>
        <w:tc>
          <w:tcPr>
            <w:tcW w:w="988" w:type="pct"/>
            <w:tcBorders>
              <w:top w:val="nil"/>
              <w:left w:val="single" w:sz="4" w:space="0" w:color="auto"/>
              <w:bottom w:val="single" w:sz="4" w:space="0" w:color="auto"/>
              <w:right w:val="single" w:sz="4" w:space="0" w:color="auto"/>
            </w:tcBorders>
            <w:hideMark/>
          </w:tcPr>
          <w:p w14:paraId="43C3698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AB4B87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2146A58"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SMEs</w:t>
            </w:r>
          </w:p>
        </w:tc>
        <w:tc>
          <w:tcPr>
            <w:tcW w:w="1413" w:type="pct"/>
            <w:tcBorders>
              <w:top w:val="nil"/>
              <w:left w:val="nil"/>
              <w:bottom w:val="single" w:sz="4" w:space="0" w:color="auto"/>
              <w:right w:val="single" w:sz="4" w:space="0" w:color="auto"/>
            </w:tcBorders>
            <w:hideMark/>
          </w:tcPr>
          <w:p w14:paraId="24407AA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4B9BBD5" w14:textId="77777777" w:rsidTr="00DC00FF">
        <w:trPr>
          <w:trHeight w:val="152"/>
        </w:trPr>
        <w:tc>
          <w:tcPr>
            <w:tcW w:w="988" w:type="pct"/>
            <w:tcBorders>
              <w:top w:val="nil"/>
              <w:left w:val="single" w:sz="4" w:space="0" w:color="auto"/>
              <w:bottom w:val="single" w:sz="4" w:space="0" w:color="auto"/>
              <w:right w:val="single" w:sz="4" w:space="0" w:color="auto"/>
            </w:tcBorders>
            <w:hideMark/>
          </w:tcPr>
          <w:p w14:paraId="292E6C7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502F03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CC61433"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Individuals/Entrepreneurs</w:t>
            </w:r>
          </w:p>
        </w:tc>
        <w:tc>
          <w:tcPr>
            <w:tcW w:w="1413" w:type="pct"/>
            <w:tcBorders>
              <w:top w:val="nil"/>
              <w:left w:val="nil"/>
              <w:bottom w:val="single" w:sz="4" w:space="0" w:color="auto"/>
              <w:right w:val="single" w:sz="4" w:space="0" w:color="auto"/>
            </w:tcBorders>
            <w:hideMark/>
          </w:tcPr>
          <w:p w14:paraId="26018E3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256F7ED"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0467AAC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80F6A5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single" w:sz="4" w:space="0" w:color="7F7F7F"/>
              <w:left w:val="single" w:sz="4" w:space="0" w:color="7F7F7F"/>
              <w:bottom w:val="single" w:sz="4" w:space="0" w:color="7F7F7F"/>
              <w:right w:val="single" w:sz="4" w:space="0" w:color="7F7F7F"/>
            </w:tcBorders>
            <w:hideMark/>
          </w:tcPr>
          <w:p w14:paraId="226E469F"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Non-Grant Pilot</w:t>
            </w:r>
          </w:p>
        </w:tc>
        <w:tc>
          <w:tcPr>
            <w:tcW w:w="1413" w:type="pct"/>
            <w:hideMark/>
          </w:tcPr>
          <w:p w14:paraId="7B980724"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89CC77D" w14:textId="77777777" w:rsidTr="00DC00FF">
        <w:trPr>
          <w:trHeight w:val="161"/>
        </w:trPr>
        <w:tc>
          <w:tcPr>
            <w:tcW w:w="988" w:type="pct"/>
            <w:tcBorders>
              <w:top w:val="nil"/>
              <w:left w:val="single" w:sz="4" w:space="0" w:color="auto"/>
              <w:bottom w:val="single" w:sz="4" w:space="0" w:color="auto"/>
              <w:right w:val="single" w:sz="4" w:space="0" w:color="auto"/>
            </w:tcBorders>
            <w:hideMark/>
          </w:tcPr>
          <w:p w14:paraId="2D71FEB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9456E2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single" w:sz="4" w:space="0" w:color="7F7F7F"/>
              <w:bottom w:val="single" w:sz="4" w:space="0" w:color="7F7F7F"/>
              <w:right w:val="single" w:sz="4" w:space="0" w:color="7F7F7F"/>
            </w:tcBorders>
            <w:hideMark/>
          </w:tcPr>
          <w:p w14:paraId="479E8B9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Project Reflow</w:t>
            </w:r>
          </w:p>
        </w:tc>
        <w:tc>
          <w:tcPr>
            <w:tcW w:w="1413" w:type="pct"/>
            <w:hideMark/>
          </w:tcPr>
          <w:p w14:paraId="285D9152"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D717378" w14:textId="77777777" w:rsidTr="00DC00FF">
        <w:trPr>
          <w:trHeight w:val="170"/>
        </w:trPr>
        <w:tc>
          <w:tcPr>
            <w:tcW w:w="988" w:type="pct"/>
            <w:tcBorders>
              <w:top w:val="nil"/>
              <w:left w:val="single" w:sz="4" w:space="0" w:color="auto"/>
              <w:bottom w:val="single" w:sz="4" w:space="0" w:color="auto"/>
              <w:right w:val="single" w:sz="4" w:space="0" w:color="auto"/>
            </w:tcBorders>
            <w:hideMark/>
          </w:tcPr>
          <w:p w14:paraId="219DD1F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E8BC1A0"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Beneficiaries</w:t>
            </w:r>
          </w:p>
        </w:tc>
        <w:tc>
          <w:tcPr>
            <w:tcW w:w="1463" w:type="pct"/>
            <w:tcBorders>
              <w:top w:val="single" w:sz="4" w:space="0" w:color="auto"/>
              <w:left w:val="nil"/>
              <w:bottom w:val="single" w:sz="4" w:space="0" w:color="auto"/>
              <w:right w:val="single" w:sz="4" w:space="0" w:color="auto"/>
            </w:tcBorders>
            <w:hideMark/>
          </w:tcPr>
          <w:p w14:paraId="128FDE0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single" w:sz="4" w:space="0" w:color="auto"/>
              <w:left w:val="nil"/>
              <w:bottom w:val="single" w:sz="4" w:space="0" w:color="auto"/>
              <w:right w:val="single" w:sz="4" w:space="0" w:color="auto"/>
            </w:tcBorders>
            <w:hideMark/>
          </w:tcPr>
          <w:p w14:paraId="3444C61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71D4520" w14:textId="77777777" w:rsidTr="00DC00FF">
        <w:trPr>
          <w:trHeight w:val="161"/>
        </w:trPr>
        <w:tc>
          <w:tcPr>
            <w:tcW w:w="988" w:type="pct"/>
            <w:tcBorders>
              <w:top w:val="nil"/>
              <w:left w:val="single" w:sz="4" w:space="0" w:color="auto"/>
              <w:bottom w:val="single" w:sz="4" w:space="0" w:color="auto"/>
              <w:right w:val="single" w:sz="4" w:space="0" w:color="auto"/>
            </w:tcBorders>
            <w:hideMark/>
          </w:tcPr>
          <w:p w14:paraId="1467A52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73690FE"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Local Communities</w:t>
            </w:r>
          </w:p>
        </w:tc>
        <w:tc>
          <w:tcPr>
            <w:tcW w:w="1463" w:type="pct"/>
            <w:tcBorders>
              <w:top w:val="nil"/>
              <w:left w:val="nil"/>
              <w:bottom w:val="single" w:sz="4" w:space="0" w:color="auto"/>
              <w:right w:val="single" w:sz="4" w:space="0" w:color="auto"/>
            </w:tcBorders>
            <w:hideMark/>
          </w:tcPr>
          <w:p w14:paraId="33654E5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507B594A"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C354606"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28F19CE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81D9100"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Civil Society</w:t>
            </w:r>
          </w:p>
        </w:tc>
        <w:tc>
          <w:tcPr>
            <w:tcW w:w="1463" w:type="pct"/>
            <w:tcBorders>
              <w:top w:val="nil"/>
              <w:left w:val="nil"/>
              <w:bottom w:val="single" w:sz="4" w:space="0" w:color="auto"/>
              <w:right w:val="single" w:sz="4" w:space="0" w:color="auto"/>
            </w:tcBorders>
            <w:hideMark/>
          </w:tcPr>
          <w:p w14:paraId="01509E9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0CE0EEC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58349BF"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12CC319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E96D15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AEA059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 xml:space="preserve">Community Based Organization </w:t>
            </w:r>
          </w:p>
        </w:tc>
        <w:tc>
          <w:tcPr>
            <w:tcW w:w="1413" w:type="pct"/>
            <w:tcBorders>
              <w:top w:val="nil"/>
              <w:left w:val="nil"/>
              <w:bottom w:val="single" w:sz="4" w:space="0" w:color="auto"/>
              <w:right w:val="single" w:sz="4" w:space="0" w:color="auto"/>
            </w:tcBorders>
            <w:hideMark/>
          </w:tcPr>
          <w:p w14:paraId="3EE5EB5E"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6ED95C6"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68B0DAA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3C0662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71C805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Non-Governmental Organization</w:t>
            </w:r>
          </w:p>
        </w:tc>
        <w:tc>
          <w:tcPr>
            <w:tcW w:w="1413" w:type="pct"/>
            <w:tcBorders>
              <w:top w:val="nil"/>
              <w:left w:val="nil"/>
              <w:bottom w:val="single" w:sz="4" w:space="0" w:color="auto"/>
              <w:right w:val="single" w:sz="4" w:space="0" w:color="auto"/>
            </w:tcBorders>
            <w:hideMark/>
          </w:tcPr>
          <w:p w14:paraId="4B74B26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93354F5"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7397C42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04C728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FD313D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Academia</w:t>
            </w:r>
          </w:p>
        </w:tc>
        <w:tc>
          <w:tcPr>
            <w:tcW w:w="1413" w:type="pct"/>
            <w:tcBorders>
              <w:top w:val="nil"/>
              <w:left w:val="nil"/>
              <w:bottom w:val="single" w:sz="4" w:space="0" w:color="auto"/>
              <w:right w:val="single" w:sz="4" w:space="0" w:color="auto"/>
            </w:tcBorders>
            <w:hideMark/>
          </w:tcPr>
          <w:p w14:paraId="4FACF4A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45CEFB4A" w14:textId="77777777" w:rsidTr="00DC00FF">
        <w:trPr>
          <w:trHeight w:val="71"/>
        </w:trPr>
        <w:tc>
          <w:tcPr>
            <w:tcW w:w="988" w:type="pct"/>
            <w:tcBorders>
              <w:top w:val="nil"/>
              <w:left w:val="single" w:sz="4" w:space="0" w:color="auto"/>
              <w:bottom w:val="single" w:sz="4" w:space="0" w:color="auto"/>
              <w:right w:val="single" w:sz="4" w:space="0" w:color="auto"/>
            </w:tcBorders>
            <w:hideMark/>
          </w:tcPr>
          <w:p w14:paraId="014F191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2834CC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224F63D" w14:textId="77777777" w:rsidR="00DC00FF" w:rsidRDefault="00DC00FF">
            <w:pPr>
              <w:ind w:left="150" w:hanging="150"/>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Trade Unions and Workers Unions</w:t>
            </w:r>
          </w:p>
        </w:tc>
        <w:tc>
          <w:tcPr>
            <w:tcW w:w="1413" w:type="pct"/>
            <w:tcBorders>
              <w:top w:val="nil"/>
              <w:left w:val="nil"/>
              <w:bottom w:val="single" w:sz="4" w:space="0" w:color="auto"/>
              <w:right w:val="single" w:sz="4" w:space="0" w:color="auto"/>
            </w:tcBorders>
            <w:hideMark/>
          </w:tcPr>
          <w:p w14:paraId="2F074AD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0BB20DF" w14:textId="77777777" w:rsidTr="00DC00FF">
        <w:trPr>
          <w:trHeight w:val="197"/>
        </w:trPr>
        <w:tc>
          <w:tcPr>
            <w:tcW w:w="988" w:type="pct"/>
            <w:tcBorders>
              <w:top w:val="nil"/>
              <w:left w:val="single" w:sz="4" w:space="0" w:color="auto"/>
              <w:bottom w:val="single" w:sz="4" w:space="0" w:color="auto"/>
              <w:right w:val="single" w:sz="4" w:space="0" w:color="auto"/>
            </w:tcBorders>
            <w:hideMark/>
          </w:tcPr>
          <w:p w14:paraId="308B0FE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1EE492A"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Type of Engagement</w:t>
            </w:r>
          </w:p>
        </w:tc>
        <w:tc>
          <w:tcPr>
            <w:tcW w:w="1463" w:type="pct"/>
            <w:tcBorders>
              <w:top w:val="nil"/>
              <w:left w:val="nil"/>
              <w:bottom w:val="single" w:sz="4" w:space="0" w:color="auto"/>
              <w:right w:val="single" w:sz="4" w:space="0" w:color="auto"/>
            </w:tcBorders>
            <w:hideMark/>
          </w:tcPr>
          <w:p w14:paraId="0D79C334"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1342476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AB871E6" w14:textId="77777777" w:rsidTr="00DC00FF">
        <w:trPr>
          <w:trHeight w:val="161"/>
        </w:trPr>
        <w:tc>
          <w:tcPr>
            <w:tcW w:w="988" w:type="pct"/>
            <w:tcBorders>
              <w:top w:val="nil"/>
              <w:left w:val="single" w:sz="4" w:space="0" w:color="auto"/>
              <w:bottom w:val="single" w:sz="4" w:space="0" w:color="auto"/>
              <w:right w:val="single" w:sz="4" w:space="0" w:color="auto"/>
            </w:tcBorders>
            <w:hideMark/>
          </w:tcPr>
          <w:p w14:paraId="55E90A0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83210C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3BB37AD"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Information Dissemination</w:t>
            </w:r>
          </w:p>
        </w:tc>
        <w:tc>
          <w:tcPr>
            <w:tcW w:w="1413" w:type="pct"/>
            <w:tcBorders>
              <w:top w:val="nil"/>
              <w:left w:val="nil"/>
              <w:bottom w:val="single" w:sz="4" w:space="0" w:color="auto"/>
              <w:right w:val="single" w:sz="4" w:space="0" w:color="auto"/>
            </w:tcBorders>
            <w:hideMark/>
          </w:tcPr>
          <w:p w14:paraId="2053D25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DCE94B8" w14:textId="77777777" w:rsidTr="00DC00FF">
        <w:trPr>
          <w:trHeight w:val="143"/>
        </w:trPr>
        <w:tc>
          <w:tcPr>
            <w:tcW w:w="988" w:type="pct"/>
            <w:tcBorders>
              <w:top w:val="nil"/>
              <w:left w:val="single" w:sz="4" w:space="0" w:color="auto"/>
              <w:bottom w:val="single" w:sz="4" w:space="0" w:color="auto"/>
              <w:right w:val="single" w:sz="4" w:space="0" w:color="auto"/>
            </w:tcBorders>
            <w:hideMark/>
          </w:tcPr>
          <w:p w14:paraId="20F663C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75F110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51E034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Partnership</w:t>
            </w:r>
          </w:p>
        </w:tc>
        <w:tc>
          <w:tcPr>
            <w:tcW w:w="1413" w:type="pct"/>
            <w:tcBorders>
              <w:top w:val="nil"/>
              <w:left w:val="nil"/>
              <w:bottom w:val="single" w:sz="4" w:space="0" w:color="auto"/>
              <w:right w:val="single" w:sz="4" w:space="0" w:color="auto"/>
            </w:tcBorders>
            <w:hideMark/>
          </w:tcPr>
          <w:p w14:paraId="6B718A2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39277D5"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792C55D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4E63B2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F7902FD"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Consultation</w:t>
            </w:r>
          </w:p>
        </w:tc>
        <w:tc>
          <w:tcPr>
            <w:tcW w:w="1413" w:type="pct"/>
            <w:tcBorders>
              <w:top w:val="nil"/>
              <w:left w:val="nil"/>
              <w:bottom w:val="single" w:sz="4" w:space="0" w:color="auto"/>
              <w:right w:val="single" w:sz="4" w:space="0" w:color="auto"/>
            </w:tcBorders>
            <w:hideMark/>
          </w:tcPr>
          <w:p w14:paraId="6074955A"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C0CE6DF" w14:textId="77777777" w:rsidTr="00DC00FF">
        <w:trPr>
          <w:trHeight w:val="170"/>
        </w:trPr>
        <w:tc>
          <w:tcPr>
            <w:tcW w:w="988" w:type="pct"/>
            <w:tcBorders>
              <w:top w:val="nil"/>
              <w:left w:val="single" w:sz="4" w:space="0" w:color="auto"/>
              <w:bottom w:val="single" w:sz="4" w:space="0" w:color="auto"/>
              <w:right w:val="single" w:sz="4" w:space="0" w:color="auto"/>
            </w:tcBorders>
            <w:hideMark/>
          </w:tcPr>
          <w:p w14:paraId="550C13E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B65342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48E99D5"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Participation</w:t>
            </w:r>
          </w:p>
        </w:tc>
        <w:tc>
          <w:tcPr>
            <w:tcW w:w="1413" w:type="pct"/>
            <w:tcBorders>
              <w:top w:val="nil"/>
              <w:left w:val="nil"/>
              <w:bottom w:val="single" w:sz="4" w:space="0" w:color="auto"/>
              <w:right w:val="single" w:sz="4" w:space="0" w:color="auto"/>
            </w:tcBorders>
            <w:hideMark/>
          </w:tcPr>
          <w:p w14:paraId="6DB035C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10F6C86" w14:textId="77777777" w:rsidTr="00DC00FF">
        <w:trPr>
          <w:trHeight w:val="170"/>
        </w:trPr>
        <w:tc>
          <w:tcPr>
            <w:tcW w:w="988" w:type="pct"/>
            <w:tcBorders>
              <w:top w:val="nil"/>
              <w:left w:val="single" w:sz="4" w:space="0" w:color="auto"/>
              <w:bottom w:val="single" w:sz="4" w:space="0" w:color="auto"/>
              <w:right w:val="single" w:sz="4" w:space="0" w:color="auto"/>
            </w:tcBorders>
          </w:tcPr>
          <w:p w14:paraId="3601B3FB"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hideMark/>
          </w:tcPr>
          <w:p w14:paraId="7A627C25"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Communications</w:t>
            </w:r>
          </w:p>
        </w:tc>
        <w:tc>
          <w:tcPr>
            <w:tcW w:w="1463" w:type="pct"/>
            <w:tcBorders>
              <w:top w:val="nil"/>
              <w:left w:val="nil"/>
              <w:bottom w:val="single" w:sz="4" w:space="0" w:color="auto"/>
              <w:right w:val="single" w:sz="4" w:space="0" w:color="auto"/>
            </w:tcBorders>
          </w:tcPr>
          <w:p w14:paraId="2F41A116"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03CD9666" w14:textId="77777777" w:rsidR="00DC00FF" w:rsidRDefault="00DC00FF">
            <w:pPr>
              <w:rPr>
                <w:rFonts w:ascii="Avenir Next Regular" w:hAnsi="Avenir Next Regular" w:cs="Calibri"/>
                <w:color w:val="000000"/>
                <w:sz w:val="16"/>
                <w:szCs w:val="16"/>
              </w:rPr>
            </w:pPr>
          </w:p>
        </w:tc>
      </w:tr>
      <w:tr w:rsidR="00DC00FF" w14:paraId="0C7EAEAE" w14:textId="77777777" w:rsidTr="00DC00FF">
        <w:trPr>
          <w:trHeight w:val="170"/>
        </w:trPr>
        <w:tc>
          <w:tcPr>
            <w:tcW w:w="988" w:type="pct"/>
            <w:tcBorders>
              <w:top w:val="nil"/>
              <w:left w:val="single" w:sz="4" w:space="0" w:color="auto"/>
              <w:bottom w:val="single" w:sz="4" w:space="0" w:color="auto"/>
              <w:right w:val="single" w:sz="4" w:space="0" w:color="auto"/>
            </w:tcBorders>
          </w:tcPr>
          <w:p w14:paraId="47C2FD43"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1E7AD01B"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688E55CD" w14:textId="77777777" w:rsidR="00DC00FF" w:rsidRDefault="00DC00FF">
            <w:pPr>
              <w:rPr>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Awareness Raising</w:t>
            </w:r>
          </w:p>
        </w:tc>
        <w:tc>
          <w:tcPr>
            <w:tcW w:w="1413" w:type="pct"/>
            <w:tcBorders>
              <w:top w:val="nil"/>
              <w:left w:val="nil"/>
              <w:bottom w:val="single" w:sz="4" w:space="0" w:color="auto"/>
              <w:right w:val="single" w:sz="4" w:space="0" w:color="auto"/>
            </w:tcBorders>
          </w:tcPr>
          <w:p w14:paraId="377E89F1" w14:textId="77777777" w:rsidR="00DC00FF" w:rsidRDefault="00DC00FF">
            <w:pPr>
              <w:rPr>
                <w:rFonts w:ascii="Avenir Next Regular" w:hAnsi="Avenir Next Regular" w:cs="Calibri"/>
                <w:color w:val="000000"/>
                <w:sz w:val="16"/>
                <w:szCs w:val="16"/>
              </w:rPr>
            </w:pPr>
          </w:p>
        </w:tc>
      </w:tr>
      <w:tr w:rsidR="00DC00FF" w14:paraId="0C74CD7D" w14:textId="77777777" w:rsidTr="00DC00FF">
        <w:trPr>
          <w:trHeight w:val="170"/>
        </w:trPr>
        <w:tc>
          <w:tcPr>
            <w:tcW w:w="988" w:type="pct"/>
            <w:tcBorders>
              <w:top w:val="nil"/>
              <w:left w:val="single" w:sz="4" w:space="0" w:color="auto"/>
              <w:bottom w:val="single" w:sz="4" w:space="0" w:color="auto"/>
              <w:right w:val="single" w:sz="4" w:space="0" w:color="auto"/>
            </w:tcBorders>
          </w:tcPr>
          <w:p w14:paraId="730011AA"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64B29965"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hideMark/>
          </w:tcPr>
          <w:p w14:paraId="32B3B499"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Education</w:t>
            </w:r>
          </w:p>
        </w:tc>
        <w:tc>
          <w:tcPr>
            <w:tcW w:w="1413" w:type="pct"/>
            <w:tcBorders>
              <w:top w:val="nil"/>
              <w:left w:val="nil"/>
              <w:bottom w:val="single" w:sz="4" w:space="0" w:color="auto"/>
              <w:right w:val="single" w:sz="4" w:space="0" w:color="auto"/>
            </w:tcBorders>
          </w:tcPr>
          <w:p w14:paraId="3324238E" w14:textId="77777777" w:rsidR="00DC00FF" w:rsidRDefault="00DC00FF">
            <w:pPr>
              <w:rPr>
                <w:rFonts w:ascii="Avenir Next Regular" w:hAnsi="Avenir Next Regular" w:cs="Calibri"/>
                <w:color w:val="000000"/>
                <w:sz w:val="16"/>
                <w:szCs w:val="16"/>
              </w:rPr>
            </w:pPr>
          </w:p>
        </w:tc>
      </w:tr>
      <w:tr w:rsidR="00DC00FF" w14:paraId="1F829F9E" w14:textId="77777777" w:rsidTr="00DC00FF">
        <w:trPr>
          <w:trHeight w:val="170"/>
        </w:trPr>
        <w:tc>
          <w:tcPr>
            <w:tcW w:w="988" w:type="pct"/>
            <w:tcBorders>
              <w:top w:val="nil"/>
              <w:left w:val="single" w:sz="4" w:space="0" w:color="auto"/>
              <w:bottom w:val="single" w:sz="4" w:space="0" w:color="auto"/>
              <w:right w:val="single" w:sz="4" w:space="0" w:color="auto"/>
            </w:tcBorders>
          </w:tcPr>
          <w:p w14:paraId="77FBF226"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17858F6C"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hideMark/>
          </w:tcPr>
          <w:p w14:paraId="79DBE032"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Public Campaigns</w:t>
            </w:r>
          </w:p>
        </w:tc>
        <w:tc>
          <w:tcPr>
            <w:tcW w:w="1413" w:type="pct"/>
            <w:tcBorders>
              <w:top w:val="nil"/>
              <w:left w:val="nil"/>
              <w:bottom w:val="single" w:sz="4" w:space="0" w:color="auto"/>
              <w:right w:val="single" w:sz="4" w:space="0" w:color="auto"/>
            </w:tcBorders>
          </w:tcPr>
          <w:p w14:paraId="0334E6B0" w14:textId="77777777" w:rsidR="00DC00FF" w:rsidRDefault="00DC00FF">
            <w:pPr>
              <w:rPr>
                <w:rFonts w:ascii="Avenir Next Regular" w:hAnsi="Avenir Next Regular" w:cs="Calibri"/>
                <w:color w:val="000000"/>
                <w:sz w:val="16"/>
                <w:szCs w:val="16"/>
              </w:rPr>
            </w:pPr>
          </w:p>
        </w:tc>
      </w:tr>
      <w:tr w:rsidR="00DC00FF" w14:paraId="42CF24A2" w14:textId="77777777" w:rsidTr="00DC00FF">
        <w:trPr>
          <w:trHeight w:val="170"/>
        </w:trPr>
        <w:tc>
          <w:tcPr>
            <w:tcW w:w="988" w:type="pct"/>
            <w:tcBorders>
              <w:top w:val="nil"/>
              <w:left w:val="single" w:sz="4" w:space="0" w:color="auto"/>
              <w:bottom w:val="single" w:sz="4" w:space="0" w:color="auto"/>
              <w:right w:val="single" w:sz="4" w:space="0" w:color="auto"/>
            </w:tcBorders>
          </w:tcPr>
          <w:p w14:paraId="71323448"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2E0CB4BB"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hideMark/>
          </w:tcPr>
          <w:p w14:paraId="387E261A"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Behavior Change</w:t>
            </w:r>
          </w:p>
        </w:tc>
        <w:tc>
          <w:tcPr>
            <w:tcW w:w="1413" w:type="pct"/>
            <w:tcBorders>
              <w:top w:val="nil"/>
              <w:left w:val="nil"/>
              <w:bottom w:val="single" w:sz="4" w:space="0" w:color="auto"/>
              <w:right w:val="single" w:sz="4" w:space="0" w:color="auto"/>
            </w:tcBorders>
          </w:tcPr>
          <w:p w14:paraId="5A8887D0" w14:textId="77777777" w:rsidR="00DC00FF" w:rsidRDefault="00DC00FF">
            <w:pPr>
              <w:rPr>
                <w:rFonts w:ascii="Avenir Next Regular" w:hAnsi="Avenir Next Regular" w:cs="Calibri"/>
                <w:color w:val="000000"/>
                <w:sz w:val="16"/>
                <w:szCs w:val="16"/>
              </w:rPr>
            </w:pPr>
          </w:p>
        </w:tc>
      </w:tr>
      <w:tr w:rsidR="00DC00FF" w14:paraId="6FF65919" w14:textId="77777777" w:rsidTr="00DC00FF">
        <w:trPr>
          <w:trHeight w:val="170"/>
        </w:trPr>
        <w:tc>
          <w:tcPr>
            <w:tcW w:w="988" w:type="pct"/>
            <w:tcBorders>
              <w:top w:val="nil"/>
              <w:left w:val="single" w:sz="4" w:space="0" w:color="auto"/>
              <w:bottom w:val="single" w:sz="4" w:space="0" w:color="auto"/>
              <w:right w:val="single" w:sz="4" w:space="0" w:color="auto"/>
            </w:tcBorders>
            <w:hideMark/>
          </w:tcPr>
          <w:p w14:paraId="1FBD2E2D" w14:textId="77777777" w:rsidR="00DC00FF" w:rsidRDefault="00DC00FF">
            <w:pPr>
              <w:ind w:left="162" w:hanging="162"/>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Capacity, Knowledge and Research</w:t>
            </w:r>
          </w:p>
        </w:tc>
        <w:tc>
          <w:tcPr>
            <w:tcW w:w="1136" w:type="pct"/>
            <w:tcBorders>
              <w:top w:val="nil"/>
              <w:left w:val="nil"/>
              <w:bottom w:val="single" w:sz="4" w:space="0" w:color="auto"/>
              <w:right w:val="single" w:sz="4" w:space="0" w:color="auto"/>
            </w:tcBorders>
          </w:tcPr>
          <w:p w14:paraId="37A1273A"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tcPr>
          <w:p w14:paraId="3C6A9C5C"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60FD496A" w14:textId="77777777" w:rsidR="00DC00FF" w:rsidRDefault="00DC00FF">
            <w:pPr>
              <w:rPr>
                <w:rFonts w:ascii="Avenir Next Regular" w:hAnsi="Avenir Next Regular" w:cs="Calibri"/>
                <w:color w:val="000000"/>
                <w:sz w:val="16"/>
                <w:szCs w:val="16"/>
              </w:rPr>
            </w:pPr>
          </w:p>
        </w:tc>
      </w:tr>
      <w:tr w:rsidR="00DC00FF" w14:paraId="09BEF9F3" w14:textId="77777777" w:rsidTr="00DC00FF">
        <w:trPr>
          <w:trHeight w:val="170"/>
        </w:trPr>
        <w:tc>
          <w:tcPr>
            <w:tcW w:w="988" w:type="pct"/>
            <w:tcBorders>
              <w:top w:val="nil"/>
              <w:left w:val="single" w:sz="4" w:space="0" w:color="auto"/>
              <w:bottom w:val="single" w:sz="4" w:space="0" w:color="auto"/>
              <w:right w:val="single" w:sz="4" w:space="0" w:color="auto"/>
            </w:tcBorders>
          </w:tcPr>
          <w:p w14:paraId="58C4FC02" w14:textId="77777777" w:rsidR="00DC00FF" w:rsidRDefault="00DC00FF">
            <w:pPr>
              <w:rPr>
                <w:color w:val="000000"/>
                <w:sz w:val="16"/>
                <w:szCs w:val="16"/>
              </w:rPr>
            </w:pPr>
          </w:p>
        </w:tc>
        <w:tc>
          <w:tcPr>
            <w:tcW w:w="1136" w:type="pct"/>
            <w:tcBorders>
              <w:top w:val="nil"/>
              <w:left w:val="nil"/>
              <w:bottom w:val="single" w:sz="4" w:space="0" w:color="auto"/>
              <w:right w:val="single" w:sz="4" w:space="0" w:color="auto"/>
            </w:tcBorders>
            <w:hideMark/>
          </w:tcPr>
          <w:p w14:paraId="1804B02C"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Enabling Activities</w:t>
            </w:r>
          </w:p>
        </w:tc>
        <w:tc>
          <w:tcPr>
            <w:tcW w:w="1463" w:type="pct"/>
            <w:tcBorders>
              <w:top w:val="nil"/>
              <w:left w:val="nil"/>
              <w:bottom w:val="single" w:sz="4" w:space="0" w:color="auto"/>
              <w:right w:val="single" w:sz="4" w:space="0" w:color="auto"/>
            </w:tcBorders>
          </w:tcPr>
          <w:p w14:paraId="06E73A7D"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6FBB9138" w14:textId="77777777" w:rsidR="00DC00FF" w:rsidRDefault="00DC00FF">
            <w:pPr>
              <w:rPr>
                <w:rFonts w:ascii="Avenir Next Regular" w:hAnsi="Avenir Next Regular" w:cs="Calibri"/>
                <w:color w:val="000000"/>
                <w:sz w:val="16"/>
                <w:szCs w:val="16"/>
              </w:rPr>
            </w:pPr>
          </w:p>
        </w:tc>
      </w:tr>
      <w:tr w:rsidR="00DC00FF" w14:paraId="740283DD" w14:textId="77777777" w:rsidTr="00DC00FF">
        <w:trPr>
          <w:trHeight w:val="215"/>
        </w:trPr>
        <w:tc>
          <w:tcPr>
            <w:tcW w:w="988" w:type="pct"/>
            <w:tcBorders>
              <w:top w:val="nil"/>
              <w:left w:val="single" w:sz="4" w:space="0" w:color="auto"/>
              <w:bottom w:val="single" w:sz="4" w:space="0" w:color="auto"/>
              <w:right w:val="single" w:sz="4" w:space="0" w:color="auto"/>
            </w:tcBorders>
          </w:tcPr>
          <w:p w14:paraId="7E878244"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hideMark/>
          </w:tcPr>
          <w:p w14:paraId="2F9D643D"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Capacity Development</w:t>
            </w:r>
          </w:p>
        </w:tc>
        <w:tc>
          <w:tcPr>
            <w:tcW w:w="1463" w:type="pct"/>
            <w:tcBorders>
              <w:top w:val="nil"/>
              <w:left w:val="nil"/>
              <w:bottom w:val="single" w:sz="4" w:space="0" w:color="auto"/>
              <w:right w:val="single" w:sz="4" w:space="0" w:color="auto"/>
            </w:tcBorders>
          </w:tcPr>
          <w:p w14:paraId="441B439D"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64FDB480" w14:textId="77777777" w:rsidR="00DC00FF" w:rsidRDefault="00DC00FF">
            <w:pPr>
              <w:rPr>
                <w:rFonts w:ascii="Avenir Next Regular" w:hAnsi="Avenir Next Regular" w:cs="Calibri"/>
                <w:color w:val="000000"/>
                <w:sz w:val="16"/>
                <w:szCs w:val="16"/>
              </w:rPr>
            </w:pPr>
          </w:p>
        </w:tc>
      </w:tr>
      <w:tr w:rsidR="00DC00FF" w14:paraId="12BFF5EA" w14:textId="77777777" w:rsidTr="00DC00FF">
        <w:trPr>
          <w:trHeight w:val="170"/>
        </w:trPr>
        <w:tc>
          <w:tcPr>
            <w:tcW w:w="988" w:type="pct"/>
            <w:tcBorders>
              <w:top w:val="nil"/>
              <w:left w:val="single" w:sz="4" w:space="0" w:color="auto"/>
              <w:bottom w:val="single" w:sz="4" w:space="0" w:color="auto"/>
              <w:right w:val="single" w:sz="4" w:space="0" w:color="auto"/>
            </w:tcBorders>
          </w:tcPr>
          <w:p w14:paraId="1F89AEAC"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hideMark/>
          </w:tcPr>
          <w:p w14:paraId="7FFEB9D9" w14:textId="77777777" w:rsidR="00DC00FF" w:rsidRDefault="00DC00FF">
            <w:pPr>
              <w:ind w:left="204" w:hanging="204"/>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Knowledge Generation and Exchange</w:t>
            </w:r>
          </w:p>
        </w:tc>
        <w:tc>
          <w:tcPr>
            <w:tcW w:w="1463" w:type="pct"/>
            <w:tcBorders>
              <w:top w:val="nil"/>
              <w:left w:val="nil"/>
              <w:bottom w:val="single" w:sz="4" w:space="0" w:color="auto"/>
              <w:right w:val="single" w:sz="4" w:space="0" w:color="auto"/>
            </w:tcBorders>
          </w:tcPr>
          <w:p w14:paraId="6A2CB0F7"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4F8DECBD" w14:textId="77777777" w:rsidR="00DC00FF" w:rsidRDefault="00DC00FF">
            <w:pPr>
              <w:rPr>
                <w:rFonts w:ascii="Avenir Next Regular" w:hAnsi="Avenir Next Regular" w:cs="Calibri"/>
                <w:color w:val="000000"/>
                <w:sz w:val="16"/>
                <w:szCs w:val="16"/>
              </w:rPr>
            </w:pPr>
          </w:p>
        </w:tc>
      </w:tr>
      <w:tr w:rsidR="00DC00FF" w14:paraId="4E44FBC2" w14:textId="77777777" w:rsidTr="00DC00FF">
        <w:trPr>
          <w:trHeight w:val="170"/>
        </w:trPr>
        <w:tc>
          <w:tcPr>
            <w:tcW w:w="988" w:type="pct"/>
            <w:tcBorders>
              <w:top w:val="nil"/>
              <w:left w:val="single" w:sz="4" w:space="0" w:color="auto"/>
              <w:bottom w:val="single" w:sz="4" w:space="0" w:color="auto"/>
              <w:right w:val="single" w:sz="4" w:space="0" w:color="auto"/>
            </w:tcBorders>
          </w:tcPr>
          <w:p w14:paraId="6949D105"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hideMark/>
          </w:tcPr>
          <w:p w14:paraId="4FE4A3CD"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Targeted Research</w:t>
            </w:r>
          </w:p>
        </w:tc>
        <w:tc>
          <w:tcPr>
            <w:tcW w:w="1463" w:type="pct"/>
            <w:tcBorders>
              <w:top w:val="nil"/>
              <w:left w:val="nil"/>
              <w:bottom w:val="single" w:sz="4" w:space="0" w:color="auto"/>
              <w:right w:val="single" w:sz="4" w:space="0" w:color="auto"/>
            </w:tcBorders>
          </w:tcPr>
          <w:p w14:paraId="116CDA66"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18033640" w14:textId="77777777" w:rsidR="00DC00FF" w:rsidRDefault="00DC00FF">
            <w:pPr>
              <w:rPr>
                <w:rFonts w:ascii="Avenir Next Regular" w:hAnsi="Avenir Next Regular" w:cs="Calibri"/>
                <w:color w:val="000000"/>
                <w:sz w:val="16"/>
                <w:szCs w:val="16"/>
              </w:rPr>
            </w:pPr>
          </w:p>
        </w:tc>
      </w:tr>
      <w:tr w:rsidR="00DC00FF" w14:paraId="2BF26371" w14:textId="77777777" w:rsidTr="00DC00FF">
        <w:trPr>
          <w:trHeight w:val="170"/>
        </w:trPr>
        <w:tc>
          <w:tcPr>
            <w:tcW w:w="988" w:type="pct"/>
            <w:tcBorders>
              <w:top w:val="nil"/>
              <w:left w:val="single" w:sz="4" w:space="0" w:color="auto"/>
              <w:bottom w:val="single" w:sz="4" w:space="0" w:color="auto"/>
              <w:right w:val="single" w:sz="4" w:space="0" w:color="auto"/>
            </w:tcBorders>
          </w:tcPr>
          <w:p w14:paraId="477B1865"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hideMark/>
          </w:tcPr>
          <w:p w14:paraId="5863A924"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Learning</w:t>
            </w:r>
          </w:p>
        </w:tc>
        <w:tc>
          <w:tcPr>
            <w:tcW w:w="1463" w:type="pct"/>
            <w:tcBorders>
              <w:top w:val="nil"/>
              <w:left w:val="nil"/>
              <w:bottom w:val="single" w:sz="4" w:space="0" w:color="auto"/>
              <w:right w:val="single" w:sz="4" w:space="0" w:color="auto"/>
            </w:tcBorders>
          </w:tcPr>
          <w:p w14:paraId="025CAABD"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380ED446" w14:textId="77777777" w:rsidR="00DC00FF" w:rsidRDefault="00DC00FF">
            <w:pPr>
              <w:rPr>
                <w:rFonts w:ascii="Avenir Next Regular" w:hAnsi="Avenir Next Regular" w:cs="Calibri"/>
                <w:color w:val="000000"/>
                <w:sz w:val="16"/>
                <w:szCs w:val="16"/>
              </w:rPr>
            </w:pPr>
          </w:p>
        </w:tc>
      </w:tr>
      <w:tr w:rsidR="00DC00FF" w14:paraId="5C13E2F7" w14:textId="77777777" w:rsidTr="00DC00FF">
        <w:trPr>
          <w:trHeight w:val="170"/>
        </w:trPr>
        <w:tc>
          <w:tcPr>
            <w:tcW w:w="988" w:type="pct"/>
            <w:tcBorders>
              <w:top w:val="nil"/>
              <w:left w:val="single" w:sz="4" w:space="0" w:color="auto"/>
              <w:bottom w:val="single" w:sz="4" w:space="0" w:color="auto"/>
              <w:right w:val="single" w:sz="4" w:space="0" w:color="auto"/>
            </w:tcBorders>
          </w:tcPr>
          <w:p w14:paraId="0CDDA0A6"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2D68B56E"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25050E7C"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Theory of Change</w:t>
            </w:r>
          </w:p>
        </w:tc>
        <w:tc>
          <w:tcPr>
            <w:tcW w:w="1413" w:type="pct"/>
            <w:tcBorders>
              <w:top w:val="nil"/>
              <w:left w:val="nil"/>
              <w:bottom w:val="single" w:sz="4" w:space="0" w:color="auto"/>
              <w:right w:val="single" w:sz="4" w:space="0" w:color="auto"/>
            </w:tcBorders>
          </w:tcPr>
          <w:p w14:paraId="4E097680" w14:textId="77777777" w:rsidR="00DC00FF" w:rsidRDefault="00DC00FF">
            <w:pPr>
              <w:rPr>
                <w:rFonts w:ascii="Avenir Next Regular" w:hAnsi="Avenir Next Regular" w:cs="Calibri"/>
                <w:color w:val="000000"/>
                <w:sz w:val="16"/>
                <w:szCs w:val="16"/>
              </w:rPr>
            </w:pPr>
          </w:p>
        </w:tc>
      </w:tr>
      <w:tr w:rsidR="00DC00FF" w14:paraId="288ACD0E" w14:textId="77777777" w:rsidTr="00DC00FF">
        <w:trPr>
          <w:trHeight w:val="170"/>
        </w:trPr>
        <w:tc>
          <w:tcPr>
            <w:tcW w:w="988" w:type="pct"/>
            <w:tcBorders>
              <w:top w:val="nil"/>
              <w:left w:val="single" w:sz="4" w:space="0" w:color="auto"/>
              <w:bottom w:val="single" w:sz="4" w:space="0" w:color="auto"/>
              <w:right w:val="single" w:sz="4" w:space="0" w:color="auto"/>
            </w:tcBorders>
          </w:tcPr>
          <w:p w14:paraId="01F70F1A"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7E0B0519"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hideMark/>
          </w:tcPr>
          <w:p w14:paraId="07CF9A2E" w14:textId="77777777" w:rsidR="00DC00FF" w:rsidRDefault="00DC00FF">
            <w:pPr>
              <w:rPr>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Adaptive Management</w:t>
            </w:r>
          </w:p>
        </w:tc>
        <w:tc>
          <w:tcPr>
            <w:tcW w:w="1413" w:type="pct"/>
            <w:tcBorders>
              <w:top w:val="nil"/>
              <w:left w:val="nil"/>
              <w:bottom w:val="single" w:sz="4" w:space="0" w:color="auto"/>
              <w:right w:val="single" w:sz="4" w:space="0" w:color="auto"/>
            </w:tcBorders>
          </w:tcPr>
          <w:p w14:paraId="425A9820" w14:textId="77777777" w:rsidR="00DC00FF" w:rsidRDefault="00DC00FF">
            <w:pPr>
              <w:rPr>
                <w:rFonts w:ascii="Avenir Next Regular" w:hAnsi="Avenir Next Regular" w:cs="Calibri"/>
                <w:color w:val="000000"/>
                <w:sz w:val="16"/>
                <w:szCs w:val="16"/>
              </w:rPr>
            </w:pPr>
          </w:p>
        </w:tc>
      </w:tr>
      <w:tr w:rsidR="00DC00FF" w14:paraId="0B81F772" w14:textId="77777777" w:rsidTr="00DC00FF">
        <w:trPr>
          <w:trHeight w:val="170"/>
        </w:trPr>
        <w:tc>
          <w:tcPr>
            <w:tcW w:w="988" w:type="pct"/>
            <w:tcBorders>
              <w:top w:val="nil"/>
              <w:left w:val="single" w:sz="4" w:space="0" w:color="auto"/>
              <w:bottom w:val="single" w:sz="4" w:space="0" w:color="auto"/>
              <w:right w:val="single" w:sz="4" w:space="0" w:color="auto"/>
            </w:tcBorders>
          </w:tcPr>
          <w:p w14:paraId="6FE96C39"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68E9B440"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hideMark/>
          </w:tcPr>
          <w:p w14:paraId="68B4EAAB"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Indicators to Measure Change</w:t>
            </w:r>
          </w:p>
        </w:tc>
        <w:tc>
          <w:tcPr>
            <w:tcW w:w="1413" w:type="pct"/>
            <w:tcBorders>
              <w:top w:val="nil"/>
              <w:left w:val="nil"/>
              <w:bottom w:val="single" w:sz="4" w:space="0" w:color="auto"/>
              <w:right w:val="single" w:sz="4" w:space="0" w:color="auto"/>
            </w:tcBorders>
          </w:tcPr>
          <w:p w14:paraId="7F9B7FC7" w14:textId="77777777" w:rsidR="00DC00FF" w:rsidRDefault="00DC00FF">
            <w:pPr>
              <w:rPr>
                <w:rFonts w:ascii="Avenir Next Regular" w:hAnsi="Avenir Next Regular" w:cs="Calibri"/>
                <w:color w:val="000000"/>
                <w:sz w:val="16"/>
                <w:szCs w:val="16"/>
              </w:rPr>
            </w:pPr>
          </w:p>
        </w:tc>
      </w:tr>
      <w:tr w:rsidR="00DC00FF" w14:paraId="714B2283" w14:textId="77777777" w:rsidTr="00DC00FF">
        <w:trPr>
          <w:trHeight w:val="170"/>
        </w:trPr>
        <w:tc>
          <w:tcPr>
            <w:tcW w:w="988" w:type="pct"/>
            <w:tcBorders>
              <w:top w:val="nil"/>
              <w:left w:val="single" w:sz="4" w:space="0" w:color="auto"/>
              <w:bottom w:val="single" w:sz="4" w:space="0" w:color="auto"/>
              <w:right w:val="single" w:sz="4" w:space="0" w:color="auto"/>
            </w:tcBorders>
          </w:tcPr>
          <w:p w14:paraId="13FE9786"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hideMark/>
          </w:tcPr>
          <w:p w14:paraId="2907B19E"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Innovation</w:t>
            </w:r>
          </w:p>
        </w:tc>
        <w:tc>
          <w:tcPr>
            <w:tcW w:w="1463" w:type="pct"/>
            <w:tcBorders>
              <w:top w:val="nil"/>
              <w:left w:val="nil"/>
              <w:bottom w:val="single" w:sz="4" w:space="0" w:color="auto"/>
              <w:right w:val="single" w:sz="4" w:space="0" w:color="auto"/>
            </w:tcBorders>
          </w:tcPr>
          <w:p w14:paraId="2735CE3F"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tcPr>
          <w:p w14:paraId="5636042D" w14:textId="77777777" w:rsidR="00DC00FF" w:rsidRDefault="00DC00FF">
            <w:pPr>
              <w:rPr>
                <w:rFonts w:ascii="Avenir Next Regular" w:hAnsi="Avenir Next Regular" w:cs="Calibri"/>
                <w:color w:val="000000"/>
                <w:sz w:val="16"/>
                <w:szCs w:val="16"/>
              </w:rPr>
            </w:pPr>
          </w:p>
        </w:tc>
      </w:tr>
      <w:tr w:rsidR="00DC00FF" w14:paraId="1C735F90" w14:textId="77777777" w:rsidTr="00DC00FF">
        <w:trPr>
          <w:trHeight w:val="170"/>
        </w:trPr>
        <w:tc>
          <w:tcPr>
            <w:tcW w:w="988" w:type="pct"/>
            <w:tcBorders>
              <w:top w:val="nil"/>
              <w:left w:val="single" w:sz="4" w:space="0" w:color="auto"/>
              <w:bottom w:val="single" w:sz="4" w:space="0" w:color="auto"/>
              <w:right w:val="single" w:sz="4" w:space="0" w:color="auto"/>
            </w:tcBorders>
            <w:hideMark/>
          </w:tcPr>
          <w:p w14:paraId="6A77F89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787D1FB" w14:textId="77777777" w:rsidR="00DC00FF" w:rsidRDefault="00DC00FF">
            <w:pPr>
              <w:ind w:left="204" w:hanging="204"/>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Knowledge and Learning</w:t>
            </w:r>
          </w:p>
        </w:tc>
        <w:tc>
          <w:tcPr>
            <w:tcW w:w="1463" w:type="pct"/>
            <w:tcBorders>
              <w:top w:val="nil"/>
              <w:left w:val="nil"/>
              <w:bottom w:val="single" w:sz="4" w:space="0" w:color="auto"/>
              <w:right w:val="single" w:sz="4" w:space="0" w:color="auto"/>
            </w:tcBorders>
          </w:tcPr>
          <w:p w14:paraId="508F54F6" w14:textId="77777777" w:rsidR="00DC00FF" w:rsidRDefault="00DC00FF">
            <w:pPr>
              <w:rPr>
                <w:rFonts w:ascii="Avenir Next Regular" w:hAnsi="Avenir Next Regular" w:cs="Calibri"/>
                <w:color w:val="000000"/>
                <w:sz w:val="16"/>
                <w:szCs w:val="16"/>
              </w:rPr>
            </w:pPr>
          </w:p>
        </w:tc>
        <w:tc>
          <w:tcPr>
            <w:tcW w:w="1413" w:type="pct"/>
            <w:tcBorders>
              <w:top w:val="nil"/>
              <w:left w:val="nil"/>
              <w:bottom w:val="single" w:sz="4" w:space="0" w:color="auto"/>
              <w:right w:val="single" w:sz="4" w:space="0" w:color="auto"/>
            </w:tcBorders>
            <w:hideMark/>
          </w:tcPr>
          <w:p w14:paraId="25BB45D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F45563A" w14:textId="77777777" w:rsidTr="00DC00FF">
        <w:trPr>
          <w:trHeight w:val="170"/>
        </w:trPr>
        <w:tc>
          <w:tcPr>
            <w:tcW w:w="988" w:type="pct"/>
            <w:tcBorders>
              <w:top w:val="nil"/>
              <w:left w:val="single" w:sz="4" w:space="0" w:color="auto"/>
              <w:bottom w:val="single" w:sz="4" w:space="0" w:color="auto"/>
              <w:right w:val="single" w:sz="4" w:space="0" w:color="auto"/>
            </w:tcBorders>
          </w:tcPr>
          <w:p w14:paraId="1125E6F7"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761A486D"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69596E5D" w14:textId="77777777" w:rsidR="00DC00FF" w:rsidRDefault="00DC00FF">
            <w:pPr>
              <w:rPr>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Knowledge Management</w:t>
            </w:r>
          </w:p>
        </w:tc>
        <w:tc>
          <w:tcPr>
            <w:tcW w:w="1413" w:type="pct"/>
            <w:tcBorders>
              <w:top w:val="nil"/>
              <w:left w:val="nil"/>
              <w:bottom w:val="single" w:sz="4" w:space="0" w:color="auto"/>
              <w:right w:val="single" w:sz="4" w:space="0" w:color="auto"/>
            </w:tcBorders>
          </w:tcPr>
          <w:p w14:paraId="26EBCDDD" w14:textId="77777777" w:rsidR="00DC00FF" w:rsidRDefault="00DC00FF">
            <w:pPr>
              <w:rPr>
                <w:rFonts w:ascii="Avenir Next Regular" w:hAnsi="Avenir Next Regular" w:cs="Calibri"/>
                <w:color w:val="000000"/>
                <w:sz w:val="16"/>
                <w:szCs w:val="16"/>
              </w:rPr>
            </w:pPr>
          </w:p>
        </w:tc>
      </w:tr>
      <w:tr w:rsidR="00DC00FF" w14:paraId="6C115C37" w14:textId="77777777" w:rsidTr="00DC00FF">
        <w:trPr>
          <w:trHeight w:val="170"/>
        </w:trPr>
        <w:tc>
          <w:tcPr>
            <w:tcW w:w="988" w:type="pct"/>
            <w:tcBorders>
              <w:top w:val="nil"/>
              <w:left w:val="single" w:sz="4" w:space="0" w:color="auto"/>
              <w:bottom w:val="single" w:sz="4" w:space="0" w:color="auto"/>
              <w:right w:val="single" w:sz="4" w:space="0" w:color="auto"/>
            </w:tcBorders>
            <w:hideMark/>
          </w:tcPr>
          <w:p w14:paraId="6209B8B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A00804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044F86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Innovation</w:t>
            </w:r>
          </w:p>
        </w:tc>
        <w:tc>
          <w:tcPr>
            <w:tcW w:w="1413" w:type="pct"/>
            <w:tcBorders>
              <w:top w:val="nil"/>
              <w:left w:val="nil"/>
              <w:bottom w:val="single" w:sz="4" w:space="0" w:color="auto"/>
              <w:right w:val="single" w:sz="4" w:space="0" w:color="auto"/>
            </w:tcBorders>
            <w:hideMark/>
          </w:tcPr>
          <w:p w14:paraId="20FB845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15D4A0E" w14:textId="77777777" w:rsidTr="00DC00FF">
        <w:trPr>
          <w:trHeight w:val="161"/>
        </w:trPr>
        <w:tc>
          <w:tcPr>
            <w:tcW w:w="988" w:type="pct"/>
            <w:tcBorders>
              <w:top w:val="nil"/>
              <w:left w:val="single" w:sz="4" w:space="0" w:color="auto"/>
              <w:bottom w:val="single" w:sz="4" w:space="0" w:color="auto"/>
              <w:right w:val="single" w:sz="4" w:space="0" w:color="auto"/>
            </w:tcBorders>
            <w:hideMark/>
          </w:tcPr>
          <w:p w14:paraId="710B9C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58FD5C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A0967F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lang w:val="hr-HR"/>
              </w:rPr>
              <w:t xml:space="preserve"> </w:t>
            </w:r>
            <w:r>
              <w:rPr>
                <w:rFonts w:ascii="Avenir Next Regular" w:hAnsi="Avenir Next Regular" w:cs="Calibri"/>
                <w:color w:val="000000"/>
                <w:sz w:val="16"/>
                <w:szCs w:val="16"/>
              </w:rPr>
              <w:t>Capacity Development</w:t>
            </w:r>
          </w:p>
        </w:tc>
        <w:tc>
          <w:tcPr>
            <w:tcW w:w="1413" w:type="pct"/>
            <w:tcBorders>
              <w:top w:val="nil"/>
              <w:left w:val="nil"/>
              <w:bottom w:val="single" w:sz="4" w:space="0" w:color="auto"/>
              <w:right w:val="single" w:sz="4" w:space="0" w:color="auto"/>
            </w:tcBorders>
            <w:hideMark/>
          </w:tcPr>
          <w:p w14:paraId="35E5864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8F26DFE"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32EEC30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CBC58A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0A2D81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lang w:val="hr-HR"/>
              </w:rPr>
              <w:t xml:space="preserve"> </w:t>
            </w:r>
            <w:r>
              <w:rPr>
                <w:rFonts w:ascii="Avenir Next Regular" w:hAnsi="Avenir Next Regular" w:cs="Calibri"/>
                <w:color w:val="000000"/>
                <w:sz w:val="16"/>
                <w:szCs w:val="16"/>
              </w:rPr>
              <w:t>Learning</w:t>
            </w:r>
          </w:p>
        </w:tc>
        <w:tc>
          <w:tcPr>
            <w:tcW w:w="1413" w:type="pct"/>
            <w:tcBorders>
              <w:top w:val="nil"/>
              <w:left w:val="nil"/>
              <w:bottom w:val="single" w:sz="4" w:space="0" w:color="auto"/>
              <w:right w:val="single" w:sz="4" w:space="0" w:color="auto"/>
            </w:tcBorders>
            <w:hideMark/>
          </w:tcPr>
          <w:p w14:paraId="7248ABC4"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DE41EC6" w14:textId="77777777" w:rsidTr="00DC00FF">
        <w:trPr>
          <w:trHeight w:val="359"/>
        </w:trPr>
        <w:tc>
          <w:tcPr>
            <w:tcW w:w="988" w:type="pct"/>
            <w:tcBorders>
              <w:top w:val="nil"/>
              <w:left w:val="single" w:sz="4" w:space="0" w:color="auto"/>
              <w:bottom w:val="single" w:sz="4" w:space="0" w:color="auto"/>
              <w:right w:val="single" w:sz="4" w:space="0" w:color="auto"/>
            </w:tcBorders>
            <w:hideMark/>
          </w:tcPr>
          <w:p w14:paraId="3772A9C7" w14:textId="77777777" w:rsidR="00DC00FF" w:rsidRDefault="00DC00FF">
            <w:pPr>
              <w:rPr>
                <w:rFonts w:ascii="Avenir Next Regular" w:hAnsi="Avenir Next Regular" w:cs="Calibri"/>
                <w:b/>
                <w:bCs/>
                <w:iCs/>
                <w:color w:val="000000"/>
                <w:sz w:val="16"/>
                <w:szCs w:val="16"/>
              </w:rPr>
            </w:pPr>
            <w:r>
              <w:rPr>
                <w:rFonts w:ascii="Avenir Next Regular" w:hAnsi="Avenir Next Regular" w:cs="Calibri"/>
                <w:b/>
                <w:bCs/>
                <w:iCs/>
                <w:color w:val="000000"/>
                <w:sz w:val="16"/>
                <w:szCs w:val="16"/>
              </w:rPr>
              <w:t> </w:t>
            </w:r>
          </w:p>
        </w:tc>
        <w:tc>
          <w:tcPr>
            <w:tcW w:w="1136" w:type="pct"/>
            <w:tcBorders>
              <w:top w:val="nil"/>
              <w:left w:val="nil"/>
              <w:bottom w:val="single" w:sz="4" w:space="0" w:color="auto"/>
              <w:right w:val="single" w:sz="4" w:space="0" w:color="auto"/>
            </w:tcBorders>
            <w:hideMark/>
          </w:tcPr>
          <w:p w14:paraId="44E7FE7A" w14:textId="77777777" w:rsidR="00DC00FF" w:rsidRDefault="00DC00FF">
            <w:pPr>
              <w:ind w:left="114" w:hanging="114"/>
              <w:rPr>
                <w:rFonts w:ascii="Avenir Next Regular" w:hAnsi="Avenir Next Regular" w:cs="Calibri"/>
                <w:b/>
                <w:bCs/>
                <w:color w:val="000000"/>
                <w:sz w:val="16"/>
                <w:szCs w:val="16"/>
              </w:rPr>
            </w:pPr>
            <w:r>
              <w:rPr>
                <w:color w:val="000000"/>
                <w:sz w:val="16"/>
                <w:szCs w:val="16"/>
                <w:lang w:val="hr-HR"/>
              </w:rPr>
              <w:t xml:space="preserve">X </w:t>
            </w:r>
            <w:r>
              <w:rPr>
                <w:rFonts w:ascii="Avenir Next Regular" w:hAnsi="Avenir Next Regular" w:cs="Calibri"/>
                <w:b/>
                <w:bCs/>
                <w:color w:val="000000"/>
                <w:sz w:val="16"/>
                <w:szCs w:val="16"/>
              </w:rPr>
              <w:t>Stakeholder Engagement Plan</w:t>
            </w:r>
          </w:p>
        </w:tc>
        <w:tc>
          <w:tcPr>
            <w:tcW w:w="1463" w:type="pct"/>
            <w:tcBorders>
              <w:top w:val="single" w:sz="4" w:space="0" w:color="auto"/>
              <w:left w:val="nil"/>
              <w:bottom w:val="single" w:sz="4" w:space="0" w:color="auto"/>
              <w:right w:val="single" w:sz="4" w:space="0" w:color="auto"/>
            </w:tcBorders>
            <w:hideMark/>
          </w:tcPr>
          <w:p w14:paraId="131A573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74911BC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CDB9E75"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337D7EA7"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 xml:space="preserve">Gender Equality </w:t>
            </w:r>
          </w:p>
        </w:tc>
        <w:tc>
          <w:tcPr>
            <w:tcW w:w="1136" w:type="pct"/>
            <w:tcBorders>
              <w:top w:val="nil"/>
              <w:left w:val="nil"/>
              <w:bottom w:val="single" w:sz="4" w:space="0" w:color="auto"/>
              <w:right w:val="single" w:sz="4" w:space="0" w:color="auto"/>
            </w:tcBorders>
            <w:hideMark/>
          </w:tcPr>
          <w:p w14:paraId="707095B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A2CB7DE"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10969B9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ABFE9FA"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105AEDF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B67A8CC"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Gender Mainstreaming</w:t>
            </w:r>
          </w:p>
        </w:tc>
        <w:tc>
          <w:tcPr>
            <w:tcW w:w="1463" w:type="pct"/>
            <w:tcBorders>
              <w:top w:val="nil"/>
              <w:left w:val="nil"/>
              <w:bottom w:val="single" w:sz="4" w:space="0" w:color="auto"/>
              <w:right w:val="single" w:sz="4" w:space="0" w:color="auto"/>
            </w:tcBorders>
          </w:tcPr>
          <w:p w14:paraId="22C356F4" w14:textId="77777777" w:rsidR="00DC00FF" w:rsidRDefault="00DC00FF">
            <w:pPr>
              <w:rPr>
                <w:rFonts w:ascii="Avenir Next Regular" w:hAnsi="Avenir Next Regular" w:cs="Calibri"/>
                <w:color w:val="000000"/>
                <w:sz w:val="16"/>
                <w:szCs w:val="16"/>
              </w:rPr>
            </w:pPr>
          </w:p>
        </w:tc>
        <w:tc>
          <w:tcPr>
            <w:tcW w:w="1413" w:type="pct"/>
            <w:tcBorders>
              <w:top w:val="nil"/>
              <w:left w:val="nil"/>
              <w:bottom w:val="single" w:sz="4" w:space="0" w:color="auto"/>
              <w:right w:val="single" w:sz="4" w:space="0" w:color="auto"/>
            </w:tcBorders>
            <w:hideMark/>
          </w:tcPr>
          <w:p w14:paraId="3AEB950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3DA944C" w14:textId="77777777" w:rsidTr="00DC00FF">
        <w:trPr>
          <w:trHeight w:val="58"/>
        </w:trPr>
        <w:tc>
          <w:tcPr>
            <w:tcW w:w="988" w:type="pct"/>
            <w:tcBorders>
              <w:top w:val="nil"/>
              <w:left w:val="single" w:sz="4" w:space="0" w:color="auto"/>
              <w:bottom w:val="single" w:sz="4" w:space="0" w:color="auto"/>
              <w:right w:val="single" w:sz="4" w:space="0" w:color="auto"/>
            </w:tcBorders>
          </w:tcPr>
          <w:p w14:paraId="2F8018E1"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6047295B"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250A7C0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xml:space="preserve"> </w:t>
            </w: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Beneficiaries</w:t>
            </w:r>
          </w:p>
        </w:tc>
        <w:tc>
          <w:tcPr>
            <w:tcW w:w="1413" w:type="pct"/>
            <w:tcBorders>
              <w:top w:val="nil"/>
              <w:left w:val="nil"/>
              <w:bottom w:val="single" w:sz="4" w:space="0" w:color="auto"/>
              <w:right w:val="single" w:sz="4" w:space="0" w:color="auto"/>
            </w:tcBorders>
          </w:tcPr>
          <w:p w14:paraId="1E45B918" w14:textId="77777777" w:rsidR="00DC00FF" w:rsidRDefault="00DC00FF">
            <w:pPr>
              <w:rPr>
                <w:rFonts w:ascii="Avenir Next Regular" w:hAnsi="Avenir Next Regular" w:cs="Calibri"/>
                <w:color w:val="000000"/>
                <w:sz w:val="16"/>
                <w:szCs w:val="16"/>
              </w:rPr>
            </w:pPr>
          </w:p>
        </w:tc>
      </w:tr>
      <w:tr w:rsidR="00DC00FF" w14:paraId="38AB3DB7" w14:textId="77777777" w:rsidTr="00DC00FF">
        <w:trPr>
          <w:trHeight w:val="143"/>
        </w:trPr>
        <w:tc>
          <w:tcPr>
            <w:tcW w:w="988" w:type="pct"/>
            <w:tcBorders>
              <w:top w:val="nil"/>
              <w:left w:val="single" w:sz="4" w:space="0" w:color="auto"/>
              <w:bottom w:val="single" w:sz="4" w:space="0" w:color="auto"/>
              <w:right w:val="single" w:sz="4" w:space="0" w:color="auto"/>
            </w:tcBorders>
            <w:hideMark/>
          </w:tcPr>
          <w:p w14:paraId="23782BD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437615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B9D952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xml:space="preserve"> </w:t>
            </w: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Women groups</w:t>
            </w:r>
          </w:p>
        </w:tc>
        <w:tc>
          <w:tcPr>
            <w:tcW w:w="1413" w:type="pct"/>
            <w:tcBorders>
              <w:top w:val="nil"/>
              <w:left w:val="nil"/>
              <w:bottom w:val="single" w:sz="4" w:space="0" w:color="auto"/>
              <w:right w:val="single" w:sz="4" w:space="0" w:color="auto"/>
            </w:tcBorders>
            <w:hideMark/>
          </w:tcPr>
          <w:p w14:paraId="176FD78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A7D8F9E" w14:textId="77777777" w:rsidTr="00DC00FF">
        <w:trPr>
          <w:trHeight w:val="125"/>
        </w:trPr>
        <w:tc>
          <w:tcPr>
            <w:tcW w:w="988" w:type="pct"/>
            <w:tcBorders>
              <w:top w:val="nil"/>
              <w:left w:val="single" w:sz="4" w:space="0" w:color="auto"/>
              <w:bottom w:val="single" w:sz="4" w:space="0" w:color="auto"/>
              <w:right w:val="single" w:sz="4" w:space="0" w:color="auto"/>
            </w:tcBorders>
            <w:hideMark/>
          </w:tcPr>
          <w:p w14:paraId="1C6B64C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F0520B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2C42BA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xml:space="preserve"> </w:t>
            </w: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Sex-disaggregated indicators</w:t>
            </w:r>
          </w:p>
        </w:tc>
        <w:tc>
          <w:tcPr>
            <w:tcW w:w="1413" w:type="pct"/>
            <w:tcBorders>
              <w:top w:val="nil"/>
              <w:left w:val="nil"/>
              <w:bottom w:val="single" w:sz="4" w:space="0" w:color="auto"/>
              <w:right w:val="single" w:sz="4" w:space="0" w:color="auto"/>
            </w:tcBorders>
            <w:hideMark/>
          </w:tcPr>
          <w:p w14:paraId="1ACC4B9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0A2C0AF"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2DFB621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FEFB17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9785EF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xml:space="preserve"> </w:t>
            </w: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Gender-sensitive indicators</w:t>
            </w:r>
          </w:p>
        </w:tc>
        <w:tc>
          <w:tcPr>
            <w:tcW w:w="1413" w:type="pct"/>
            <w:tcBorders>
              <w:top w:val="nil"/>
              <w:left w:val="nil"/>
              <w:bottom w:val="single" w:sz="4" w:space="0" w:color="auto"/>
              <w:right w:val="single" w:sz="4" w:space="0" w:color="auto"/>
            </w:tcBorders>
            <w:hideMark/>
          </w:tcPr>
          <w:p w14:paraId="29E0658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B650B61" w14:textId="77777777" w:rsidTr="00DC00FF">
        <w:trPr>
          <w:trHeight w:val="143"/>
        </w:trPr>
        <w:tc>
          <w:tcPr>
            <w:tcW w:w="988" w:type="pct"/>
            <w:tcBorders>
              <w:top w:val="nil"/>
              <w:left w:val="single" w:sz="4" w:space="0" w:color="auto"/>
              <w:bottom w:val="single" w:sz="4" w:space="0" w:color="auto"/>
              <w:right w:val="single" w:sz="4" w:space="0" w:color="auto"/>
            </w:tcBorders>
            <w:hideMark/>
          </w:tcPr>
          <w:p w14:paraId="1EC6C39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A4AD678"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Gender results areas</w:t>
            </w:r>
          </w:p>
        </w:tc>
        <w:tc>
          <w:tcPr>
            <w:tcW w:w="1463" w:type="pct"/>
            <w:tcBorders>
              <w:top w:val="nil"/>
              <w:left w:val="nil"/>
              <w:bottom w:val="single" w:sz="4" w:space="0" w:color="auto"/>
              <w:right w:val="single" w:sz="4" w:space="0" w:color="auto"/>
            </w:tcBorders>
          </w:tcPr>
          <w:p w14:paraId="3412862C" w14:textId="77777777" w:rsidR="00DC00FF" w:rsidRDefault="00DC00FF">
            <w:pPr>
              <w:rPr>
                <w:rFonts w:ascii="Avenir Next Regular" w:hAnsi="Avenir Next Regular" w:cs="Calibri"/>
                <w:color w:val="000000"/>
                <w:sz w:val="16"/>
                <w:szCs w:val="16"/>
              </w:rPr>
            </w:pPr>
          </w:p>
        </w:tc>
        <w:tc>
          <w:tcPr>
            <w:tcW w:w="1413" w:type="pct"/>
            <w:tcBorders>
              <w:top w:val="nil"/>
              <w:left w:val="nil"/>
              <w:bottom w:val="single" w:sz="4" w:space="0" w:color="auto"/>
              <w:right w:val="single" w:sz="4" w:space="0" w:color="auto"/>
            </w:tcBorders>
            <w:hideMark/>
          </w:tcPr>
          <w:p w14:paraId="45B211E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739EF71F" w14:textId="77777777" w:rsidTr="00DC00FF">
        <w:trPr>
          <w:trHeight w:val="143"/>
        </w:trPr>
        <w:tc>
          <w:tcPr>
            <w:tcW w:w="988" w:type="pct"/>
            <w:tcBorders>
              <w:top w:val="nil"/>
              <w:left w:val="single" w:sz="4" w:space="0" w:color="auto"/>
              <w:bottom w:val="single" w:sz="4" w:space="0" w:color="auto"/>
              <w:right w:val="single" w:sz="4" w:space="0" w:color="auto"/>
            </w:tcBorders>
          </w:tcPr>
          <w:p w14:paraId="4E7260E1"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14FB6D02"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0C91B454" w14:textId="77777777" w:rsidR="00DC00FF" w:rsidRDefault="00DC00FF">
            <w:pPr>
              <w:ind w:left="150" w:hanging="150"/>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Access and control over natural resources</w:t>
            </w:r>
          </w:p>
        </w:tc>
        <w:tc>
          <w:tcPr>
            <w:tcW w:w="1413" w:type="pct"/>
            <w:tcBorders>
              <w:top w:val="nil"/>
              <w:left w:val="nil"/>
              <w:bottom w:val="single" w:sz="4" w:space="0" w:color="auto"/>
              <w:right w:val="single" w:sz="4" w:space="0" w:color="auto"/>
            </w:tcBorders>
          </w:tcPr>
          <w:p w14:paraId="4CBFC2BF" w14:textId="77777777" w:rsidR="00DC00FF" w:rsidRDefault="00DC00FF">
            <w:pPr>
              <w:rPr>
                <w:rFonts w:ascii="Avenir Next Regular" w:hAnsi="Avenir Next Regular" w:cs="Calibri"/>
                <w:color w:val="000000"/>
                <w:sz w:val="16"/>
                <w:szCs w:val="16"/>
              </w:rPr>
            </w:pPr>
          </w:p>
        </w:tc>
      </w:tr>
      <w:tr w:rsidR="00DC00FF" w14:paraId="68F1B0FB" w14:textId="77777777" w:rsidTr="00DC00FF">
        <w:trPr>
          <w:trHeight w:val="143"/>
        </w:trPr>
        <w:tc>
          <w:tcPr>
            <w:tcW w:w="988" w:type="pct"/>
            <w:tcBorders>
              <w:top w:val="nil"/>
              <w:left w:val="single" w:sz="4" w:space="0" w:color="auto"/>
              <w:bottom w:val="single" w:sz="4" w:space="0" w:color="auto"/>
              <w:right w:val="single" w:sz="4" w:space="0" w:color="auto"/>
            </w:tcBorders>
            <w:hideMark/>
          </w:tcPr>
          <w:p w14:paraId="347B430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7C6D9E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2A15605"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Participation and leadership</w:t>
            </w:r>
          </w:p>
        </w:tc>
        <w:tc>
          <w:tcPr>
            <w:tcW w:w="1413" w:type="pct"/>
            <w:tcBorders>
              <w:top w:val="nil"/>
              <w:left w:val="nil"/>
              <w:bottom w:val="single" w:sz="4" w:space="0" w:color="auto"/>
              <w:right w:val="single" w:sz="4" w:space="0" w:color="auto"/>
            </w:tcBorders>
            <w:hideMark/>
          </w:tcPr>
          <w:p w14:paraId="226DCA2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27767BDA"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1B1F737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09D4D6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DAE886F"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Access to benefits and services</w:t>
            </w:r>
          </w:p>
        </w:tc>
        <w:tc>
          <w:tcPr>
            <w:tcW w:w="1413" w:type="pct"/>
            <w:tcBorders>
              <w:top w:val="nil"/>
              <w:left w:val="nil"/>
              <w:bottom w:val="single" w:sz="4" w:space="0" w:color="auto"/>
              <w:right w:val="single" w:sz="4" w:space="0" w:color="auto"/>
            </w:tcBorders>
            <w:hideMark/>
          </w:tcPr>
          <w:p w14:paraId="3BB4F06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9ED8944" w14:textId="77777777" w:rsidTr="00DC00FF">
        <w:trPr>
          <w:trHeight w:val="58"/>
        </w:trPr>
        <w:tc>
          <w:tcPr>
            <w:tcW w:w="988" w:type="pct"/>
            <w:tcBorders>
              <w:top w:val="nil"/>
              <w:left w:val="single" w:sz="4" w:space="0" w:color="auto"/>
              <w:bottom w:val="single" w:sz="4" w:space="0" w:color="auto"/>
              <w:right w:val="single" w:sz="4" w:space="0" w:color="auto"/>
            </w:tcBorders>
            <w:hideMark/>
          </w:tcPr>
          <w:p w14:paraId="077A200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32B917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9789C2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Capacity development</w:t>
            </w:r>
          </w:p>
        </w:tc>
        <w:tc>
          <w:tcPr>
            <w:tcW w:w="1413" w:type="pct"/>
            <w:tcBorders>
              <w:top w:val="nil"/>
              <w:left w:val="nil"/>
              <w:bottom w:val="single" w:sz="4" w:space="0" w:color="auto"/>
              <w:right w:val="single" w:sz="4" w:space="0" w:color="auto"/>
            </w:tcBorders>
            <w:hideMark/>
          </w:tcPr>
          <w:p w14:paraId="530AA1C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7BD5272" w14:textId="77777777" w:rsidTr="00DC00FF">
        <w:trPr>
          <w:trHeight w:val="143"/>
        </w:trPr>
        <w:tc>
          <w:tcPr>
            <w:tcW w:w="988" w:type="pct"/>
            <w:tcBorders>
              <w:top w:val="nil"/>
              <w:left w:val="single" w:sz="4" w:space="0" w:color="auto"/>
              <w:bottom w:val="single" w:sz="4" w:space="0" w:color="auto"/>
              <w:right w:val="single" w:sz="4" w:space="0" w:color="auto"/>
            </w:tcBorders>
            <w:hideMark/>
          </w:tcPr>
          <w:p w14:paraId="08B7C9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DAAA44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single" w:sz="4" w:space="0" w:color="7F7F7F"/>
              <w:left w:val="single" w:sz="4" w:space="0" w:color="7F7F7F"/>
              <w:bottom w:val="single" w:sz="4" w:space="0" w:color="7F7F7F"/>
              <w:right w:val="single" w:sz="4" w:space="0" w:color="7F7F7F"/>
            </w:tcBorders>
            <w:hideMark/>
          </w:tcPr>
          <w:p w14:paraId="666D8D6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Awareness raising</w:t>
            </w:r>
          </w:p>
        </w:tc>
        <w:tc>
          <w:tcPr>
            <w:tcW w:w="1413" w:type="pct"/>
            <w:hideMark/>
          </w:tcPr>
          <w:p w14:paraId="13D6EFE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BC1EC8D" w14:textId="77777777" w:rsidTr="00DC00FF">
        <w:trPr>
          <w:trHeight w:val="125"/>
        </w:trPr>
        <w:tc>
          <w:tcPr>
            <w:tcW w:w="988" w:type="pct"/>
            <w:tcBorders>
              <w:top w:val="nil"/>
              <w:left w:val="single" w:sz="4" w:space="0" w:color="auto"/>
              <w:bottom w:val="single" w:sz="4" w:space="0" w:color="auto"/>
              <w:right w:val="single" w:sz="4" w:space="0" w:color="auto"/>
            </w:tcBorders>
            <w:hideMark/>
          </w:tcPr>
          <w:p w14:paraId="7510B2B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CA5AF8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single" w:sz="4" w:space="0" w:color="7F7F7F"/>
              <w:bottom w:val="single" w:sz="4" w:space="0" w:color="7F7F7F"/>
              <w:right w:val="single" w:sz="4" w:space="0" w:color="7F7F7F"/>
            </w:tcBorders>
            <w:hideMark/>
          </w:tcPr>
          <w:p w14:paraId="1B4C018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Knowledge generation</w:t>
            </w:r>
          </w:p>
        </w:tc>
        <w:tc>
          <w:tcPr>
            <w:tcW w:w="1413" w:type="pct"/>
            <w:hideMark/>
          </w:tcPr>
          <w:p w14:paraId="4DE2401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03550CB"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599CC586"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Focal Areas/Theme</w:t>
            </w:r>
          </w:p>
        </w:tc>
        <w:tc>
          <w:tcPr>
            <w:tcW w:w="1136" w:type="pct"/>
            <w:tcBorders>
              <w:top w:val="nil"/>
              <w:left w:val="nil"/>
              <w:bottom w:val="single" w:sz="4" w:space="0" w:color="auto"/>
              <w:right w:val="single" w:sz="4" w:space="0" w:color="auto"/>
            </w:tcBorders>
          </w:tcPr>
          <w:p w14:paraId="6E527986" w14:textId="77777777" w:rsidR="00DC00FF" w:rsidRDefault="00DC00FF">
            <w:pPr>
              <w:rPr>
                <w:rFonts w:ascii="Avenir Next Regular"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hideMark/>
          </w:tcPr>
          <w:p w14:paraId="6D0CED5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single" w:sz="4" w:space="0" w:color="auto"/>
              <w:left w:val="nil"/>
              <w:bottom w:val="single" w:sz="4" w:space="0" w:color="auto"/>
              <w:right w:val="single" w:sz="4" w:space="0" w:color="auto"/>
            </w:tcBorders>
            <w:hideMark/>
          </w:tcPr>
          <w:p w14:paraId="23F9C63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D4A2274"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tcPr>
          <w:p w14:paraId="58695369" w14:textId="77777777" w:rsidR="00DC00FF" w:rsidRDefault="00DC00FF">
            <w:pPr>
              <w:rPr>
                <w:color w:val="000000"/>
                <w:sz w:val="16"/>
                <w:szCs w:val="16"/>
              </w:rPr>
            </w:pPr>
          </w:p>
        </w:tc>
        <w:tc>
          <w:tcPr>
            <w:tcW w:w="1136" w:type="pct"/>
            <w:tcBorders>
              <w:top w:val="nil"/>
              <w:left w:val="nil"/>
              <w:bottom w:val="single" w:sz="4" w:space="0" w:color="auto"/>
              <w:right w:val="single" w:sz="4" w:space="0" w:color="auto"/>
            </w:tcBorders>
            <w:hideMark/>
          </w:tcPr>
          <w:p w14:paraId="5BB1D0EA"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Integrated Programs</w:t>
            </w:r>
          </w:p>
        </w:tc>
        <w:tc>
          <w:tcPr>
            <w:tcW w:w="1463" w:type="pct"/>
            <w:tcBorders>
              <w:top w:val="single" w:sz="4" w:space="0" w:color="auto"/>
              <w:left w:val="nil"/>
              <w:bottom w:val="single" w:sz="4" w:space="0" w:color="auto"/>
              <w:right w:val="single" w:sz="4" w:space="0" w:color="auto"/>
            </w:tcBorders>
          </w:tcPr>
          <w:p w14:paraId="4FA87ED1" w14:textId="77777777" w:rsidR="00DC00FF" w:rsidRDefault="00DC00FF">
            <w:pPr>
              <w:rPr>
                <w:rFonts w:ascii="Avenir Next Regular" w:hAnsi="Avenir Next Regular" w:cs="Calibri"/>
                <w:iCs/>
                <w:color w:val="000000"/>
                <w:sz w:val="16"/>
                <w:szCs w:val="16"/>
              </w:rPr>
            </w:pPr>
          </w:p>
        </w:tc>
        <w:tc>
          <w:tcPr>
            <w:tcW w:w="1413" w:type="pct"/>
            <w:tcBorders>
              <w:top w:val="single" w:sz="4" w:space="0" w:color="auto"/>
              <w:left w:val="nil"/>
              <w:bottom w:val="single" w:sz="4" w:space="0" w:color="auto"/>
              <w:right w:val="single" w:sz="4" w:space="0" w:color="auto"/>
            </w:tcBorders>
          </w:tcPr>
          <w:p w14:paraId="0E1601A7" w14:textId="77777777" w:rsidR="00DC00FF" w:rsidRDefault="00DC00FF">
            <w:pPr>
              <w:rPr>
                <w:rFonts w:ascii="Avenir Next Regular" w:hAnsi="Avenir Next Regular" w:cs="Calibri"/>
                <w:color w:val="000000"/>
                <w:sz w:val="16"/>
                <w:szCs w:val="16"/>
              </w:rPr>
            </w:pPr>
          </w:p>
        </w:tc>
      </w:tr>
      <w:tr w:rsidR="00DC00FF" w:rsidRPr="00DC00FF" w14:paraId="1BB65569" w14:textId="77777777" w:rsidTr="00DC00FF">
        <w:trPr>
          <w:trHeight w:val="224"/>
        </w:trPr>
        <w:tc>
          <w:tcPr>
            <w:tcW w:w="988" w:type="pct"/>
            <w:tcBorders>
              <w:top w:val="nil"/>
              <w:left w:val="single" w:sz="4" w:space="0" w:color="auto"/>
              <w:bottom w:val="single" w:sz="4" w:space="0" w:color="auto"/>
              <w:right w:val="single" w:sz="4" w:space="0" w:color="auto"/>
            </w:tcBorders>
            <w:noWrap/>
            <w:vAlign w:val="bottom"/>
            <w:hideMark/>
          </w:tcPr>
          <w:p w14:paraId="2018C49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13A7F7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C39C5CF"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Commodity Supply Chains (</w:t>
            </w:r>
            <w:r>
              <w:rPr>
                <w:rStyle w:val="FootnoteReference"/>
                <w:rFonts w:ascii="Avenir Next Regular" w:hAnsi="Avenir Next Regular" w:cs="Calibri"/>
                <w:iCs/>
                <w:color w:val="000000"/>
                <w:sz w:val="16"/>
                <w:szCs w:val="16"/>
              </w:rPr>
              <w:footnoteReference w:id="22"/>
            </w:r>
            <w:r>
              <w:rPr>
                <w:rFonts w:ascii="Avenir Next Regular" w:hAnsi="Avenir Next Regular" w:cs="Calibri"/>
                <w:iCs/>
                <w:color w:val="000000"/>
                <w:sz w:val="16"/>
                <w:szCs w:val="16"/>
              </w:rPr>
              <w:t>Good Growth Partnership)  </w:t>
            </w:r>
          </w:p>
        </w:tc>
        <w:tc>
          <w:tcPr>
            <w:tcW w:w="1413" w:type="pct"/>
            <w:tcBorders>
              <w:top w:val="nil"/>
              <w:left w:val="nil"/>
              <w:bottom w:val="single" w:sz="4" w:space="0" w:color="auto"/>
              <w:right w:val="single" w:sz="4" w:space="0" w:color="auto"/>
            </w:tcBorders>
            <w:hideMark/>
          </w:tcPr>
          <w:p w14:paraId="7F66898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BA747E2" w14:textId="77777777" w:rsidTr="00DC00FF">
        <w:trPr>
          <w:trHeight w:val="233"/>
        </w:trPr>
        <w:tc>
          <w:tcPr>
            <w:tcW w:w="988" w:type="pct"/>
            <w:tcBorders>
              <w:top w:val="nil"/>
              <w:left w:val="single" w:sz="4" w:space="0" w:color="auto"/>
              <w:bottom w:val="single" w:sz="4" w:space="0" w:color="auto"/>
              <w:right w:val="single" w:sz="4" w:space="0" w:color="auto"/>
            </w:tcBorders>
            <w:noWrap/>
            <w:vAlign w:val="bottom"/>
            <w:hideMark/>
          </w:tcPr>
          <w:p w14:paraId="3CF7697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A970A7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F7A906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C030A19"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Commodities Production</w:t>
            </w:r>
          </w:p>
        </w:tc>
      </w:tr>
      <w:tr w:rsidR="00DC00FF" w14:paraId="7882DC15"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6B7D8B0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A4B9B4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18FF57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AC7A7F3"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Deforestation-free Sourcing</w:t>
            </w:r>
          </w:p>
        </w:tc>
      </w:tr>
      <w:tr w:rsidR="00DC00FF" w14:paraId="651AF98A"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4F42046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2B0613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38DC3AF"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098E87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Financial Screening Tools</w:t>
            </w:r>
          </w:p>
        </w:tc>
      </w:tr>
      <w:tr w:rsidR="00DC00FF" w14:paraId="1A2E8895" w14:textId="77777777" w:rsidTr="00DC00FF">
        <w:trPr>
          <w:trHeight w:val="98"/>
        </w:trPr>
        <w:tc>
          <w:tcPr>
            <w:tcW w:w="988" w:type="pct"/>
            <w:tcBorders>
              <w:top w:val="nil"/>
              <w:left w:val="single" w:sz="4" w:space="0" w:color="auto"/>
              <w:bottom w:val="single" w:sz="4" w:space="0" w:color="auto"/>
              <w:right w:val="single" w:sz="4" w:space="0" w:color="auto"/>
            </w:tcBorders>
            <w:noWrap/>
            <w:vAlign w:val="bottom"/>
            <w:hideMark/>
          </w:tcPr>
          <w:p w14:paraId="56E41AF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7EA7A6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96675A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ABC059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High Conservation Value Forests</w:t>
            </w:r>
          </w:p>
        </w:tc>
      </w:tr>
      <w:tr w:rsidR="00DC00FF" w14:paraId="122807CB" w14:textId="77777777" w:rsidTr="00DC00FF">
        <w:trPr>
          <w:trHeight w:val="170"/>
        </w:trPr>
        <w:tc>
          <w:tcPr>
            <w:tcW w:w="988" w:type="pct"/>
            <w:tcBorders>
              <w:top w:val="nil"/>
              <w:left w:val="single" w:sz="4" w:space="0" w:color="auto"/>
              <w:bottom w:val="single" w:sz="4" w:space="0" w:color="auto"/>
              <w:right w:val="single" w:sz="4" w:space="0" w:color="auto"/>
            </w:tcBorders>
            <w:noWrap/>
            <w:vAlign w:val="bottom"/>
            <w:hideMark/>
          </w:tcPr>
          <w:p w14:paraId="063A8E2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F6D2A3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9F95FF6"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EE3545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High Carbon Stocks Forests</w:t>
            </w:r>
          </w:p>
        </w:tc>
      </w:tr>
      <w:tr w:rsidR="00DC00FF" w14:paraId="1421BD54"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24BFBD5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ACF1D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6A7C2C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CE6FA6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Soybean Supply Chain</w:t>
            </w:r>
          </w:p>
        </w:tc>
      </w:tr>
      <w:tr w:rsidR="00DC00FF" w14:paraId="50ECD79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D690CE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2215F3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54DFA7A"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B8ED0C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Oil Palm Supply Chain</w:t>
            </w:r>
          </w:p>
        </w:tc>
      </w:tr>
      <w:tr w:rsidR="00DC00FF" w14:paraId="1A34E759"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291849A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3CF28B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D590D0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C54BF1F"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Beef Supply Chain</w:t>
            </w:r>
          </w:p>
        </w:tc>
      </w:tr>
      <w:tr w:rsidR="00DC00FF" w14:paraId="7845146A"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7A9C081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EEE39A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425E46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CB71FA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Smallholder Farmers</w:t>
            </w:r>
          </w:p>
        </w:tc>
      </w:tr>
      <w:tr w:rsidR="00DC00FF" w14:paraId="277CB8DB" w14:textId="77777777" w:rsidTr="00DC00FF">
        <w:trPr>
          <w:trHeight w:val="170"/>
        </w:trPr>
        <w:tc>
          <w:tcPr>
            <w:tcW w:w="988" w:type="pct"/>
            <w:tcBorders>
              <w:top w:val="nil"/>
              <w:left w:val="single" w:sz="4" w:space="0" w:color="auto"/>
              <w:bottom w:val="single" w:sz="4" w:space="0" w:color="auto"/>
              <w:right w:val="single" w:sz="4" w:space="0" w:color="auto"/>
            </w:tcBorders>
            <w:noWrap/>
            <w:vAlign w:val="bottom"/>
            <w:hideMark/>
          </w:tcPr>
          <w:p w14:paraId="0D2D17C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lastRenderedPageBreak/>
              <w:t> </w:t>
            </w:r>
          </w:p>
        </w:tc>
        <w:tc>
          <w:tcPr>
            <w:tcW w:w="1136" w:type="pct"/>
            <w:tcBorders>
              <w:top w:val="nil"/>
              <w:left w:val="nil"/>
              <w:bottom w:val="single" w:sz="4" w:space="0" w:color="auto"/>
              <w:right w:val="single" w:sz="4" w:space="0" w:color="auto"/>
            </w:tcBorders>
            <w:hideMark/>
          </w:tcPr>
          <w:p w14:paraId="15F6DF8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AE9FF88"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DFCD4C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Adaptive Management</w:t>
            </w:r>
          </w:p>
        </w:tc>
      </w:tr>
      <w:tr w:rsidR="00DC00FF" w:rsidRPr="00DC00FF" w14:paraId="21292CB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6CC711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C1C514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56718CB"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Food Security in Sub-Sahara Africa     </w:t>
            </w:r>
          </w:p>
        </w:tc>
        <w:tc>
          <w:tcPr>
            <w:tcW w:w="1413" w:type="pct"/>
            <w:tcBorders>
              <w:top w:val="nil"/>
              <w:left w:val="nil"/>
              <w:bottom w:val="single" w:sz="4" w:space="0" w:color="auto"/>
              <w:right w:val="single" w:sz="4" w:space="0" w:color="auto"/>
            </w:tcBorders>
            <w:hideMark/>
          </w:tcPr>
          <w:p w14:paraId="5F2ECAD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E818353" w14:textId="77777777" w:rsidTr="00DC00FF">
        <w:trPr>
          <w:trHeight w:val="170"/>
        </w:trPr>
        <w:tc>
          <w:tcPr>
            <w:tcW w:w="988" w:type="pct"/>
            <w:tcBorders>
              <w:top w:val="nil"/>
              <w:left w:val="single" w:sz="4" w:space="0" w:color="auto"/>
              <w:bottom w:val="single" w:sz="4" w:space="0" w:color="auto"/>
              <w:right w:val="single" w:sz="4" w:space="0" w:color="auto"/>
            </w:tcBorders>
            <w:noWrap/>
            <w:vAlign w:val="bottom"/>
            <w:hideMark/>
          </w:tcPr>
          <w:p w14:paraId="43A55DA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A07464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41F235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99BF135"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Resilience (climate and shocks)</w:t>
            </w:r>
          </w:p>
        </w:tc>
      </w:tr>
      <w:tr w:rsidR="00DC00FF" w14:paraId="402BAA55"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7997F7C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6091AB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652590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02D97F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Production Systems</w:t>
            </w:r>
          </w:p>
        </w:tc>
      </w:tr>
      <w:tr w:rsidR="00DC00FF" w14:paraId="2AB763F2"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6632634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617AA4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4EC5FE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B28E3C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Agroecosystems</w:t>
            </w:r>
          </w:p>
        </w:tc>
      </w:tr>
      <w:tr w:rsidR="00DC00FF" w14:paraId="0B58858E"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5882112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0D907F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1147AA8"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9B261A3"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Land and Soil Health</w:t>
            </w:r>
          </w:p>
        </w:tc>
      </w:tr>
      <w:tr w:rsidR="00DC00FF" w14:paraId="56C9CF19" w14:textId="77777777" w:rsidTr="00DC00FF">
        <w:trPr>
          <w:trHeight w:val="107"/>
        </w:trPr>
        <w:tc>
          <w:tcPr>
            <w:tcW w:w="988" w:type="pct"/>
            <w:tcBorders>
              <w:top w:val="nil"/>
              <w:left w:val="single" w:sz="4" w:space="0" w:color="auto"/>
              <w:bottom w:val="single" w:sz="4" w:space="0" w:color="auto"/>
              <w:right w:val="single" w:sz="4" w:space="0" w:color="auto"/>
            </w:tcBorders>
            <w:noWrap/>
            <w:vAlign w:val="bottom"/>
            <w:hideMark/>
          </w:tcPr>
          <w:p w14:paraId="5E085C2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1C4D7A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79303E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E0A938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Diversified Farming</w:t>
            </w:r>
          </w:p>
        </w:tc>
      </w:tr>
      <w:tr w:rsidR="00DC00FF" w:rsidRPr="00DC00FF" w14:paraId="5645AEB8"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171AC90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99DD37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6C5C37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BE75F73"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Integrated Land and Water Management</w:t>
            </w:r>
          </w:p>
        </w:tc>
      </w:tr>
      <w:tr w:rsidR="00DC00FF" w14:paraId="1F1C408D" w14:textId="77777777" w:rsidTr="00DC00FF">
        <w:trPr>
          <w:trHeight w:val="116"/>
        </w:trPr>
        <w:tc>
          <w:tcPr>
            <w:tcW w:w="988" w:type="pct"/>
            <w:tcBorders>
              <w:top w:val="nil"/>
              <w:left w:val="single" w:sz="4" w:space="0" w:color="auto"/>
              <w:bottom w:val="single" w:sz="4" w:space="0" w:color="auto"/>
              <w:right w:val="single" w:sz="4" w:space="0" w:color="auto"/>
            </w:tcBorders>
            <w:noWrap/>
            <w:vAlign w:val="bottom"/>
            <w:hideMark/>
          </w:tcPr>
          <w:p w14:paraId="4A4CB0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B2C0CA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3EF128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5A5A79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Smallholder Farming</w:t>
            </w:r>
          </w:p>
        </w:tc>
      </w:tr>
      <w:tr w:rsidR="00DC00FF" w14:paraId="061D2E9D" w14:textId="77777777" w:rsidTr="00DC00FF">
        <w:trPr>
          <w:trHeight w:val="170"/>
        </w:trPr>
        <w:tc>
          <w:tcPr>
            <w:tcW w:w="988" w:type="pct"/>
            <w:tcBorders>
              <w:top w:val="nil"/>
              <w:left w:val="single" w:sz="4" w:space="0" w:color="auto"/>
              <w:bottom w:val="single" w:sz="4" w:space="0" w:color="auto"/>
              <w:right w:val="single" w:sz="4" w:space="0" w:color="auto"/>
            </w:tcBorders>
            <w:noWrap/>
            <w:vAlign w:val="bottom"/>
            <w:hideMark/>
          </w:tcPr>
          <w:p w14:paraId="19E5272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71B08E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330B58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EB08CF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Small and Medium Enterprises</w:t>
            </w:r>
          </w:p>
        </w:tc>
      </w:tr>
      <w:tr w:rsidR="00DC00FF" w14:paraId="180EEC46"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2891DDC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EF6039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EF4B21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C5FF38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Crop Genetic Diversity</w:t>
            </w:r>
          </w:p>
        </w:tc>
      </w:tr>
      <w:tr w:rsidR="00DC00FF" w14:paraId="7D7E9DF0" w14:textId="77777777" w:rsidTr="00DC00FF">
        <w:trPr>
          <w:trHeight w:val="134"/>
        </w:trPr>
        <w:tc>
          <w:tcPr>
            <w:tcW w:w="988" w:type="pct"/>
            <w:tcBorders>
              <w:top w:val="nil"/>
              <w:left w:val="single" w:sz="4" w:space="0" w:color="auto"/>
              <w:bottom w:val="single" w:sz="4" w:space="0" w:color="auto"/>
              <w:right w:val="single" w:sz="4" w:space="0" w:color="auto"/>
            </w:tcBorders>
            <w:noWrap/>
            <w:vAlign w:val="bottom"/>
            <w:hideMark/>
          </w:tcPr>
          <w:p w14:paraId="0F8AE59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E959EA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CF34DBF"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CFA684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Food Value Chains</w:t>
            </w:r>
          </w:p>
        </w:tc>
      </w:tr>
      <w:tr w:rsidR="00DC00FF" w14:paraId="79B7E54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D7E0AF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7771BC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F71020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D686A0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Gender Dimensions</w:t>
            </w:r>
          </w:p>
        </w:tc>
      </w:tr>
      <w:tr w:rsidR="00DC00FF" w14:paraId="634B4876"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1EE2EB9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274FF2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D6D92A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FA0B4F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Multi-stakeholder Platforms</w:t>
            </w:r>
          </w:p>
        </w:tc>
      </w:tr>
      <w:tr w:rsidR="00DC00FF" w:rsidRPr="00DC00FF" w14:paraId="362AEC90" w14:textId="77777777" w:rsidTr="00DC00FF">
        <w:trPr>
          <w:trHeight w:val="341"/>
        </w:trPr>
        <w:tc>
          <w:tcPr>
            <w:tcW w:w="988" w:type="pct"/>
            <w:tcBorders>
              <w:top w:val="nil"/>
              <w:left w:val="single" w:sz="4" w:space="0" w:color="auto"/>
              <w:bottom w:val="single" w:sz="4" w:space="0" w:color="auto"/>
              <w:right w:val="single" w:sz="4" w:space="0" w:color="auto"/>
            </w:tcBorders>
            <w:noWrap/>
            <w:vAlign w:val="bottom"/>
            <w:hideMark/>
          </w:tcPr>
          <w:p w14:paraId="5A27C3D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28FE07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4A2661C"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Food Systems, Land Use and Restoration</w:t>
            </w:r>
          </w:p>
        </w:tc>
        <w:tc>
          <w:tcPr>
            <w:tcW w:w="1413" w:type="pct"/>
            <w:tcBorders>
              <w:top w:val="nil"/>
              <w:left w:val="nil"/>
              <w:bottom w:val="single" w:sz="4" w:space="0" w:color="auto"/>
              <w:right w:val="single" w:sz="4" w:space="0" w:color="auto"/>
            </w:tcBorders>
            <w:hideMark/>
          </w:tcPr>
          <w:p w14:paraId="0533FAD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8E2C24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7C21DB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CFAC14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AD6C6A6"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C8F84B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Food Systems</w:t>
            </w:r>
          </w:p>
        </w:tc>
      </w:tr>
      <w:tr w:rsidR="00DC00FF" w14:paraId="3C603A8B"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5E443CA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AD73C6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E358A5F"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70A2CA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Landscape Restoration</w:t>
            </w:r>
          </w:p>
        </w:tc>
      </w:tr>
      <w:tr w:rsidR="00DC00FF" w14:paraId="77B890F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2B2B69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D13C5B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A95489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C0F72EB"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Commodity Production</w:t>
            </w:r>
          </w:p>
        </w:tc>
      </w:tr>
      <w:tr w:rsidR="00DC00FF" w14:paraId="1E63EA33"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7E9D32D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FB4FC8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D47F84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D0D32D6"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Comprehensive Land Use Planning</w:t>
            </w:r>
          </w:p>
        </w:tc>
      </w:tr>
      <w:tr w:rsidR="00DC00FF" w14:paraId="1D66DD0D" w14:textId="77777777" w:rsidTr="00DC00FF">
        <w:trPr>
          <w:trHeight w:val="62"/>
        </w:trPr>
        <w:tc>
          <w:tcPr>
            <w:tcW w:w="988" w:type="pct"/>
            <w:tcBorders>
              <w:top w:val="nil"/>
              <w:left w:val="single" w:sz="4" w:space="0" w:color="auto"/>
              <w:bottom w:val="single" w:sz="4" w:space="0" w:color="auto"/>
              <w:right w:val="single" w:sz="4" w:space="0" w:color="auto"/>
            </w:tcBorders>
            <w:noWrap/>
            <w:vAlign w:val="bottom"/>
            <w:hideMark/>
          </w:tcPr>
          <w:p w14:paraId="7A1C71A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042012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F33AA4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C17857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Integrated Landscapes</w:t>
            </w:r>
          </w:p>
        </w:tc>
      </w:tr>
      <w:tr w:rsidR="00DC00FF" w14:paraId="256E250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E3AFA8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7A955A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648786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5400E3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Food Value Chains</w:t>
            </w:r>
          </w:p>
        </w:tc>
      </w:tr>
      <w:tr w:rsidR="00DC00FF" w14:paraId="4E04E43C"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0D90521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4AA2B8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F5588FA"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F74C70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Deforestation-free Sourcing</w:t>
            </w:r>
          </w:p>
        </w:tc>
      </w:tr>
      <w:tr w:rsidR="00DC00FF" w14:paraId="2F9F7E68"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2CB4B99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C4005D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F2C968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C97337F"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Smallholder Farmers</w:t>
            </w:r>
          </w:p>
        </w:tc>
      </w:tr>
      <w:tr w:rsidR="00DC00FF" w14:paraId="3B327BB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4C12B8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1AED7E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B9D327A"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Sustainable Cities</w:t>
            </w:r>
          </w:p>
        </w:tc>
        <w:tc>
          <w:tcPr>
            <w:tcW w:w="1413" w:type="pct"/>
            <w:tcBorders>
              <w:top w:val="nil"/>
              <w:left w:val="nil"/>
              <w:bottom w:val="single" w:sz="4" w:space="0" w:color="auto"/>
              <w:right w:val="single" w:sz="4" w:space="0" w:color="auto"/>
            </w:tcBorders>
            <w:hideMark/>
          </w:tcPr>
          <w:p w14:paraId="18A6345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B781723"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1AC014D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5EC1FE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E9173D4"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D1576B8"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Integrated urban planning</w:t>
            </w:r>
          </w:p>
        </w:tc>
      </w:tr>
      <w:tr w:rsidR="00DC00FF" w14:paraId="71AFCD75" w14:textId="77777777" w:rsidTr="00DC00FF">
        <w:trPr>
          <w:trHeight w:val="62"/>
        </w:trPr>
        <w:tc>
          <w:tcPr>
            <w:tcW w:w="988" w:type="pct"/>
            <w:tcBorders>
              <w:top w:val="nil"/>
              <w:left w:val="single" w:sz="4" w:space="0" w:color="auto"/>
              <w:bottom w:val="single" w:sz="4" w:space="0" w:color="auto"/>
              <w:right w:val="single" w:sz="4" w:space="0" w:color="auto"/>
            </w:tcBorders>
            <w:noWrap/>
            <w:vAlign w:val="bottom"/>
            <w:hideMark/>
          </w:tcPr>
          <w:p w14:paraId="191C463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CBECE7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F04DD8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8B2E2B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Urban sustainability framework</w:t>
            </w:r>
          </w:p>
        </w:tc>
      </w:tr>
      <w:tr w:rsidR="00DC00FF" w14:paraId="27ED9FD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069F8F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C7FFDB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534DF8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86FE69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Transport and Mobility</w:t>
            </w:r>
          </w:p>
        </w:tc>
      </w:tr>
      <w:tr w:rsidR="00DC00FF" w14:paraId="174117B0" w14:textId="77777777" w:rsidTr="00DC00FF">
        <w:trPr>
          <w:trHeight w:val="116"/>
        </w:trPr>
        <w:tc>
          <w:tcPr>
            <w:tcW w:w="988" w:type="pct"/>
            <w:tcBorders>
              <w:top w:val="nil"/>
              <w:left w:val="single" w:sz="4" w:space="0" w:color="auto"/>
              <w:bottom w:val="single" w:sz="4" w:space="0" w:color="auto"/>
              <w:right w:val="single" w:sz="4" w:space="0" w:color="auto"/>
            </w:tcBorders>
            <w:noWrap/>
            <w:vAlign w:val="bottom"/>
            <w:hideMark/>
          </w:tcPr>
          <w:p w14:paraId="621AFB4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0261D9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14A2B6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57010C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Buildings</w:t>
            </w:r>
          </w:p>
        </w:tc>
      </w:tr>
      <w:tr w:rsidR="00DC00FF" w14:paraId="5D9A6A40" w14:textId="77777777" w:rsidTr="00DC00FF">
        <w:trPr>
          <w:trHeight w:val="107"/>
        </w:trPr>
        <w:tc>
          <w:tcPr>
            <w:tcW w:w="988" w:type="pct"/>
            <w:tcBorders>
              <w:top w:val="nil"/>
              <w:left w:val="single" w:sz="4" w:space="0" w:color="auto"/>
              <w:bottom w:val="single" w:sz="4" w:space="0" w:color="auto"/>
              <w:right w:val="single" w:sz="4" w:space="0" w:color="auto"/>
            </w:tcBorders>
            <w:noWrap/>
            <w:vAlign w:val="bottom"/>
            <w:hideMark/>
          </w:tcPr>
          <w:p w14:paraId="3736698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D7BD29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24A9D3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37DD67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Municipal waste management</w:t>
            </w:r>
          </w:p>
        </w:tc>
      </w:tr>
      <w:tr w:rsidR="00DC00FF" w14:paraId="0280438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7EB083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EA7268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D7F0A1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DB34C3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Green space</w:t>
            </w:r>
          </w:p>
        </w:tc>
      </w:tr>
      <w:tr w:rsidR="00DC00FF" w14:paraId="2CF9E968" w14:textId="77777777" w:rsidTr="00DC00FF">
        <w:trPr>
          <w:trHeight w:val="71"/>
        </w:trPr>
        <w:tc>
          <w:tcPr>
            <w:tcW w:w="988" w:type="pct"/>
            <w:tcBorders>
              <w:top w:val="nil"/>
              <w:left w:val="single" w:sz="4" w:space="0" w:color="auto"/>
              <w:bottom w:val="single" w:sz="4" w:space="0" w:color="auto"/>
              <w:right w:val="single" w:sz="4" w:space="0" w:color="auto"/>
            </w:tcBorders>
            <w:noWrap/>
            <w:vAlign w:val="bottom"/>
            <w:hideMark/>
          </w:tcPr>
          <w:p w14:paraId="0DAB98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B16210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AFECA9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BAFA92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Urban Biodiversity</w:t>
            </w:r>
          </w:p>
        </w:tc>
      </w:tr>
      <w:tr w:rsidR="00DC00FF" w14:paraId="33E59B25" w14:textId="77777777" w:rsidTr="00DC00FF">
        <w:trPr>
          <w:trHeight w:val="134"/>
        </w:trPr>
        <w:tc>
          <w:tcPr>
            <w:tcW w:w="988" w:type="pct"/>
            <w:tcBorders>
              <w:top w:val="nil"/>
              <w:left w:val="single" w:sz="4" w:space="0" w:color="auto"/>
              <w:bottom w:val="single" w:sz="4" w:space="0" w:color="auto"/>
              <w:right w:val="single" w:sz="4" w:space="0" w:color="auto"/>
            </w:tcBorders>
            <w:noWrap/>
            <w:vAlign w:val="bottom"/>
            <w:hideMark/>
          </w:tcPr>
          <w:p w14:paraId="0A7C0E4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43B946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CB9F80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56C3978"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Urban Food Systems</w:t>
            </w:r>
          </w:p>
        </w:tc>
      </w:tr>
      <w:tr w:rsidR="00DC00FF" w14:paraId="520CE9E7"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0A7D992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F696EA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AC684F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CE8979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Energy efficiency</w:t>
            </w:r>
          </w:p>
        </w:tc>
      </w:tr>
      <w:tr w:rsidR="00DC00FF" w14:paraId="38D2F7BC" w14:textId="77777777" w:rsidTr="00DC00FF">
        <w:trPr>
          <w:trHeight w:val="188"/>
        </w:trPr>
        <w:tc>
          <w:tcPr>
            <w:tcW w:w="988" w:type="pct"/>
            <w:tcBorders>
              <w:top w:val="nil"/>
              <w:left w:val="single" w:sz="4" w:space="0" w:color="auto"/>
              <w:bottom w:val="single" w:sz="4" w:space="0" w:color="auto"/>
              <w:right w:val="single" w:sz="4" w:space="0" w:color="auto"/>
            </w:tcBorders>
            <w:noWrap/>
            <w:vAlign w:val="bottom"/>
            <w:hideMark/>
          </w:tcPr>
          <w:p w14:paraId="54761F8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2A46B5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8B7A927"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8E0F2E5"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Municipal Financing</w:t>
            </w:r>
          </w:p>
        </w:tc>
      </w:tr>
      <w:tr w:rsidR="00DC00FF" w:rsidRPr="00DC00FF" w14:paraId="3B781CFE"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1076B82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5833CE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6C4657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775C0F4" w14:textId="77777777" w:rsidR="00DC00FF" w:rsidRDefault="00DC00FF">
            <w:pPr>
              <w:ind w:left="192" w:hanging="180"/>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Global Platform for Sustainable Cities</w:t>
            </w:r>
          </w:p>
        </w:tc>
      </w:tr>
      <w:tr w:rsidR="00DC00FF" w14:paraId="5D8091B7"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9FD19A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DCD422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66EC38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24F0BB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Urban Resilience</w:t>
            </w:r>
          </w:p>
        </w:tc>
      </w:tr>
      <w:tr w:rsidR="00DC00FF" w14:paraId="747171C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863029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967C813" w14:textId="77777777" w:rsidR="00DC00FF" w:rsidRDefault="00DC00FF">
            <w:pPr>
              <w:rPr>
                <w:rFonts w:ascii="Avenir Next Regular" w:hAnsi="Avenir Next Regular" w:cs="Calibri"/>
                <w:b/>
                <w:bCs/>
                <w:color w:val="000000"/>
                <w:sz w:val="16"/>
                <w:szCs w:val="16"/>
              </w:rPr>
            </w:pPr>
            <w:r>
              <w:rPr>
                <w:color w:val="000000"/>
                <w:sz w:val="16"/>
                <w:szCs w:val="16"/>
              </w:rPr>
              <w:t xml:space="preserve">X </w:t>
            </w:r>
            <w:r>
              <w:rPr>
                <w:rFonts w:ascii="Avenir Next Regular" w:hAnsi="Avenir Next Regular" w:cs="Calibri"/>
                <w:b/>
                <w:bCs/>
                <w:color w:val="000000"/>
                <w:sz w:val="16"/>
                <w:szCs w:val="16"/>
              </w:rPr>
              <w:t>Biodiversity</w:t>
            </w:r>
          </w:p>
        </w:tc>
        <w:tc>
          <w:tcPr>
            <w:tcW w:w="1463" w:type="pct"/>
            <w:tcBorders>
              <w:top w:val="nil"/>
              <w:left w:val="nil"/>
              <w:bottom w:val="single" w:sz="4" w:space="0" w:color="auto"/>
              <w:right w:val="single" w:sz="4" w:space="0" w:color="auto"/>
            </w:tcBorders>
            <w:hideMark/>
          </w:tcPr>
          <w:p w14:paraId="1D7383F4"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399F5A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6C75D50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F272AB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C9EDB0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545F4AF" w14:textId="77777777" w:rsidR="00DC00FF" w:rsidRDefault="00DC00FF">
            <w:pPr>
              <w:rPr>
                <w:rFonts w:ascii="Avenir Next Regular" w:hAnsi="Avenir Next Regular" w:cs="Calibri"/>
                <w:iCs/>
                <w:color w:val="000000"/>
                <w:sz w:val="16"/>
                <w:szCs w:val="16"/>
              </w:rPr>
            </w:pPr>
            <w:r>
              <w:rPr>
                <w:color w:val="000000"/>
                <w:sz w:val="16"/>
                <w:szCs w:val="16"/>
              </w:rPr>
              <w:t xml:space="preserve">X </w:t>
            </w:r>
            <w:r>
              <w:rPr>
                <w:rFonts w:ascii="Avenir Next Regular" w:hAnsi="Avenir Next Regular" w:cs="Calibri"/>
                <w:iCs/>
                <w:color w:val="000000"/>
                <w:sz w:val="16"/>
                <w:szCs w:val="16"/>
              </w:rPr>
              <w:t>Protected Areas and Landscapes</w:t>
            </w:r>
          </w:p>
        </w:tc>
        <w:tc>
          <w:tcPr>
            <w:tcW w:w="1413" w:type="pct"/>
            <w:tcBorders>
              <w:top w:val="nil"/>
              <w:left w:val="nil"/>
              <w:bottom w:val="single" w:sz="4" w:space="0" w:color="auto"/>
              <w:right w:val="single" w:sz="4" w:space="0" w:color="auto"/>
            </w:tcBorders>
            <w:hideMark/>
          </w:tcPr>
          <w:p w14:paraId="77C8C68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5776B0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F7B5F0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AF8E9B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A2A82B7"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BE5AF0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Terrestrial Protected Areas</w:t>
            </w:r>
          </w:p>
        </w:tc>
      </w:tr>
      <w:tr w:rsidR="00DC00FF" w:rsidRPr="00DC00FF" w14:paraId="2865565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15248E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CC2CF4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897CEEE"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2EA7A5E" w14:textId="77777777" w:rsidR="00DC00FF" w:rsidRDefault="00DC00FF">
            <w:pPr>
              <w:ind w:left="192" w:hanging="192"/>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Coastal and Marine Protected Areas</w:t>
            </w:r>
          </w:p>
        </w:tc>
      </w:tr>
      <w:tr w:rsidR="00DC00FF" w14:paraId="29CDC62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2AF357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6A387A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A97CE9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CDD1DD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Productive Landscapes</w:t>
            </w:r>
          </w:p>
        </w:tc>
      </w:tr>
      <w:tr w:rsidR="00DC00FF" w14:paraId="5F70E0C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63776D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8D825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71F927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142EC52" w14:textId="77777777" w:rsidR="00DC00FF" w:rsidRDefault="00DC00FF">
            <w:pPr>
              <w:rPr>
                <w:rFonts w:ascii="Avenir Next Regular" w:hAnsi="Avenir Next Regular" w:cs="Calibri"/>
                <w:color w:val="000000"/>
                <w:sz w:val="16"/>
                <w:szCs w:val="16"/>
              </w:rPr>
            </w:pPr>
            <w:proofErr w:type="spellStart"/>
            <w:r>
              <w:rPr>
                <w:color w:val="000000"/>
                <w:sz w:val="16"/>
                <w:szCs w:val="16"/>
              </w:rPr>
              <w:t>X</w:t>
            </w:r>
            <w:r>
              <w:rPr>
                <w:rFonts w:ascii="Avenir Next Regular" w:hAnsi="Avenir Next Regular" w:cs="Calibri"/>
                <w:color w:val="000000"/>
                <w:sz w:val="16"/>
                <w:szCs w:val="16"/>
              </w:rPr>
              <w:t>Productive</w:t>
            </w:r>
            <w:proofErr w:type="spellEnd"/>
            <w:r>
              <w:rPr>
                <w:rFonts w:ascii="Avenir Next Regular" w:hAnsi="Avenir Next Regular" w:cs="Calibri"/>
                <w:color w:val="000000"/>
                <w:sz w:val="16"/>
                <w:szCs w:val="16"/>
              </w:rPr>
              <w:t xml:space="preserve"> Seascapes</w:t>
            </w:r>
          </w:p>
        </w:tc>
      </w:tr>
      <w:tr w:rsidR="00DC00FF" w:rsidRPr="00DC00FF" w14:paraId="3B8124CD" w14:textId="77777777" w:rsidTr="00DC00FF">
        <w:trPr>
          <w:trHeight w:val="251"/>
        </w:trPr>
        <w:tc>
          <w:tcPr>
            <w:tcW w:w="988" w:type="pct"/>
            <w:tcBorders>
              <w:top w:val="nil"/>
              <w:left w:val="single" w:sz="4" w:space="0" w:color="auto"/>
              <w:bottom w:val="single" w:sz="4" w:space="0" w:color="auto"/>
              <w:right w:val="single" w:sz="4" w:space="0" w:color="auto"/>
            </w:tcBorders>
            <w:noWrap/>
            <w:vAlign w:val="bottom"/>
            <w:hideMark/>
          </w:tcPr>
          <w:p w14:paraId="086B133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ECD33A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14314C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58146AD"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Community Based Natural Resource Management</w:t>
            </w:r>
          </w:p>
        </w:tc>
      </w:tr>
      <w:tr w:rsidR="00DC00FF" w14:paraId="619B93C6" w14:textId="77777777" w:rsidTr="00DC00FF">
        <w:trPr>
          <w:trHeight w:val="71"/>
        </w:trPr>
        <w:tc>
          <w:tcPr>
            <w:tcW w:w="988" w:type="pct"/>
            <w:tcBorders>
              <w:top w:val="nil"/>
              <w:left w:val="single" w:sz="4" w:space="0" w:color="auto"/>
              <w:bottom w:val="single" w:sz="4" w:space="0" w:color="auto"/>
              <w:right w:val="single" w:sz="4" w:space="0" w:color="auto"/>
            </w:tcBorders>
            <w:noWrap/>
            <w:vAlign w:val="bottom"/>
            <w:hideMark/>
          </w:tcPr>
          <w:p w14:paraId="646DB10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F2D2A3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2BA580D"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Mainstreaming</w:t>
            </w:r>
          </w:p>
        </w:tc>
        <w:tc>
          <w:tcPr>
            <w:tcW w:w="1413" w:type="pct"/>
            <w:tcBorders>
              <w:top w:val="nil"/>
              <w:left w:val="nil"/>
              <w:bottom w:val="single" w:sz="4" w:space="0" w:color="auto"/>
              <w:right w:val="single" w:sz="4" w:space="0" w:color="auto"/>
            </w:tcBorders>
            <w:hideMark/>
          </w:tcPr>
          <w:p w14:paraId="21D0C82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0BA2219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8810CB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lastRenderedPageBreak/>
              <w:t> </w:t>
            </w:r>
          </w:p>
        </w:tc>
        <w:tc>
          <w:tcPr>
            <w:tcW w:w="1136" w:type="pct"/>
            <w:tcBorders>
              <w:top w:val="nil"/>
              <w:left w:val="nil"/>
              <w:bottom w:val="single" w:sz="4" w:space="0" w:color="auto"/>
              <w:right w:val="single" w:sz="4" w:space="0" w:color="auto"/>
            </w:tcBorders>
            <w:hideMark/>
          </w:tcPr>
          <w:p w14:paraId="79D09C2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30319F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90839E7"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Extractive Industries (oil, gas, mining)</w:t>
            </w:r>
          </w:p>
        </w:tc>
      </w:tr>
      <w:tr w:rsidR="00DC00FF" w:rsidRPr="00DC00FF" w14:paraId="45B4EB8C"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65EF936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2F7497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3CAFD2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D5F8D1A"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Forestry (Including HCVF and REDD+)</w:t>
            </w:r>
          </w:p>
        </w:tc>
      </w:tr>
      <w:tr w:rsidR="00DC00FF" w14:paraId="02F0FE92"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8BD302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CEE11C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42CDA8E"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7C95C9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Tourism</w:t>
            </w:r>
          </w:p>
        </w:tc>
      </w:tr>
      <w:tr w:rsidR="00DC00FF" w14:paraId="4987D155"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7262DD0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5C7873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29BB9E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B369F3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Agriculture &amp; agrobiodiversity</w:t>
            </w:r>
          </w:p>
        </w:tc>
      </w:tr>
      <w:tr w:rsidR="00DC00FF" w14:paraId="6521057F"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7A76927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1DE420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6984CE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BCA2603"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Fisheries</w:t>
            </w:r>
          </w:p>
        </w:tc>
      </w:tr>
      <w:tr w:rsidR="00DC00FF" w14:paraId="264DEC1A"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3EDCD31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89C1B0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7C51842"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F407178"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Infrastructure</w:t>
            </w:r>
          </w:p>
        </w:tc>
      </w:tr>
      <w:tr w:rsidR="00DC00FF" w14:paraId="17B9D0B3"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16675D5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673A4E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D8AC9E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0715AEC"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Certification (National Standards)</w:t>
            </w:r>
          </w:p>
        </w:tc>
      </w:tr>
      <w:tr w:rsidR="00DC00FF" w14:paraId="7DB1AD39" w14:textId="77777777" w:rsidTr="00DC00FF">
        <w:trPr>
          <w:trHeight w:val="251"/>
        </w:trPr>
        <w:tc>
          <w:tcPr>
            <w:tcW w:w="988" w:type="pct"/>
            <w:tcBorders>
              <w:top w:val="nil"/>
              <w:left w:val="single" w:sz="4" w:space="0" w:color="auto"/>
              <w:bottom w:val="single" w:sz="4" w:space="0" w:color="auto"/>
              <w:right w:val="single" w:sz="4" w:space="0" w:color="auto"/>
            </w:tcBorders>
            <w:noWrap/>
            <w:vAlign w:val="bottom"/>
            <w:hideMark/>
          </w:tcPr>
          <w:p w14:paraId="4E88290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89A301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E33DC57"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698C45C"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Certification (International Standards)</w:t>
            </w:r>
          </w:p>
        </w:tc>
      </w:tr>
      <w:tr w:rsidR="00DC00FF" w14:paraId="02D323BA"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244F5F9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411FAE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0D2E608"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 xml:space="preserve">Species </w:t>
            </w:r>
          </w:p>
        </w:tc>
        <w:tc>
          <w:tcPr>
            <w:tcW w:w="1413" w:type="pct"/>
            <w:tcBorders>
              <w:top w:val="nil"/>
              <w:left w:val="nil"/>
              <w:bottom w:val="single" w:sz="4" w:space="0" w:color="auto"/>
              <w:right w:val="single" w:sz="4" w:space="0" w:color="auto"/>
            </w:tcBorders>
            <w:hideMark/>
          </w:tcPr>
          <w:p w14:paraId="05CF754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C3F6DFE" w14:textId="77777777" w:rsidTr="00DC00FF">
        <w:trPr>
          <w:trHeight w:val="197"/>
        </w:trPr>
        <w:tc>
          <w:tcPr>
            <w:tcW w:w="988" w:type="pct"/>
            <w:tcBorders>
              <w:top w:val="nil"/>
              <w:left w:val="single" w:sz="4" w:space="0" w:color="auto"/>
              <w:bottom w:val="single" w:sz="4" w:space="0" w:color="auto"/>
              <w:right w:val="single" w:sz="4" w:space="0" w:color="auto"/>
            </w:tcBorders>
            <w:noWrap/>
            <w:vAlign w:val="bottom"/>
            <w:hideMark/>
          </w:tcPr>
          <w:p w14:paraId="790E3E8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280D3F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34FF037"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CBF26C6"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Illegal Wildlife Trade</w:t>
            </w:r>
          </w:p>
        </w:tc>
      </w:tr>
      <w:tr w:rsidR="00DC00FF" w14:paraId="6CD77F01"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386B910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1A8692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4D6D75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10EB8E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 xml:space="preserve">Threatened Species </w:t>
            </w:r>
          </w:p>
        </w:tc>
      </w:tr>
      <w:tr w:rsidR="00DC00FF" w14:paraId="0B282244" w14:textId="77777777" w:rsidTr="00DC00FF">
        <w:trPr>
          <w:trHeight w:val="152"/>
        </w:trPr>
        <w:tc>
          <w:tcPr>
            <w:tcW w:w="988" w:type="pct"/>
            <w:tcBorders>
              <w:top w:val="nil"/>
              <w:left w:val="single" w:sz="4" w:space="0" w:color="auto"/>
              <w:bottom w:val="single" w:sz="4" w:space="0" w:color="auto"/>
              <w:right w:val="single" w:sz="4" w:space="0" w:color="auto"/>
            </w:tcBorders>
            <w:noWrap/>
            <w:vAlign w:val="bottom"/>
            <w:hideMark/>
          </w:tcPr>
          <w:p w14:paraId="22303F7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FFF02C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51B857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BDCA80E"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Wildlife for Sustainable Development</w:t>
            </w:r>
          </w:p>
        </w:tc>
      </w:tr>
      <w:tr w:rsidR="00DC00FF" w14:paraId="4172844C" w14:textId="77777777" w:rsidTr="00DC00FF">
        <w:trPr>
          <w:trHeight w:val="233"/>
        </w:trPr>
        <w:tc>
          <w:tcPr>
            <w:tcW w:w="988" w:type="pct"/>
            <w:tcBorders>
              <w:top w:val="nil"/>
              <w:left w:val="single" w:sz="4" w:space="0" w:color="auto"/>
              <w:bottom w:val="single" w:sz="4" w:space="0" w:color="auto"/>
              <w:right w:val="single" w:sz="4" w:space="0" w:color="auto"/>
            </w:tcBorders>
            <w:noWrap/>
            <w:vAlign w:val="bottom"/>
            <w:hideMark/>
          </w:tcPr>
          <w:p w14:paraId="1DB743E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AB3B28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AD5C4AE"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5E731E8"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Crop Wild Relatives</w:t>
            </w:r>
          </w:p>
        </w:tc>
      </w:tr>
      <w:tr w:rsidR="00DC00FF" w14:paraId="35E16C83"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14A2A8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54F665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216393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99E3845"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Plant Genetic Resources</w:t>
            </w:r>
          </w:p>
        </w:tc>
      </w:tr>
      <w:tr w:rsidR="00DC00FF" w14:paraId="18DF4C87"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240CA5F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44806C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A3867B8"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0EFC18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Animal Genetic Resources</w:t>
            </w:r>
          </w:p>
        </w:tc>
      </w:tr>
      <w:tr w:rsidR="00DC00FF" w14:paraId="246CFA7D" w14:textId="77777777" w:rsidTr="00DC00FF">
        <w:trPr>
          <w:trHeight w:val="134"/>
        </w:trPr>
        <w:tc>
          <w:tcPr>
            <w:tcW w:w="988" w:type="pct"/>
            <w:tcBorders>
              <w:top w:val="nil"/>
              <w:left w:val="single" w:sz="4" w:space="0" w:color="auto"/>
              <w:bottom w:val="single" w:sz="4" w:space="0" w:color="auto"/>
              <w:right w:val="single" w:sz="4" w:space="0" w:color="auto"/>
            </w:tcBorders>
            <w:noWrap/>
            <w:vAlign w:val="bottom"/>
            <w:hideMark/>
          </w:tcPr>
          <w:p w14:paraId="4987A8A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45D6DF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F51C85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F7FC9C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Livestock Wild Relatives</w:t>
            </w:r>
          </w:p>
        </w:tc>
      </w:tr>
      <w:tr w:rsidR="00DC00FF" w14:paraId="4E3EC6E3" w14:textId="77777777" w:rsidTr="00DC00FF">
        <w:trPr>
          <w:trHeight w:val="107"/>
        </w:trPr>
        <w:tc>
          <w:tcPr>
            <w:tcW w:w="988" w:type="pct"/>
            <w:tcBorders>
              <w:top w:val="nil"/>
              <w:left w:val="single" w:sz="4" w:space="0" w:color="auto"/>
              <w:bottom w:val="single" w:sz="4" w:space="0" w:color="auto"/>
              <w:right w:val="single" w:sz="4" w:space="0" w:color="auto"/>
            </w:tcBorders>
            <w:noWrap/>
            <w:vAlign w:val="bottom"/>
            <w:hideMark/>
          </w:tcPr>
          <w:p w14:paraId="03D2586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796AD8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A8BF7C6"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6AD37B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Invasive Alien Species (IAS)</w:t>
            </w:r>
          </w:p>
        </w:tc>
      </w:tr>
      <w:tr w:rsidR="00DC00FF" w14:paraId="5CEE5889" w14:textId="77777777" w:rsidTr="00DC00FF">
        <w:trPr>
          <w:trHeight w:val="98"/>
        </w:trPr>
        <w:tc>
          <w:tcPr>
            <w:tcW w:w="988" w:type="pct"/>
            <w:tcBorders>
              <w:top w:val="nil"/>
              <w:left w:val="single" w:sz="4" w:space="0" w:color="auto"/>
              <w:bottom w:val="single" w:sz="4" w:space="0" w:color="auto"/>
              <w:right w:val="single" w:sz="4" w:space="0" w:color="auto"/>
            </w:tcBorders>
            <w:noWrap/>
            <w:vAlign w:val="bottom"/>
            <w:hideMark/>
          </w:tcPr>
          <w:p w14:paraId="5960CBC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1767EE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9EFA6E1" w14:textId="77777777" w:rsidR="00DC00FF" w:rsidRDefault="00DC00FF">
            <w:pPr>
              <w:rPr>
                <w:rFonts w:ascii="Avenir Next Regular" w:hAnsi="Avenir Next Regular" w:cs="Calibri"/>
                <w:iCs/>
                <w:color w:val="000000"/>
                <w:sz w:val="16"/>
                <w:szCs w:val="16"/>
              </w:rPr>
            </w:pPr>
            <w:proofErr w:type="spellStart"/>
            <w:r>
              <w:rPr>
                <w:color w:val="000000"/>
                <w:sz w:val="16"/>
                <w:szCs w:val="16"/>
              </w:rPr>
              <w:t>X</w:t>
            </w:r>
            <w:r>
              <w:rPr>
                <w:rFonts w:ascii="Avenir Next Regular" w:hAnsi="Avenir Next Regular" w:cs="Calibri"/>
                <w:iCs/>
                <w:color w:val="000000"/>
                <w:sz w:val="16"/>
                <w:szCs w:val="16"/>
              </w:rPr>
              <w:t>Biomes</w:t>
            </w:r>
            <w:proofErr w:type="spellEnd"/>
          </w:p>
        </w:tc>
        <w:tc>
          <w:tcPr>
            <w:tcW w:w="1413" w:type="pct"/>
            <w:tcBorders>
              <w:top w:val="nil"/>
              <w:left w:val="nil"/>
              <w:bottom w:val="single" w:sz="4" w:space="0" w:color="auto"/>
              <w:right w:val="single" w:sz="4" w:space="0" w:color="auto"/>
            </w:tcBorders>
            <w:hideMark/>
          </w:tcPr>
          <w:p w14:paraId="29E1F7D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6B166B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EC760A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1D3BB3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2C0F61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FAD4EB6"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Mangroves</w:t>
            </w:r>
          </w:p>
        </w:tc>
      </w:tr>
      <w:tr w:rsidR="00DC00FF" w14:paraId="5741DA9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EBF83E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435136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337585F"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D46268E"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Coral Reefs</w:t>
            </w:r>
          </w:p>
        </w:tc>
      </w:tr>
      <w:tr w:rsidR="00DC00FF" w14:paraId="5B4400F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46BDE3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93904D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B7BF85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DF3C11C"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Sea Grasses</w:t>
            </w:r>
          </w:p>
        </w:tc>
      </w:tr>
      <w:tr w:rsidR="00DC00FF" w14:paraId="0754509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AE72ED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1FC159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ED6146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5D8C041"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Wetlands</w:t>
            </w:r>
          </w:p>
        </w:tc>
      </w:tr>
      <w:tr w:rsidR="00DC00FF" w14:paraId="76C21000"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48A35AB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DDBCD0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454BE36"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211FA7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Rivers</w:t>
            </w:r>
          </w:p>
        </w:tc>
      </w:tr>
      <w:tr w:rsidR="00DC00FF" w14:paraId="32F6990E" w14:textId="77777777" w:rsidTr="00DC00FF">
        <w:trPr>
          <w:trHeight w:val="170"/>
        </w:trPr>
        <w:tc>
          <w:tcPr>
            <w:tcW w:w="988" w:type="pct"/>
            <w:tcBorders>
              <w:top w:val="nil"/>
              <w:left w:val="single" w:sz="4" w:space="0" w:color="auto"/>
              <w:bottom w:val="single" w:sz="4" w:space="0" w:color="auto"/>
              <w:right w:val="single" w:sz="4" w:space="0" w:color="auto"/>
            </w:tcBorders>
            <w:noWrap/>
            <w:vAlign w:val="bottom"/>
            <w:hideMark/>
          </w:tcPr>
          <w:p w14:paraId="0DECC45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F36011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5D3EED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E7ED679"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Lakes</w:t>
            </w:r>
          </w:p>
        </w:tc>
      </w:tr>
      <w:tr w:rsidR="00DC00FF" w14:paraId="3A4F90C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95A714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DB947D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80553FA"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F736DF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Tropical Rain Forests</w:t>
            </w:r>
          </w:p>
        </w:tc>
      </w:tr>
      <w:tr w:rsidR="00DC00FF" w14:paraId="374C0B32"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970E9B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BC40F9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B97E1F6"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CC471B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Tropical Dry Forests</w:t>
            </w:r>
          </w:p>
        </w:tc>
      </w:tr>
      <w:tr w:rsidR="00DC00FF" w14:paraId="45901637"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7B56451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7A591F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5DCBDD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06CB60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Temperate Forests</w:t>
            </w:r>
          </w:p>
        </w:tc>
      </w:tr>
      <w:tr w:rsidR="00DC00FF" w14:paraId="329BEF4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3B1167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BB8C9C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B2271C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3738AA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 xml:space="preserve">Grasslands </w:t>
            </w:r>
          </w:p>
        </w:tc>
      </w:tr>
      <w:tr w:rsidR="00DC00FF" w14:paraId="77FB7713"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23376E4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08F755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A9442C6"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4D26F0F"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Paramo</w:t>
            </w:r>
          </w:p>
        </w:tc>
      </w:tr>
      <w:tr w:rsidR="00DC00FF" w14:paraId="39159030" w14:textId="77777777" w:rsidTr="00DC00FF">
        <w:trPr>
          <w:trHeight w:val="152"/>
        </w:trPr>
        <w:tc>
          <w:tcPr>
            <w:tcW w:w="988" w:type="pct"/>
            <w:tcBorders>
              <w:top w:val="nil"/>
              <w:left w:val="single" w:sz="4" w:space="0" w:color="auto"/>
              <w:bottom w:val="single" w:sz="4" w:space="0" w:color="auto"/>
              <w:right w:val="single" w:sz="4" w:space="0" w:color="auto"/>
            </w:tcBorders>
            <w:noWrap/>
            <w:vAlign w:val="bottom"/>
            <w:hideMark/>
          </w:tcPr>
          <w:p w14:paraId="051411F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E00C56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EA105F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26F762D"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Desert</w:t>
            </w:r>
          </w:p>
        </w:tc>
      </w:tr>
      <w:tr w:rsidR="00DC00FF" w14:paraId="2D83FEB7" w14:textId="77777777" w:rsidTr="00DC00FF">
        <w:trPr>
          <w:trHeight w:val="233"/>
        </w:trPr>
        <w:tc>
          <w:tcPr>
            <w:tcW w:w="988" w:type="pct"/>
            <w:tcBorders>
              <w:top w:val="nil"/>
              <w:left w:val="single" w:sz="4" w:space="0" w:color="auto"/>
              <w:bottom w:val="single" w:sz="4" w:space="0" w:color="auto"/>
              <w:right w:val="single" w:sz="4" w:space="0" w:color="auto"/>
            </w:tcBorders>
            <w:noWrap/>
            <w:vAlign w:val="bottom"/>
            <w:hideMark/>
          </w:tcPr>
          <w:p w14:paraId="0B49546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737105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67B94AE"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Financial and Accounting</w:t>
            </w:r>
          </w:p>
        </w:tc>
        <w:tc>
          <w:tcPr>
            <w:tcW w:w="1413" w:type="pct"/>
            <w:tcBorders>
              <w:top w:val="nil"/>
              <w:left w:val="nil"/>
              <w:bottom w:val="single" w:sz="4" w:space="0" w:color="auto"/>
              <w:right w:val="single" w:sz="4" w:space="0" w:color="auto"/>
            </w:tcBorders>
            <w:hideMark/>
          </w:tcPr>
          <w:p w14:paraId="3E03A955"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C7192AF"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3BCF8E5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49493F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2FD6E4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F7D7EA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 xml:space="preserve">Payment for Ecosystem Services </w:t>
            </w:r>
          </w:p>
        </w:tc>
      </w:tr>
      <w:tr w:rsidR="00DC00FF" w:rsidRPr="00DC00FF" w14:paraId="188F07C3" w14:textId="77777777" w:rsidTr="00DC00FF">
        <w:trPr>
          <w:trHeight w:val="420"/>
        </w:trPr>
        <w:tc>
          <w:tcPr>
            <w:tcW w:w="988" w:type="pct"/>
            <w:tcBorders>
              <w:top w:val="nil"/>
              <w:left w:val="single" w:sz="4" w:space="0" w:color="auto"/>
              <w:bottom w:val="single" w:sz="4" w:space="0" w:color="auto"/>
              <w:right w:val="single" w:sz="4" w:space="0" w:color="auto"/>
            </w:tcBorders>
            <w:noWrap/>
            <w:vAlign w:val="bottom"/>
            <w:hideMark/>
          </w:tcPr>
          <w:p w14:paraId="7C15035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D2DEA2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57DF54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C3857D9"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Natural Capital Assessment and Accounting</w:t>
            </w:r>
          </w:p>
        </w:tc>
      </w:tr>
      <w:tr w:rsidR="00DC00FF" w14:paraId="29B5630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22974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B77343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71BCBF9"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06CD1B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Conservation Trust Funds</w:t>
            </w:r>
          </w:p>
        </w:tc>
      </w:tr>
      <w:tr w:rsidR="00DC00FF" w14:paraId="45F72003" w14:textId="77777777" w:rsidTr="00DC00FF">
        <w:trPr>
          <w:trHeight w:val="80"/>
        </w:trPr>
        <w:tc>
          <w:tcPr>
            <w:tcW w:w="988" w:type="pct"/>
            <w:tcBorders>
              <w:top w:val="nil"/>
              <w:left w:val="single" w:sz="4" w:space="0" w:color="auto"/>
              <w:bottom w:val="single" w:sz="4" w:space="0" w:color="auto"/>
              <w:right w:val="single" w:sz="4" w:space="0" w:color="auto"/>
            </w:tcBorders>
            <w:noWrap/>
            <w:vAlign w:val="bottom"/>
            <w:hideMark/>
          </w:tcPr>
          <w:p w14:paraId="2EA489F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94E7A3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2B3588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5576CD6"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Conservation Finance</w:t>
            </w:r>
          </w:p>
        </w:tc>
      </w:tr>
      <w:tr w:rsidR="00DC00FF" w:rsidRPr="00DC00FF" w14:paraId="502AA06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493FDD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C7EDAE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9A0C509"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Supplementary Protocol to the CBD</w:t>
            </w:r>
          </w:p>
        </w:tc>
        <w:tc>
          <w:tcPr>
            <w:tcW w:w="1413" w:type="pct"/>
            <w:tcBorders>
              <w:top w:val="nil"/>
              <w:left w:val="nil"/>
              <w:bottom w:val="single" w:sz="4" w:space="0" w:color="auto"/>
              <w:right w:val="single" w:sz="4" w:space="0" w:color="auto"/>
            </w:tcBorders>
            <w:hideMark/>
          </w:tcPr>
          <w:p w14:paraId="47B39A1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5CAD855" w14:textId="77777777" w:rsidTr="00DC00FF">
        <w:trPr>
          <w:trHeight w:val="98"/>
        </w:trPr>
        <w:tc>
          <w:tcPr>
            <w:tcW w:w="988" w:type="pct"/>
            <w:tcBorders>
              <w:top w:val="nil"/>
              <w:left w:val="single" w:sz="4" w:space="0" w:color="auto"/>
              <w:bottom w:val="single" w:sz="4" w:space="0" w:color="auto"/>
              <w:right w:val="single" w:sz="4" w:space="0" w:color="auto"/>
            </w:tcBorders>
            <w:noWrap/>
            <w:vAlign w:val="bottom"/>
            <w:hideMark/>
          </w:tcPr>
          <w:p w14:paraId="0E58263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6BE2E6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906B78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1BC746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Biosafety</w:t>
            </w:r>
          </w:p>
        </w:tc>
      </w:tr>
      <w:tr w:rsidR="00DC00FF" w:rsidRPr="00DC00FF" w14:paraId="6E333AA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1D9F5D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1B93C7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A5117F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4103E4F"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Access to Genetic Resources Benefit Sharing</w:t>
            </w:r>
          </w:p>
        </w:tc>
      </w:tr>
      <w:tr w:rsidR="00DC00FF" w14:paraId="2BE37AD2"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3E5E36B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F65014A"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Forests</w:t>
            </w:r>
          </w:p>
        </w:tc>
        <w:tc>
          <w:tcPr>
            <w:tcW w:w="1463" w:type="pct"/>
            <w:tcBorders>
              <w:top w:val="nil"/>
              <w:left w:val="nil"/>
              <w:bottom w:val="single" w:sz="4" w:space="0" w:color="auto"/>
              <w:right w:val="single" w:sz="4" w:space="0" w:color="auto"/>
            </w:tcBorders>
          </w:tcPr>
          <w:p w14:paraId="20EF3752" w14:textId="77777777" w:rsidR="00DC00FF" w:rsidRDefault="00DC00FF">
            <w:pPr>
              <w:rPr>
                <w:rFonts w:ascii="Avenir Next Regular" w:hAnsi="Avenir Next Regular" w:cs="Calibri"/>
                <w:iCs/>
                <w:color w:val="000000"/>
                <w:sz w:val="16"/>
                <w:szCs w:val="16"/>
              </w:rPr>
            </w:pPr>
          </w:p>
        </w:tc>
        <w:tc>
          <w:tcPr>
            <w:tcW w:w="1413" w:type="pct"/>
            <w:tcBorders>
              <w:top w:val="nil"/>
              <w:left w:val="nil"/>
              <w:bottom w:val="single" w:sz="4" w:space="0" w:color="auto"/>
              <w:right w:val="single" w:sz="4" w:space="0" w:color="auto"/>
            </w:tcBorders>
            <w:hideMark/>
          </w:tcPr>
          <w:p w14:paraId="142A0A8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8C18C72"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0EB9B9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9BCA6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548A03F"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Forest and Landscape Restoration</w:t>
            </w:r>
          </w:p>
        </w:tc>
        <w:tc>
          <w:tcPr>
            <w:tcW w:w="1413" w:type="pct"/>
            <w:tcBorders>
              <w:top w:val="nil"/>
              <w:left w:val="nil"/>
              <w:bottom w:val="single" w:sz="4" w:space="0" w:color="auto"/>
              <w:right w:val="single" w:sz="4" w:space="0" w:color="auto"/>
            </w:tcBorders>
          </w:tcPr>
          <w:p w14:paraId="5E388134" w14:textId="77777777" w:rsidR="00DC00FF" w:rsidRDefault="00DC00FF">
            <w:pPr>
              <w:rPr>
                <w:rFonts w:ascii="Avenir Next Regular" w:hAnsi="Avenir Next Regular" w:cs="Calibri"/>
                <w:color w:val="000000"/>
                <w:sz w:val="16"/>
                <w:szCs w:val="16"/>
              </w:rPr>
            </w:pPr>
          </w:p>
        </w:tc>
      </w:tr>
      <w:tr w:rsidR="00DC00FF" w14:paraId="1CFFC2C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7435C21C"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4D649E10"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tcPr>
          <w:p w14:paraId="2810A940"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hideMark/>
          </w:tcPr>
          <w:p w14:paraId="2239C322"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REDD/REDD+</w:t>
            </w:r>
          </w:p>
        </w:tc>
      </w:tr>
      <w:tr w:rsidR="00DC00FF" w14:paraId="6BE27927" w14:textId="77777777" w:rsidTr="00DC00FF">
        <w:trPr>
          <w:trHeight w:val="188"/>
        </w:trPr>
        <w:tc>
          <w:tcPr>
            <w:tcW w:w="988" w:type="pct"/>
            <w:tcBorders>
              <w:top w:val="nil"/>
              <w:left w:val="single" w:sz="4" w:space="0" w:color="auto"/>
              <w:bottom w:val="single" w:sz="4" w:space="0" w:color="auto"/>
              <w:right w:val="single" w:sz="4" w:space="0" w:color="auto"/>
            </w:tcBorders>
            <w:noWrap/>
            <w:vAlign w:val="bottom"/>
            <w:hideMark/>
          </w:tcPr>
          <w:p w14:paraId="1ADEF99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71A1EB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01A801F"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Forest</w:t>
            </w:r>
          </w:p>
        </w:tc>
        <w:tc>
          <w:tcPr>
            <w:tcW w:w="1413" w:type="pct"/>
            <w:tcBorders>
              <w:top w:val="nil"/>
              <w:left w:val="nil"/>
              <w:bottom w:val="single" w:sz="4" w:space="0" w:color="auto"/>
              <w:right w:val="single" w:sz="4" w:space="0" w:color="auto"/>
            </w:tcBorders>
            <w:hideMark/>
          </w:tcPr>
          <w:p w14:paraId="53B1ED1E"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7D43CEB"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6A4EC48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AD6568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BC2003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C8FE86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Amazon</w:t>
            </w:r>
          </w:p>
        </w:tc>
      </w:tr>
      <w:tr w:rsidR="00DC00FF" w14:paraId="72EAA9C2" w14:textId="77777777" w:rsidTr="00DC00FF">
        <w:trPr>
          <w:trHeight w:val="107"/>
        </w:trPr>
        <w:tc>
          <w:tcPr>
            <w:tcW w:w="988" w:type="pct"/>
            <w:tcBorders>
              <w:top w:val="nil"/>
              <w:left w:val="single" w:sz="4" w:space="0" w:color="auto"/>
              <w:bottom w:val="single" w:sz="4" w:space="0" w:color="auto"/>
              <w:right w:val="single" w:sz="4" w:space="0" w:color="auto"/>
            </w:tcBorders>
            <w:noWrap/>
            <w:vAlign w:val="bottom"/>
            <w:hideMark/>
          </w:tcPr>
          <w:p w14:paraId="0431DA5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lastRenderedPageBreak/>
              <w:t> </w:t>
            </w:r>
          </w:p>
        </w:tc>
        <w:tc>
          <w:tcPr>
            <w:tcW w:w="1136" w:type="pct"/>
            <w:tcBorders>
              <w:top w:val="nil"/>
              <w:left w:val="nil"/>
              <w:bottom w:val="single" w:sz="4" w:space="0" w:color="auto"/>
              <w:right w:val="single" w:sz="4" w:space="0" w:color="auto"/>
            </w:tcBorders>
            <w:hideMark/>
          </w:tcPr>
          <w:p w14:paraId="0792F73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C22626E"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E26D5F3"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Congo</w:t>
            </w:r>
          </w:p>
        </w:tc>
      </w:tr>
      <w:tr w:rsidR="00DC00FF" w14:paraId="73010DF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F7F798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866FCA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1F751C2"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808571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Drylands</w:t>
            </w:r>
          </w:p>
        </w:tc>
      </w:tr>
      <w:tr w:rsidR="00DC00FF" w14:paraId="37285CBA"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0A8211C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AEFDC2D" w14:textId="77777777" w:rsidR="00DC00FF" w:rsidRDefault="00DC00FF">
            <w:pPr>
              <w:rPr>
                <w:rFonts w:ascii="Avenir Next Regular" w:hAnsi="Avenir Next Regular" w:cs="Calibri"/>
                <w:b/>
                <w:bCs/>
                <w:color w:val="000000"/>
                <w:sz w:val="16"/>
                <w:szCs w:val="16"/>
              </w:rPr>
            </w:pPr>
            <w:r>
              <w:rPr>
                <w:color w:val="000000"/>
                <w:sz w:val="16"/>
                <w:szCs w:val="16"/>
              </w:rPr>
              <w:t xml:space="preserve">X </w:t>
            </w:r>
            <w:r>
              <w:rPr>
                <w:rFonts w:ascii="Avenir Next Regular" w:hAnsi="Avenir Next Regular" w:cs="Calibri"/>
                <w:b/>
                <w:bCs/>
                <w:color w:val="000000"/>
                <w:sz w:val="16"/>
                <w:szCs w:val="16"/>
              </w:rPr>
              <w:t>Land Degradation</w:t>
            </w:r>
          </w:p>
        </w:tc>
        <w:tc>
          <w:tcPr>
            <w:tcW w:w="1463" w:type="pct"/>
            <w:tcBorders>
              <w:top w:val="nil"/>
              <w:left w:val="nil"/>
              <w:bottom w:val="single" w:sz="4" w:space="0" w:color="auto"/>
              <w:right w:val="single" w:sz="4" w:space="0" w:color="auto"/>
            </w:tcBorders>
            <w:hideMark/>
          </w:tcPr>
          <w:p w14:paraId="1EDE73A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706B3B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8738D57"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27A13B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0539D5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2C7D31E" w14:textId="77777777" w:rsidR="00DC00FF" w:rsidRDefault="00DC00FF">
            <w:pPr>
              <w:rPr>
                <w:rFonts w:ascii="Avenir Next Regular" w:hAnsi="Avenir Next Regular" w:cs="Calibri"/>
                <w:iCs/>
                <w:color w:val="000000"/>
                <w:sz w:val="16"/>
                <w:szCs w:val="16"/>
              </w:rPr>
            </w:pPr>
            <w:r>
              <w:rPr>
                <w:color w:val="000000"/>
                <w:sz w:val="16"/>
                <w:szCs w:val="16"/>
              </w:rPr>
              <w:t xml:space="preserve">X </w:t>
            </w:r>
            <w:r>
              <w:rPr>
                <w:rFonts w:ascii="Avenir Next Regular" w:hAnsi="Avenir Next Regular" w:cs="Calibri"/>
                <w:iCs/>
                <w:color w:val="000000"/>
                <w:sz w:val="16"/>
                <w:szCs w:val="16"/>
              </w:rPr>
              <w:t>Sustainable Land Management</w:t>
            </w:r>
          </w:p>
        </w:tc>
        <w:tc>
          <w:tcPr>
            <w:tcW w:w="1413" w:type="pct"/>
            <w:tcBorders>
              <w:top w:val="nil"/>
              <w:left w:val="nil"/>
              <w:bottom w:val="single" w:sz="4" w:space="0" w:color="auto"/>
              <w:right w:val="single" w:sz="4" w:space="0" w:color="auto"/>
            </w:tcBorders>
            <w:hideMark/>
          </w:tcPr>
          <w:p w14:paraId="26FB0EC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069B70C1" w14:textId="77777777" w:rsidTr="00DC00FF">
        <w:trPr>
          <w:trHeight w:val="420"/>
        </w:trPr>
        <w:tc>
          <w:tcPr>
            <w:tcW w:w="988" w:type="pct"/>
            <w:tcBorders>
              <w:top w:val="nil"/>
              <w:left w:val="single" w:sz="4" w:space="0" w:color="auto"/>
              <w:bottom w:val="single" w:sz="4" w:space="0" w:color="auto"/>
              <w:right w:val="single" w:sz="4" w:space="0" w:color="auto"/>
            </w:tcBorders>
            <w:noWrap/>
            <w:vAlign w:val="bottom"/>
            <w:hideMark/>
          </w:tcPr>
          <w:p w14:paraId="5402054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C91DB0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28D3C2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F4A0B2B" w14:textId="77777777" w:rsidR="00DC00FF" w:rsidRDefault="00DC00FF">
            <w:pPr>
              <w:ind w:left="192" w:hanging="192"/>
              <w:rPr>
                <w:rFonts w:ascii="Avenir Next Regular" w:hAnsi="Avenir Next Regular" w:cs="Calibri"/>
                <w:color w:val="000000"/>
                <w:sz w:val="16"/>
                <w:szCs w:val="16"/>
              </w:rPr>
            </w:pPr>
            <w:r>
              <w:rPr>
                <w:color w:val="000000"/>
                <w:sz w:val="16"/>
                <w:szCs w:val="16"/>
              </w:rPr>
              <w:t xml:space="preserve">X </w:t>
            </w:r>
            <w:proofErr w:type="spellStart"/>
            <w:r>
              <w:rPr>
                <w:rFonts w:ascii="Avenir Next Regular" w:hAnsi="Avenir Next Regular" w:cs="Calibri"/>
                <w:color w:val="000000"/>
                <w:sz w:val="16"/>
                <w:szCs w:val="16"/>
              </w:rPr>
              <w:t>estoration</w:t>
            </w:r>
            <w:proofErr w:type="spellEnd"/>
            <w:r>
              <w:rPr>
                <w:rFonts w:ascii="Avenir Next Regular" w:hAnsi="Avenir Next Regular" w:cs="Calibri"/>
                <w:color w:val="000000"/>
                <w:sz w:val="16"/>
                <w:szCs w:val="16"/>
              </w:rPr>
              <w:t xml:space="preserve"> and Rehabilitation of Degraded Lands </w:t>
            </w:r>
          </w:p>
        </w:tc>
      </w:tr>
      <w:tr w:rsidR="00DC00FF" w14:paraId="2963C82D" w14:textId="77777777" w:rsidTr="00DC00FF">
        <w:trPr>
          <w:trHeight w:val="188"/>
        </w:trPr>
        <w:tc>
          <w:tcPr>
            <w:tcW w:w="988" w:type="pct"/>
            <w:tcBorders>
              <w:top w:val="nil"/>
              <w:left w:val="single" w:sz="4" w:space="0" w:color="auto"/>
              <w:bottom w:val="single" w:sz="4" w:space="0" w:color="auto"/>
              <w:right w:val="single" w:sz="4" w:space="0" w:color="auto"/>
            </w:tcBorders>
            <w:noWrap/>
            <w:vAlign w:val="bottom"/>
            <w:hideMark/>
          </w:tcPr>
          <w:p w14:paraId="1441409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vAlign w:val="bottom"/>
            <w:hideMark/>
          </w:tcPr>
          <w:p w14:paraId="26583F6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284CB4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5B7818FF"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Ecosystem Approach</w:t>
            </w:r>
          </w:p>
        </w:tc>
      </w:tr>
      <w:tr w:rsidR="00DC00FF" w:rsidRPr="00DC00FF" w14:paraId="7F8F8436" w14:textId="77777777" w:rsidTr="00DC00FF">
        <w:trPr>
          <w:trHeight w:val="251"/>
        </w:trPr>
        <w:tc>
          <w:tcPr>
            <w:tcW w:w="988" w:type="pct"/>
            <w:tcBorders>
              <w:top w:val="nil"/>
              <w:left w:val="single" w:sz="4" w:space="0" w:color="auto"/>
              <w:bottom w:val="single" w:sz="4" w:space="0" w:color="auto"/>
              <w:right w:val="single" w:sz="4" w:space="0" w:color="auto"/>
            </w:tcBorders>
            <w:noWrap/>
            <w:vAlign w:val="bottom"/>
            <w:hideMark/>
          </w:tcPr>
          <w:p w14:paraId="7403428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C1B5F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11C354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23392B2" w14:textId="77777777" w:rsidR="00DC00FF" w:rsidRDefault="00DC00FF">
            <w:pPr>
              <w:ind w:left="192" w:hanging="192"/>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color w:val="000000"/>
                <w:sz w:val="16"/>
                <w:szCs w:val="16"/>
              </w:rPr>
              <w:t>Integrated and Cross-sectoral approach</w:t>
            </w:r>
          </w:p>
        </w:tc>
      </w:tr>
      <w:tr w:rsidR="00DC00FF" w14:paraId="35A5E704"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FD0173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D18A54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589630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2A88292"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Community-Based NRM</w:t>
            </w:r>
          </w:p>
        </w:tc>
      </w:tr>
      <w:tr w:rsidR="00DC00FF" w14:paraId="27DC8B9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89C655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2E868C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907D67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CBC1E2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Livelihoods</w:t>
            </w:r>
          </w:p>
        </w:tc>
      </w:tr>
      <w:tr w:rsidR="00DC00FF" w14:paraId="4DA2FC0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2E4E5A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24ABC1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81E8D54"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720BA9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Income Generating Activities</w:t>
            </w:r>
          </w:p>
        </w:tc>
      </w:tr>
      <w:tr w:rsidR="00DC00FF" w14:paraId="06AA14A7" w14:textId="77777777" w:rsidTr="00DC00FF">
        <w:trPr>
          <w:trHeight w:val="134"/>
        </w:trPr>
        <w:tc>
          <w:tcPr>
            <w:tcW w:w="988" w:type="pct"/>
            <w:tcBorders>
              <w:top w:val="nil"/>
              <w:left w:val="single" w:sz="4" w:space="0" w:color="auto"/>
              <w:bottom w:val="single" w:sz="4" w:space="0" w:color="auto"/>
              <w:right w:val="single" w:sz="4" w:space="0" w:color="auto"/>
            </w:tcBorders>
            <w:noWrap/>
            <w:vAlign w:val="bottom"/>
            <w:hideMark/>
          </w:tcPr>
          <w:p w14:paraId="00ACB70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CF71AE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ECFFE1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C5291A3"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Agriculture</w:t>
            </w:r>
          </w:p>
        </w:tc>
      </w:tr>
      <w:tr w:rsidR="00DC00FF" w14:paraId="5A768D01" w14:textId="77777777" w:rsidTr="00DC00FF">
        <w:trPr>
          <w:trHeight w:val="107"/>
        </w:trPr>
        <w:tc>
          <w:tcPr>
            <w:tcW w:w="988" w:type="pct"/>
            <w:tcBorders>
              <w:top w:val="nil"/>
              <w:left w:val="single" w:sz="4" w:space="0" w:color="auto"/>
              <w:bottom w:val="single" w:sz="4" w:space="0" w:color="auto"/>
              <w:right w:val="single" w:sz="4" w:space="0" w:color="auto"/>
            </w:tcBorders>
            <w:noWrap/>
            <w:vAlign w:val="bottom"/>
            <w:hideMark/>
          </w:tcPr>
          <w:p w14:paraId="45E6F6A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891300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4ED0BD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4ECC60D"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Pasture Management</w:t>
            </w:r>
          </w:p>
        </w:tc>
      </w:tr>
      <w:tr w:rsidR="00DC00FF" w14:paraId="39498534" w14:textId="77777777" w:rsidTr="00DC00FF">
        <w:trPr>
          <w:trHeight w:val="420"/>
        </w:trPr>
        <w:tc>
          <w:tcPr>
            <w:tcW w:w="988" w:type="pct"/>
            <w:tcBorders>
              <w:top w:val="nil"/>
              <w:left w:val="single" w:sz="4" w:space="0" w:color="auto"/>
              <w:bottom w:val="single" w:sz="4" w:space="0" w:color="auto"/>
              <w:right w:val="single" w:sz="4" w:space="0" w:color="auto"/>
            </w:tcBorders>
            <w:noWrap/>
            <w:vAlign w:val="bottom"/>
            <w:hideMark/>
          </w:tcPr>
          <w:p w14:paraId="110C469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EFDDA6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BB0E522"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C530DEA"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Forest/Woodland Management</w:t>
            </w:r>
          </w:p>
        </w:tc>
      </w:tr>
      <w:tr w:rsidR="00DC00FF" w:rsidRPr="00DC00FF" w14:paraId="45FBFC1C" w14:textId="77777777" w:rsidTr="00DC00FF">
        <w:trPr>
          <w:trHeight w:val="420"/>
        </w:trPr>
        <w:tc>
          <w:tcPr>
            <w:tcW w:w="988" w:type="pct"/>
            <w:tcBorders>
              <w:top w:val="nil"/>
              <w:left w:val="single" w:sz="4" w:space="0" w:color="auto"/>
              <w:bottom w:val="single" w:sz="4" w:space="0" w:color="auto"/>
              <w:right w:val="single" w:sz="4" w:space="0" w:color="auto"/>
            </w:tcBorders>
            <w:noWrap/>
            <w:vAlign w:val="bottom"/>
            <w:hideMark/>
          </w:tcPr>
          <w:p w14:paraId="5487E2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C0539F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F8DD3E8"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F074C04"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Improved Soil and Water Management Techniques</w:t>
            </w:r>
          </w:p>
        </w:tc>
      </w:tr>
      <w:tr w:rsidR="00DC00FF" w14:paraId="3AF1933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F03A30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99209B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28CEC3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34F796A"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Sustainable Fire Management</w:t>
            </w:r>
          </w:p>
        </w:tc>
      </w:tr>
      <w:tr w:rsidR="00DC00FF" w14:paraId="60492FD3"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60A9E8F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15C38B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9F848D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450EB52C"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Drought Mitigation/Early Warning</w:t>
            </w:r>
          </w:p>
        </w:tc>
      </w:tr>
      <w:tr w:rsidR="00DC00FF" w14:paraId="7F28EBF9"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72BC9F7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93FAFE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B4C89B0"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Land Degradation Neutrality</w:t>
            </w:r>
          </w:p>
        </w:tc>
        <w:tc>
          <w:tcPr>
            <w:tcW w:w="1413" w:type="pct"/>
            <w:tcBorders>
              <w:top w:val="nil"/>
              <w:left w:val="nil"/>
              <w:bottom w:val="single" w:sz="4" w:space="0" w:color="auto"/>
              <w:right w:val="single" w:sz="4" w:space="0" w:color="auto"/>
            </w:tcBorders>
            <w:hideMark/>
          </w:tcPr>
          <w:p w14:paraId="324AEB12"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9D1D18B"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FF1B8E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74E484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138DDD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DA40EA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Land Productivity</w:t>
            </w:r>
          </w:p>
        </w:tc>
      </w:tr>
      <w:tr w:rsidR="00DC00FF" w:rsidRPr="00DC00FF" w14:paraId="27317EEB" w14:textId="77777777" w:rsidTr="00DC00FF">
        <w:trPr>
          <w:trHeight w:val="107"/>
        </w:trPr>
        <w:tc>
          <w:tcPr>
            <w:tcW w:w="988" w:type="pct"/>
            <w:tcBorders>
              <w:top w:val="nil"/>
              <w:left w:val="single" w:sz="4" w:space="0" w:color="auto"/>
              <w:bottom w:val="single" w:sz="4" w:space="0" w:color="auto"/>
              <w:right w:val="single" w:sz="4" w:space="0" w:color="auto"/>
            </w:tcBorders>
            <w:noWrap/>
            <w:vAlign w:val="bottom"/>
            <w:hideMark/>
          </w:tcPr>
          <w:p w14:paraId="5160649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9FEC27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D76A35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B647036"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Land Cover and Land cover change</w:t>
            </w:r>
          </w:p>
        </w:tc>
      </w:tr>
      <w:tr w:rsidR="00DC00FF" w:rsidRPr="00DC00FF" w14:paraId="2B3FDE9A" w14:textId="77777777" w:rsidTr="00DC00FF">
        <w:trPr>
          <w:trHeight w:val="179"/>
        </w:trPr>
        <w:tc>
          <w:tcPr>
            <w:tcW w:w="988" w:type="pct"/>
            <w:tcBorders>
              <w:top w:val="nil"/>
              <w:left w:val="single" w:sz="4" w:space="0" w:color="auto"/>
              <w:bottom w:val="single" w:sz="4" w:space="0" w:color="auto"/>
              <w:right w:val="single" w:sz="4" w:space="0" w:color="auto"/>
            </w:tcBorders>
            <w:noWrap/>
            <w:vAlign w:val="bottom"/>
            <w:hideMark/>
          </w:tcPr>
          <w:p w14:paraId="30DEB2C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A7E032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F4B5D68"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94B5D1D"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Carbon stocks above or below ground</w:t>
            </w:r>
          </w:p>
        </w:tc>
      </w:tr>
      <w:tr w:rsidR="00DC00FF" w14:paraId="060DD0C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C4B953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AA7F53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877D69C"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Food Security</w:t>
            </w:r>
          </w:p>
        </w:tc>
        <w:tc>
          <w:tcPr>
            <w:tcW w:w="1413" w:type="pct"/>
            <w:tcBorders>
              <w:top w:val="nil"/>
              <w:left w:val="nil"/>
              <w:bottom w:val="single" w:sz="4" w:space="0" w:color="auto"/>
              <w:right w:val="single" w:sz="4" w:space="0" w:color="auto"/>
            </w:tcBorders>
            <w:hideMark/>
          </w:tcPr>
          <w:p w14:paraId="58711A6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97802DA" w14:textId="77777777" w:rsidTr="00DC00FF">
        <w:trPr>
          <w:trHeight w:val="143"/>
        </w:trPr>
        <w:tc>
          <w:tcPr>
            <w:tcW w:w="988" w:type="pct"/>
            <w:tcBorders>
              <w:top w:val="nil"/>
              <w:left w:val="single" w:sz="4" w:space="0" w:color="auto"/>
              <w:bottom w:val="single" w:sz="4" w:space="0" w:color="auto"/>
              <w:right w:val="single" w:sz="4" w:space="0" w:color="auto"/>
            </w:tcBorders>
            <w:noWrap/>
            <w:vAlign w:val="bottom"/>
            <w:hideMark/>
          </w:tcPr>
          <w:p w14:paraId="5B10594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D3F09D0"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International Waters</w:t>
            </w:r>
          </w:p>
        </w:tc>
        <w:tc>
          <w:tcPr>
            <w:tcW w:w="1463" w:type="pct"/>
            <w:tcBorders>
              <w:top w:val="nil"/>
              <w:left w:val="nil"/>
              <w:bottom w:val="single" w:sz="4" w:space="0" w:color="auto"/>
              <w:right w:val="single" w:sz="4" w:space="0" w:color="auto"/>
            </w:tcBorders>
            <w:noWrap/>
            <w:vAlign w:val="bottom"/>
            <w:hideMark/>
          </w:tcPr>
          <w:p w14:paraId="1668297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noWrap/>
            <w:vAlign w:val="bottom"/>
            <w:hideMark/>
          </w:tcPr>
          <w:p w14:paraId="350A5BF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F02DAC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C124E6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556536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7BCB7B86"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 xml:space="preserve">Ship </w:t>
            </w:r>
          </w:p>
        </w:tc>
        <w:tc>
          <w:tcPr>
            <w:tcW w:w="1413" w:type="pct"/>
            <w:tcBorders>
              <w:top w:val="nil"/>
              <w:left w:val="nil"/>
              <w:bottom w:val="single" w:sz="4" w:space="0" w:color="auto"/>
              <w:right w:val="single" w:sz="4" w:space="0" w:color="auto"/>
            </w:tcBorders>
            <w:hideMark/>
          </w:tcPr>
          <w:p w14:paraId="484EB85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346DE7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B8F600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663C9A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7D3CE9A8" w14:textId="77777777" w:rsidR="00DC00FF" w:rsidRDefault="00DC00FF">
            <w:pPr>
              <w:rPr>
                <w:rFonts w:ascii="Avenir Next Regular" w:hAnsi="Avenir Next Regular" w:cs="Calibri"/>
                <w:iCs/>
                <w:color w:val="000000"/>
                <w:sz w:val="16"/>
                <w:szCs w:val="16"/>
              </w:rPr>
            </w:pPr>
            <w:r>
              <w:rPr>
                <w:color w:val="000000"/>
                <w:sz w:val="16"/>
                <w:szCs w:val="16"/>
              </w:rPr>
              <w:t xml:space="preserve">X </w:t>
            </w:r>
            <w:r>
              <w:rPr>
                <w:rFonts w:ascii="Avenir Next Regular" w:hAnsi="Avenir Next Regular" w:cs="Calibri"/>
                <w:iCs/>
                <w:color w:val="000000"/>
                <w:sz w:val="16"/>
                <w:szCs w:val="16"/>
              </w:rPr>
              <w:t>Coastal</w:t>
            </w:r>
          </w:p>
        </w:tc>
        <w:tc>
          <w:tcPr>
            <w:tcW w:w="1413" w:type="pct"/>
            <w:tcBorders>
              <w:top w:val="nil"/>
              <w:left w:val="nil"/>
              <w:bottom w:val="single" w:sz="4" w:space="0" w:color="auto"/>
              <w:right w:val="single" w:sz="4" w:space="0" w:color="auto"/>
            </w:tcBorders>
            <w:hideMark/>
          </w:tcPr>
          <w:p w14:paraId="24DCBCE2"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412E9E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10D1C6E4"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5AC7C0C3"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vAlign w:val="center"/>
            <w:hideMark/>
          </w:tcPr>
          <w:p w14:paraId="3C3AF1ED" w14:textId="77777777" w:rsidR="00DC00FF" w:rsidRDefault="00DC00FF">
            <w:pPr>
              <w:rPr>
                <w:color w:val="000000"/>
                <w:sz w:val="16"/>
                <w:szCs w:val="16"/>
              </w:rPr>
            </w:pPr>
            <w:r>
              <w:rPr>
                <w:color w:val="000000"/>
                <w:sz w:val="16"/>
                <w:szCs w:val="16"/>
              </w:rPr>
              <w:t>X</w:t>
            </w:r>
            <w:r>
              <w:rPr>
                <w:color w:val="000000"/>
                <w:sz w:val="16"/>
                <w:szCs w:val="16"/>
                <w:lang w:val="hr-HR"/>
              </w:rPr>
              <w:t xml:space="preserve"> </w:t>
            </w:r>
            <w:r>
              <w:rPr>
                <w:color w:val="000000"/>
                <w:sz w:val="16"/>
                <w:szCs w:val="16"/>
              </w:rPr>
              <w:t>Freshwater</w:t>
            </w:r>
          </w:p>
        </w:tc>
        <w:tc>
          <w:tcPr>
            <w:tcW w:w="1413" w:type="pct"/>
            <w:tcBorders>
              <w:top w:val="nil"/>
              <w:left w:val="nil"/>
              <w:bottom w:val="single" w:sz="4" w:space="0" w:color="auto"/>
              <w:right w:val="single" w:sz="4" w:space="0" w:color="auto"/>
            </w:tcBorders>
          </w:tcPr>
          <w:p w14:paraId="3C5FD8F4" w14:textId="77777777" w:rsidR="00DC00FF" w:rsidRDefault="00DC00FF">
            <w:pPr>
              <w:rPr>
                <w:rFonts w:ascii="Avenir Next Regular" w:hAnsi="Avenir Next Regular" w:cs="Calibri"/>
                <w:color w:val="000000"/>
                <w:sz w:val="16"/>
                <w:szCs w:val="16"/>
              </w:rPr>
            </w:pPr>
          </w:p>
        </w:tc>
      </w:tr>
      <w:tr w:rsidR="00DC00FF" w14:paraId="6B4FD49C" w14:textId="77777777" w:rsidTr="00DC00FF">
        <w:trPr>
          <w:trHeight w:val="80"/>
        </w:trPr>
        <w:tc>
          <w:tcPr>
            <w:tcW w:w="988" w:type="pct"/>
            <w:tcBorders>
              <w:top w:val="nil"/>
              <w:left w:val="single" w:sz="4" w:space="0" w:color="auto"/>
              <w:bottom w:val="single" w:sz="4" w:space="0" w:color="auto"/>
              <w:right w:val="single" w:sz="4" w:space="0" w:color="auto"/>
            </w:tcBorders>
            <w:noWrap/>
            <w:vAlign w:val="bottom"/>
            <w:hideMark/>
          </w:tcPr>
          <w:p w14:paraId="24A3ED8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FDD21A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tcPr>
          <w:p w14:paraId="215FC414" w14:textId="77777777" w:rsidR="00DC00FF" w:rsidRDefault="00DC00FF">
            <w:pPr>
              <w:rPr>
                <w:rFonts w:ascii="Avenir Next Regular" w:hAnsi="Avenir Next Regular" w:cs="Calibri"/>
                <w:iCs/>
                <w:color w:val="000000"/>
                <w:sz w:val="16"/>
                <w:szCs w:val="16"/>
              </w:rPr>
            </w:pPr>
          </w:p>
        </w:tc>
        <w:tc>
          <w:tcPr>
            <w:tcW w:w="1413" w:type="pct"/>
            <w:tcBorders>
              <w:top w:val="nil"/>
              <w:left w:val="nil"/>
              <w:bottom w:val="single" w:sz="4" w:space="0" w:color="auto"/>
              <w:right w:val="single" w:sz="4" w:space="0" w:color="auto"/>
            </w:tcBorders>
            <w:vAlign w:val="center"/>
            <w:hideMark/>
          </w:tcPr>
          <w:p w14:paraId="71F1FBA5"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color w:val="000000"/>
                <w:sz w:val="16"/>
                <w:szCs w:val="16"/>
                <w:lang w:val="hr-HR"/>
              </w:rPr>
              <w:t>A</w:t>
            </w:r>
            <w:proofErr w:type="spellStart"/>
            <w:r>
              <w:rPr>
                <w:rFonts w:ascii="Avenir Next Regular" w:hAnsi="Avenir Next Regular" w:cs="Calibri"/>
                <w:iCs/>
                <w:color w:val="000000"/>
                <w:sz w:val="16"/>
                <w:szCs w:val="16"/>
              </w:rPr>
              <w:t>quifer</w:t>
            </w:r>
            <w:proofErr w:type="spellEnd"/>
          </w:p>
        </w:tc>
      </w:tr>
      <w:tr w:rsidR="00DC00FF" w14:paraId="3C73ED5B"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09C659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vAlign w:val="bottom"/>
            <w:hideMark/>
          </w:tcPr>
          <w:p w14:paraId="3AF375D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tcPr>
          <w:p w14:paraId="28FC239A" w14:textId="77777777" w:rsidR="00DC00FF" w:rsidRDefault="00DC00FF">
            <w:pPr>
              <w:rPr>
                <w:rFonts w:ascii="Avenir Next Regular" w:hAnsi="Avenir Next Regular" w:cs="Calibri"/>
                <w:iCs/>
                <w:color w:val="000000"/>
                <w:sz w:val="16"/>
                <w:szCs w:val="16"/>
              </w:rPr>
            </w:pPr>
          </w:p>
        </w:tc>
        <w:tc>
          <w:tcPr>
            <w:tcW w:w="1413" w:type="pct"/>
            <w:tcBorders>
              <w:top w:val="nil"/>
              <w:left w:val="nil"/>
              <w:bottom w:val="single" w:sz="4" w:space="0" w:color="auto"/>
              <w:right w:val="single" w:sz="4" w:space="0" w:color="auto"/>
            </w:tcBorders>
            <w:vAlign w:val="center"/>
            <w:hideMark/>
          </w:tcPr>
          <w:p w14:paraId="6BEE9FC3" w14:textId="77777777" w:rsidR="00DC00FF" w:rsidRDefault="00DC00FF">
            <w:pPr>
              <w:rPr>
                <w:rFonts w:ascii="Avenir Next Regular" w:hAnsi="Avenir Next Regular" w:cs="Calibri"/>
                <w:color w:val="000000"/>
                <w:sz w:val="16"/>
                <w:szCs w:val="16"/>
              </w:rPr>
            </w:pPr>
            <w:r>
              <w:rPr>
                <w:color w:val="000000"/>
                <w:sz w:val="16"/>
                <w:szCs w:val="16"/>
              </w:rPr>
              <w:t xml:space="preserve">X </w:t>
            </w:r>
            <w:r>
              <w:rPr>
                <w:rFonts w:ascii="Avenir Next Regular" w:hAnsi="Avenir Next Regular" w:cs="Calibri"/>
                <w:iCs/>
                <w:color w:val="000000"/>
                <w:sz w:val="16"/>
                <w:szCs w:val="16"/>
              </w:rPr>
              <w:t>River Basin</w:t>
            </w:r>
          </w:p>
        </w:tc>
      </w:tr>
      <w:tr w:rsidR="00DC00FF" w14:paraId="34A3FCE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6659D1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3485DD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tcPr>
          <w:p w14:paraId="4A43C1F7" w14:textId="77777777" w:rsidR="00DC00FF" w:rsidRDefault="00DC00FF">
            <w:pPr>
              <w:rPr>
                <w:rFonts w:ascii="Avenir Next Regular" w:hAnsi="Avenir Next Regular" w:cs="Calibri"/>
                <w:iCs/>
                <w:color w:val="000000"/>
                <w:sz w:val="16"/>
                <w:szCs w:val="16"/>
              </w:rPr>
            </w:pPr>
          </w:p>
        </w:tc>
        <w:tc>
          <w:tcPr>
            <w:tcW w:w="1413" w:type="pct"/>
            <w:tcBorders>
              <w:top w:val="nil"/>
              <w:left w:val="nil"/>
              <w:bottom w:val="single" w:sz="4" w:space="0" w:color="auto"/>
              <w:right w:val="single" w:sz="4" w:space="0" w:color="auto"/>
            </w:tcBorders>
            <w:vAlign w:val="center"/>
            <w:hideMark/>
          </w:tcPr>
          <w:p w14:paraId="2474EC8F" w14:textId="77777777" w:rsidR="00DC00FF" w:rsidRDefault="00DC00FF">
            <w:pPr>
              <w:rPr>
                <w:rFonts w:ascii="Avenir Next Regular" w:hAnsi="Avenir Next Regular" w:cs="Calibri"/>
                <w:color w:val="000000"/>
                <w:sz w:val="16"/>
                <w:szCs w:val="16"/>
              </w:rPr>
            </w:pPr>
            <w:r>
              <w:rPr>
                <w:color w:val="000000"/>
                <w:sz w:val="16"/>
                <w:szCs w:val="16"/>
              </w:rPr>
              <w:t>X</w:t>
            </w:r>
            <w:r>
              <w:rPr>
                <w:color w:val="000000"/>
                <w:sz w:val="16"/>
                <w:szCs w:val="16"/>
                <w:lang w:val="hr-HR"/>
              </w:rPr>
              <w:t xml:space="preserve"> </w:t>
            </w:r>
            <w:r>
              <w:rPr>
                <w:rFonts w:ascii="Avenir Next Regular" w:hAnsi="Avenir Next Regular" w:cs="Calibri"/>
                <w:iCs/>
                <w:color w:val="000000"/>
                <w:sz w:val="16"/>
                <w:szCs w:val="16"/>
              </w:rPr>
              <w:t>Lake Basin</w:t>
            </w:r>
          </w:p>
        </w:tc>
      </w:tr>
      <w:tr w:rsidR="00DC00FF" w14:paraId="6487C39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229B9F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5CF9A8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68684BE4"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
                  <w:enabled/>
                  <w:calcOnExit w:val="0"/>
                  <w:checkBox>
                    <w:sizeAuto/>
                    <w:default w:val="1"/>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Learning</w:t>
            </w:r>
          </w:p>
        </w:tc>
        <w:tc>
          <w:tcPr>
            <w:tcW w:w="1413" w:type="pct"/>
            <w:tcBorders>
              <w:top w:val="nil"/>
              <w:left w:val="nil"/>
              <w:bottom w:val="single" w:sz="4" w:space="0" w:color="auto"/>
              <w:right w:val="single" w:sz="4" w:space="0" w:color="auto"/>
            </w:tcBorders>
            <w:hideMark/>
          </w:tcPr>
          <w:p w14:paraId="043446A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2FD9A4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76878C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DEDAE0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723B010F"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Fisheries</w:t>
            </w:r>
          </w:p>
        </w:tc>
        <w:tc>
          <w:tcPr>
            <w:tcW w:w="1413" w:type="pct"/>
            <w:tcBorders>
              <w:top w:val="nil"/>
              <w:left w:val="nil"/>
              <w:bottom w:val="single" w:sz="4" w:space="0" w:color="auto"/>
              <w:right w:val="single" w:sz="4" w:space="0" w:color="auto"/>
            </w:tcBorders>
            <w:hideMark/>
          </w:tcPr>
          <w:p w14:paraId="5CA4A292"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A24D69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614441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28556A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205A7A99"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Persistent toxic substances</w:t>
            </w:r>
          </w:p>
        </w:tc>
        <w:tc>
          <w:tcPr>
            <w:tcW w:w="1413" w:type="pct"/>
            <w:tcBorders>
              <w:top w:val="nil"/>
              <w:left w:val="nil"/>
              <w:bottom w:val="single" w:sz="4" w:space="0" w:color="auto"/>
              <w:right w:val="single" w:sz="4" w:space="0" w:color="auto"/>
            </w:tcBorders>
            <w:hideMark/>
          </w:tcPr>
          <w:p w14:paraId="4A1DF3F5"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2F92B0A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2486D5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F9775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507FBF51" w14:textId="77777777" w:rsidR="00DC00FF" w:rsidRDefault="00DC00FF">
            <w:pPr>
              <w:rPr>
                <w:rFonts w:ascii="Avenir Next Regular" w:hAnsi="Avenir Next Regular" w:cs="Calibri"/>
                <w:iCs/>
                <w:color w:val="000000"/>
                <w:sz w:val="16"/>
                <w:szCs w:val="16"/>
              </w:rPr>
            </w:pPr>
            <w:r>
              <w:rPr>
                <w:color w:val="000000"/>
                <w:sz w:val="16"/>
                <w:szCs w:val="16"/>
              </w:rPr>
              <w:t xml:space="preserve">X </w:t>
            </w:r>
            <w:r>
              <w:rPr>
                <w:rFonts w:ascii="Avenir Next Regular" w:hAnsi="Avenir Next Regular" w:cs="Calibri"/>
                <w:iCs/>
                <w:color w:val="000000"/>
                <w:sz w:val="16"/>
                <w:szCs w:val="16"/>
              </w:rPr>
              <w:t>SIDS: Small Island Dev States</w:t>
            </w:r>
          </w:p>
        </w:tc>
        <w:tc>
          <w:tcPr>
            <w:tcW w:w="1413" w:type="pct"/>
            <w:tcBorders>
              <w:top w:val="nil"/>
              <w:left w:val="nil"/>
              <w:bottom w:val="single" w:sz="4" w:space="0" w:color="auto"/>
              <w:right w:val="single" w:sz="4" w:space="0" w:color="auto"/>
            </w:tcBorders>
            <w:hideMark/>
          </w:tcPr>
          <w:p w14:paraId="4FDB6A8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7E5840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990014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48E28B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2CBC83C4"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Targeted Research</w:t>
            </w:r>
          </w:p>
        </w:tc>
        <w:tc>
          <w:tcPr>
            <w:tcW w:w="1413" w:type="pct"/>
            <w:tcBorders>
              <w:top w:val="nil"/>
              <w:left w:val="nil"/>
              <w:bottom w:val="single" w:sz="4" w:space="0" w:color="auto"/>
              <w:right w:val="single" w:sz="4" w:space="0" w:color="auto"/>
            </w:tcBorders>
            <w:hideMark/>
          </w:tcPr>
          <w:p w14:paraId="5717D224"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62E2D84"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4B079973"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7D96A97D"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vAlign w:val="center"/>
            <w:hideMark/>
          </w:tcPr>
          <w:p w14:paraId="17F12303"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Pollution</w:t>
            </w:r>
          </w:p>
        </w:tc>
        <w:tc>
          <w:tcPr>
            <w:tcW w:w="1413" w:type="pct"/>
            <w:tcBorders>
              <w:top w:val="nil"/>
              <w:left w:val="nil"/>
              <w:bottom w:val="single" w:sz="4" w:space="0" w:color="auto"/>
              <w:right w:val="single" w:sz="4" w:space="0" w:color="auto"/>
            </w:tcBorders>
          </w:tcPr>
          <w:p w14:paraId="18D8F4A5" w14:textId="77777777" w:rsidR="00DC00FF" w:rsidRDefault="00DC00FF">
            <w:pPr>
              <w:rPr>
                <w:rFonts w:ascii="Avenir Next Regular" w:hAnsi="Avenir Next Regular" w:cs="Calibri"/>
                <w:color w:val="000000"/>
                <w:sz w:val="16"/>
                <w:szCs w:val="16"/>
              </w:rPr>
            </w:pPr>
          </w:p>
        </w:tc>
      </w:tr>
      <w:tr w:rsidR="00DC00FF" w14:paraId="0A52AAFB"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4494F70C"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21D655E3"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vAlign w:val="center"/>
          </w:tcPr>
          <w:p w14:paraId="36A9A6BA"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hideMark/>
          </w:tcPr>
          <w:p w14:paraId="256E0F6E"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Persistent toxic substances</w:t>
            </w:r>
          </w:p>
        </w:tc>
      </w:tr>
      <w:tr w:rsidR="00DC00FF" w14:paraId="30D621C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076259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F8DEE5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tcPr>
          <w:p w14:paraId="32FD9EE7" w14:textId="77777777" w:rsidR="00DC00FF" w:rsidRDefault="00DC00FF">
            <w:pPr>
              <w:rPr>
                <w:rFonts w:ascii="Avenir Next Regular" w:hAnsi="Avenir Next Regular" w:cs="Calibri"/>
                <w:iCs/>
                <w:color w:val="000000"/>
                <w:sz w:val="16"/>
                <w:szCs w:val="16"/>
              </w:rPr>
            </w:pPr>
          </w:p>
        </w:tc>
        <w:tc>
          <w:tcPr>
            <w:tcW w:w="1413" w:type="pct"/>
            <w:tcBorders>
              <w:top w:val="nil"/>
              <w:left w:val="nil"/>
              <w:bottom w:val="single" w:sz="4" w:space="0" w:color="auto"/>
              <w:right w:val="single" w:sz="4" w:space="0" w:color="auto"/>
            </w:tcBorders>
            <w:hideMark/>
          </w:tcPr>
          <w:p w14:paraId="46C5E45A"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Plastics</w:t>
            </w:r>
          </w:p>
        </w:tc>
      </w:tr>
      <w:tr w:rsidR="00DC00FF" w:rsidRPr="00DC00FF" w14:paraId="763F5DC8" w14:textId="77777777" w:rsidTr="00DC00FF">
        <w:trPr>
          <w:trHeight w:val="408"/>
        </w:trPr>
        <w:tc>
          <w:tcPr>
            <w:tcW w:w="988" w:type="pct"/>
            <w:tcBorders>
              <w:top w:val="nil"/>
              <w:left w:val="single" w:sz="4" w:space="0" w:color="auto"/>
              <w:bottom w:val="single" w:sz="4" w:space="0" w:color="auto"/>
              <w:right w:val="single" w:sz="4" w:space="0" w:color="auto"/>
            </w:tcBorders>
            <w:noWrap/>
            <w:vAlign w:val="bottom"/>
            <w:hideMark/>
          </w:tcPr>
          <w:p w14:paraId="21DA4A9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E6BB23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14A1708E"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067B960"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Nutrient pollution from all sectors except wastewater</w:t>
            </w:r>
          </w:p>
        </w:tc>
      </w:tr>
      <w:tr w:rsidR="00DC00FF" w14:paraId="63018433"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7FDAD8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9F7E9A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16CB1651"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823DDD2"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Nutrient pollution from Wastewater</w:t>
            </w:r>
          </w:p>
        </w:tc>
      </w:tr>
      <w:tr w:rsidR="00DC00FF" w:rsidRPr="00DC00FF" w14:paraId="7AF6D542" w14:textId="77777777" w:rsidTr="00DC00FF">
        <w:trPr>
          <w:trHeight w:val="368"/>
        </w:trPr>
        <w:tc>
          <w:tcPr>
            <w:tcW w:w="988" w:type="pct"/>
            <w:tcBorders>
              <w:top w:val="nil"/>
              <w:left w:val="single" w:sz="4" w:space="0" w:color="auto"/>
              <w:bottom w:val="single" w:sz="4" w:space="0" w:color="auto"/>
              <w:right w:val="single" w:sz="4" w:space="0" w:color="auto"/>
            </w:tcBorders>
            <w:noWrap/>
            <w:vAlign w:val="bottom"/>
            <w:hideMark/>
          </w:tcPr>
          <w:p w14:paraId="4C397A3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413243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7D622D32"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Transboundary Diagnostic Analysis and Strategic Action Plan preparation</w:t>
            </w:r>
          </w:p>
        </w:tc>
        <w:tc>
          <w:tcPr>
            <w:tcW w:w="1413" w:type="pct"/>
            <w:tcBorders>
              <w:top w:val="nil"/>
              <w:left w:val="nil"/>
              <w:bottom w:val="single" w:sz="4" w:space="0" w:color="auto"/>
              <w:right w:val="single" w:sz="4" w:space="0" w:color="auto"/>
            </w:tcBorders>
            <w:hideMark/>
          </w:tcPr>
          <w:p w14:paraId="3A6CCCBA"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E2A1D67" w14:textId="77777777" w:rsidTr="00DC00FF">
        <w:trPr>
          <w:trHeight w:val="161"/>
        </w:trPr>
        <w:tc>
          <w:tcPr>
            <w:tcW w:w="988" w:type="pct"/>
            <w:tcBorders>
              <w:top w:val="nil"/>
              <w:left w:val="single" w:sz="4" w:space="0" w:color="auto"/>
              <w:bottom w:val="single" w:sz="4" w:space="0" w:color="auto"/>
              <w:right w:val="single" w:sz="4" w:space="0" w:color="auto"/>
            </w:tcBorders>
            <w:noWrap/>
            <w:vAlign w:val="bottom"/>
            <w:hideMark/>
          </w:tcPr>
          <w:p w14:paraId="6A602F1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lastRenderedPageBreak/>
              <w:t> </w:t>
            </w:r>
          </w:p>
        </w:tc>
        <w:tc>
          <w:tcPr>
            <w:tcW w:w="1136" w:type="pct"/>
            <w:tcBorders>
              <w:top w:val="nil"/>
              <w:left w:val="nil"/>
              <w:bottom w:val="single" w:sz="4" w:space="0" w:color="auto"/>
              <w:right w:val="single" w:sz="4" w:space="0" w:color="auto"/>
            </w:tcBorders>
            <w:hideMark/>
          </w:tcPr>
          <w:p w14:paraId="06FACD8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5EABCE3E"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Strategic Action Plan Implementation</w:t>
            </w:r>
          </w:p>
        </w:tc>
        <w:tc>
          <w:tcPr>
            <w:tcW w:w="1413" w:type="pct"/>
            <w:tcBorders>
              <w:top w:val="nil"/>
              <w:left w:val="nil"/>
              <w:bottom w:val="single" w:sz="4" w:space="0" w:color="auto"/>
              <w:right w:val="single" w:sz="4" w:space="0" w:color="auto"/>
            </w:tcBorders>
            <w:hideMark/>
          </w:tcPr>
          <w:p w14:paraId="001419B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7A5D0CB"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0B6AF3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B6BC9D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4129F054"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Areas Beyond National Jurisdiction</w:t>
            </w:r>
          </w:p>
        </w:tc>
        <w:tc>
          <w:tcPr>
            <w:tcW w:w="1413" w:type="pct"/>
            <w:tcBorders>
              <w:top w:val="nil"/>
              <w:left w:val="nil"/>
              <w:bottom w:val="single" w:sz="4" w:space="0" w:color="auto"/>
              <w:right w:val="single" w:sz="4" w:space="0" w:color="auto"/>
            </w:tcBorders>
            <w:hideMark/>
          </w:tcPr>
          <w:p w14:paraId="00F5901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D65AEA3"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F47E10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39184D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60A21321"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lang w:val="hr-HR"/>
              </w:rPr>
              <w:t xml:space="preserve"> </w:t>
            </w:r>
            <w:r>
              <w:rPr>
                <w:rFonts w:ascii="Avenir Next Regular" w:hAnsi="Avenir Next Regular" w:cs="Calibri"/>
                <w:iCs/>
                <w:color w:val="000000"/>
                <w:sz w:val="16"/>
                <w:szCs w:val="16"/>
              </w:rPr>
              <w:t>Large Marine Ecosystems</w:t>
            </w:r>
          </w:p>
        </w:tc>
        <w:tc>
          <w:tcPr>
            <w:tcW w:w="1413" w:type="pct"/>
            <w:tcBorders>
              <w:top w:val="nil"/>
              <w:left w:val="nil"/>
              <w:bottom w:val="single" w:sz="4" w:space="0" w:color="auto"/>
              <w:right w:val="single" w:sz="4" w:space="0" w:color="auto"/>
            </w:tcBorders>
            <w:hideMark/>
          </w:tcPr>
          <w:p w14:paraId="44C4CFD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CD73AB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0E98D0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AD3983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12832D95"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Private Sector</w:t>
            </w:r>
          </w:p>
        </w:tc>
        <w:tc>
          <w:tcPr>
            <w:tcW w:w="1413" w:type="pct"/>
            <w:tcBorders>
              <w:top w:val="nil"/>
              <w:left w:val="nil"/>
              <w:bottom w:val="single" w:sz="4" w:space="0" w:color="auto"/>
              <w:right w:val="single" w:sz="4" w:space="0" w:color="auto"/>
            </w:tcBorders>
            <w:hideMark/>
          </w:tcPr>
          <w:p w14:paraId="4D78581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05BD5C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7F4AE0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0C57F8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43B9A22D"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Aquaculture</w:t>
            </w:r>
          </w:p>
        </w:tc>
        <w:tc>
          <w:tcPr>
            <w:tcW w:w="1413" w:type="pct"/>
            <w:tcBorders>
              <w:top w:val="nil"/>
              <w:left w:val="nil"/>
              <w:bottom w:val="single" w:sz="4" w:space="0" w:color="auto"/>
              <w:right w:val="single" w:sz="4" w:space="0" w:color="auto"/>
            </w:tcBorders>
            <w:hideMark/>
          </w:tcPr>
          <w:p w14:paraId="438F6D2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4B684F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E24EDE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9C6F9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214F39E8"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Marine Protected Area</w:t>
            </w:r>
          </w:p>
        </w:tc>
        <w:tc>
          <w:tcPr>
            <w:tcW w:w="1413" w:type="pct"/>
            <w:tcBorders>
              <w:top w:val="nil"/>
              <w:left w:val="nil"/>
              <w:bottom w:val="single" w:sz="4" w:space="0" w:color="auto"/>
              <w:right w:val="single" w:sz="4" w:space="0" w:color="auto"/>
            </w:tcBorders>
            <w:hideMark/>
          </w:tcPr>
          <w:p w14:paraId="776D3C7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9A9A7A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918C83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6C675F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26A89292"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Biomes</w:t>
            </w:r>
          </w:p>
        </w:tc>
        <w:tc>
          <w:tcPr>
            <w:tcW w:w="1413" w:type="pct"/>
            <w:tcBorders>
              <w:top w:val="nil"/>
              <w:left w:val="nil"/>
              <w:bottom w:val="single" w:sz="4" w:space="0" w:color="auto"/>
              <w:right w:val="single" w:sz="4" w:space="0" w:color="auto"/>
            </w:tcBorders>
            <w:hideMark/>
          </w:tcPr>
          <w:p w14:paraId="2C0BBEF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26DC61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C90912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11E1BF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6B241B3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vAlign w:val="center"/>
            <w:hideMark/>
          </w:tcPr>
          <w:p w14:paraId="6335CFB2"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Mangrove</w:t>
            </w:r>
          </w:p>
        </w:tc>
      </w:tr>
      <w:tr w:rsidR="00DC00FF" w14:paraId="2AF555B7"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85545C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A63EDC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56A6452F"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vAlign w:val="center"/>
            <w:hideMark/>
          </w:tcPr>
          <w:p w14:paraId="43B8FE01"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Coral Reefs</w:t>
            </w:r>
          </w:p>
        </w:tc>
      </w:tr>
      <w:tr w:rsidR="00DC00FF" w14:paraId="38043CC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0E60FC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4F8AF1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43611497"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vAlign w:val="center"/>
            <w:hideMark/>
          </w:tcPr>
          <w:p w14:paraId="7E5FB088"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Seagrasses</w:t>
            </w:r>
          </w:p>
        </w:tc>
      </w:tr>
      <w:tr w:rsidR="00DC00FF" w14:paraId="60E641C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59C836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068AEA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3B00052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vAlign w:val="center"/>
            <w:hideMark/>
          </w:tcPr>
          <w:p w14:paraId="0AD322AF"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Polar Ecosystems</w:t>
            </w:r>
          </w:p>
        </w:tc>
      </w:tr>
      <w:tr w:rsidR="00DC00FF" w14:paraId="68DF667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C77587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988FAB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vAlign w:val="center"/>
            <w:hideMark/>
          </w:tcPr>
          <w:p w14:paraId="6707D8BC"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vAlign w:val="center"/>
            <w:hideMark/>
          </w:tcPr>
          <w:p w14:paraId="3312875A"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Constructed Wetlands</w:t>
            </w:r>
          </w:p>
        </w:tc>
      </w:tr>
      <w:tr w:rsidR="00DC00FF" w14:paraId="3E4ADC67"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D6B4DE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8989339"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Chemicals and Waste</w:t>
            </w:r>
          </w:p>
        </w:tc>
        <w:tc>
          <w:tcPr>
            <w:tcW w:w="1463" w:type="pct"/>
            <w:tcBorders>
              <w:top w:val="nil"/>
              <w:left w:val="nil"/>
              <w:bottom w:val="single" w:sz="4" w:space="0" w:color="auto"/>
              <w:right w:val="single" w:sz="4" w:space="0" w:color="auto"/>
            </w:tcBorders>
          </w:tcPr>
          <w:p w14:paraId="1054D8A9" w14:textId="77777777" w:rsidR="00DC00FF" w:rsidRDefault="00DC00FF">
            <w:pPr>
              <w:rPr>
                <w:rFonts w:ascii="Avenir Next Regular" w:hAnsi="Avenir Next Regular" w:cs="Calibri"/>
                <w:iCs/>
                <w:color w:val="000000"/>
                <w:sz w:val="16"/>
                <w:szCs w:val="16"/>
              </w:rPr>
            </w:pPr>
          </w:p>
        </w:tc>
        <w:tc>
          <w:tcPr>
            <w:tcW w:w="1413" w:type="pct"/>
            <w:tcBorders>
              <w:top w:val="nil"/>
              <w:left w:val="nil"/>
              <w:bottom w:val="single" w:sz="4" w:space="0" w:color="auto"/>
              <w:right w:val="single" w:sz="4" w:space="0" w:color="auto"/>
            </w:tcBorders>
            <w:hideMark/>
          </w:tcPr>
          <w:p w14:paraId="2208950D"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398A99D"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58F63C99"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tcPr>
          <w:p w14:paraId="797FA9F9"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31A8A0FB"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Mercury</w:t>
            </w:r>
          </w:p>
        </w:tc>
        <w:tc>
          <w:tcPr>
            <w:tcW w:w="1413" w:type="pct"/>
            <w:tcBorders>
              <w:top w:val="nil"/>
              <w:left w:val="nil"/>
              <w:bottom w:val="single" w:sz="4" w:space="0" w:color="auto"/>
              <w:right w:val="single" w:sz="4" w:space="0" w:color="auto"/>
            </w:tcBorders>
          </w:tcPr>
          <w:p w14:paraId="2D3489D6" w14:textId="77777777" w:rsidR="00DC00FF" w:rsidRDefault="00DC00FF">
            <w:pPr>
              <w:rPr>
                <w:rFonts w:ascii="Avenir Next Regular" w:hAnsi="Avenir Next Regular" w:cs="Calibri"/>
                <w:color w:val="000000"/>
                <w:sz w:val="16"/>
                <w:szCs w:val="16"/>
              </w:rPr>
            </w:pPr>
          </w:p>
        </w:tc>
      </w:tr>
      <w:tr w:rsidR="00DC00FF" w:rsidRPr="00DC00FF" w14:paraId="70848CA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2AFC1D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BABBB0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632F3A8"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Artisanal and Scale Gold Mining</w:t>
            </w:r>
          </w:p>
        </w:tc>
        <w:tc>
          <w:tcPr>
            <w:tcW w:w="1413" w:type="pct"/>
            <w:tcBorders>
              <w:top w:val="nil"/>
              <w:left w:val="nil"/>
              <w:bottom w:val="single" w:sz="4" w:space="0" w:color="auto"/>
              <w:right w:val="single" w:sz="4" w:space="0" w:color="auto"/>
            </w:tcBorders>
            <w:hideMark/>
          </w:tcPr>
          <w:p w14:paraId="3BBA2E0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3B1D174"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814886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6C2D2C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B1D0EEE"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Coal Fired Power Plants</w:t>
            </w:r>
          </w:p>
        </w:tc>
        <w:tc>
          <w:tcPr>
            <w:tcW w:w="1413" w:type="pct"/>
            <w:tcBorders>
              <w:top w:val="nil"/>
              <w:left w:val="nil"/>
              <w:bottom w:val="single" w:sz="4" w:space="0" w:color="auto"/>
              <w:right w:val="single" w:sz="4" w:space="0" w:color="auto"/>
            </w:tcBorders>
            <w:hideMark/>
          </w:tcPr>
          <w:p w14:paraId="54D2BD3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BEFB4A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7BD2D4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3F7DCF7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88D9CB7"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Coal Fired Industrial Boilers</w:t>
            </w:r>
          </w:p>
        </w:tc>
        <w:tc>
          <w:tcPr>
            <w:tcW w:w="1413" w:type="pct"/>
            <w:tcBorders>
              <w:top w:val="nil"/>
              <w:left w:val="nil"/>
              <w:bottom w:val="single" w:sz="4" w:space="0" w:color="auto"/>
              <w:right w:val="single" w:sz="4" w:space="0" w:color="auto"/>
            </w:tcBorders>
            <w:hideMark/>
          </w:tcPr>
          <w:p w14:paraId="4BC1FC0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6716368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5F21F0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49DC1A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31A5F7D"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Cement</w:t>
            </w:r>
          </w:p>
        </w:tc>
        <w:tc>
          <w:tcPr>
            <w:tcW w:w="1413" w:type="pct"/>
            <w:tcBorders>
              <w:top w:val="nil"/>
              <w:left w:val="nil"/>
              <w:bottom w:val="single" w:sz="4" w:space="0" w:color="auto"/>
              <w:right w:val="single" w:sz="4" w:space="0" w:color="auto"/>
            </w:tcBorders>
            <w:hideMark/>
          </w:tcPr>
          <w:p w14:paraId="25CDE6A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520C68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A371A8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F00C6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BDBE91C"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 xml:space="preserve">Non-Ferrous Metals Production </w:t>
            </w:r>
          </w:p>
        </w:tc>
        <w:tc>
          <w:tcPr>
            <w:tcW w:w="1413" w:type="pct"/>
            <w:tcBorders>
              <w:top w:val="nil"/>
              <w:left w:val="nil"/>
              <w:bottom w:val="single" w:sz="4" w:space="0" w:color="auto"/>
              <w:right w:val="single" w:sz="4" w:space="0" w:color="auto"/>
            </w:tcBorders>
            <w:hideMark/>
          </w:tcPr>
          <w:p w14:paraId="2E8A927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18AD8286" w14:textId="77777777" w:rsidTr="00DC00FF">
        <w:trPr>
          <w:trHeight w:val="71"/>
        </w:trPr>
        <w:tc>
          <w:tcPr>
            <w:tcW w:w="988" w:type="pct"/>
            <w:tcBorders>
              <w:top w:val="nil"/>
              <w:left w:val="single" w:sz="4" w:space="0" w:color="auto"/>
              <w:bottom w:val="single" w:sz="4" w:space="0" w:color="auto"/>
              <w:right w:val="single" w:sz="4" w:space="0" w:color="auto"/>
            </w:tcBorders>
            <w:noWrap/>
            <w:vAlign w:val="bottom"/>
            <w:hideMark/>
          </w:tcPr>
          <w:p w14:paraId="256CFBD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10635E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64FC899"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Ozone</w:t>
            </w:r>
          </w:p>
        </w:tc>
        <w:tc>
          <w:tcPr>
            <w:tcW w:w="1413" w:type="pct"/>
            <w:tcBorders>
              <w:top w:val="nil"/>
              <w:left w:val="nil"/>
              <w:bottom w:val="single" w:sz="4" w:space="0" w:color="auto"/>
              <w:right w:val="single" w:sz="4" w:space="0" w:color="auto"/>
            </w:tcBorders>
            <w:hideMark/>
          </w:tcPr>
          <w:p w14:paraId="7DCF66F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530AFB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37507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B9E41A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14A1311"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Persistent Organic Pollutants</w:t>
            </w:r>
          </w:p>
        </w:tc>
        <w:tc>
          <w:tcPr>
            <w:tcW w:w="1413" w:type="pct"/>
            <w:tcBorders>
              <w:top w:val="nil"/>
              <w:left w:val="nil"/>
              <w:bottom w:val="single" w:sz="4" w:space="0" w:color="auto"/>
              <w:right w:val="single" w:sz="4" w:space="0" w:color="auto"/>
            </w:tcBorders>
            <w:hideMark/>
          </w:tcPr>
          <w:p w14:paraId="61CA33C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3EAD996" w14:textId="77777777" w:rsidTr="00DC00FF">
        <w:trPr>
          <w:trHeight w:val="125"/>
        </w:trPr>
        <w:tc>
          <w:tcPr>
            <w:tcW w:w="988" w:type="pct"/>
            <w:tcBorders>
              <w:top w:val="nil"/>
              <w:left w:val="single" w:sz="4" w:space="0" w:color="auto"/>
              <w:bottom w:val="single" w:sz="4" w:space="0" w:color="auto"/>
              <w:right w:val="single" w:sz="4" w:space="0" w:color="auto"/>
            </w:tcBorders>
            <w:noWrap/>
            <w:vAlign w:val="bottom"/>
            <w:hideMark/>
          </w:tcPr>
          <w:p w14:paraId="57D193D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E22485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43E479D"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Unintentional Persistent Organic Pollutants</w:t>
            </w:r>
          </w:p>
        </w:tc>
        <w:tc>
          <w:tcPr>
            <w:tcW w:w="1413" w:type="pct"/>
            <w:tcBorders>
              <w:top w:val="nil"/>
              <w:left w:val="nil"/>
              <w:bottom w:val="single" w:sz="4" w:space="0" w:color="auto"/>
              <w:right w:val="single" w:sz="4" w:space="0" w:color="auto"/>
            </w:tcBorders>
            <w:hideMark/>
          </w:tcPr>
          <w:p w14:paraId="044E1E3E"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65BAB502"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3AA17A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F5A121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D74236A"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Sound Management of chemicals and Waste</w:t>
            </w:r>
          </w:p>
        </w:tc>
        <w:tc>
          <w:tcPr>
            <w:tcW w:w="1413" w:type="pct"/>
            <w:tcBorders>
              <w:top w:val="nil"/>
              <w:left w:val="nil"/>
              <w:bottom w:val="single" w:sz="4" w:space="0" w:color="auto"/>
              <w:right w:val="single" w:sz="4" w:space="0" w:color="auto"/>
            </w:tcBorders>
            <w:hideMark/>
          </w:tcPr>
          <w:p w14:paraId="7B7F826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C26525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6BEF6D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vAlign w:val="bottom"/>
            <w:hideMark/>
          </w:tcPr>
          <w:p w14:paraId="2710DCF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CF9CC6B"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Waste Management</w:t>
            </w:r>
          </w:p>
        </w:tc>
        <w:tc>
          <w:tcPr>
            <w:tcW w:w="1413" w:type="pct"/>
            <w:tcBorders>
              <w:top w:val="nil"/>
              <w:left w:val="nil"/>
              <w:bottom w:val="single" w:sz="4" w:space="0" w:color="auto"/>
              <w:right w:val="single" w:sz="4" w:space="0" w:color="auto"/>
            </w:tcBorders>
            <w:hideMark/>
          </w:tcPr>
          <w:p w14:paraId="2623F2C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D3BD95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532232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F7B94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30CB7B0"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79EFBD3D"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Hazardous Waste Management</w:t>
            </w:r>
          </w:p>
        </w:tc>
      </w:tr>
      <w:tr w:rsidR="00DC00FF" w14:paraId="22DCC29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C0E25D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5CE825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E6B50B3"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160397A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Industrial Waste</w:t>
            </w:r>
          </w:p>
        </w:tc>
      </w:tr>
      <w:tr w:rsidR="00DC00FF" w14:paraId="6FB1CD28"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A22298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B9FA72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6DCB38D"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BE0F20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e-Waste</w:t>
            </w:r>
          </w:p>
        </w:tc>
      </w:tr>
      <w:tr w:rsidR="00DC00FF" w14:paraId="38BCEAF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31876D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C93BA9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A6A44AB"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Emissions</w:t>
            </w:r>
          </w:p>
        </w:tc>
        <w:tc>
          <w:tcPr>
            <w:tcW w:w="1413" w:type="pct"/>
            <w:tcBorders>
              <w:top w:val="nil"/>
              <w:left w:val="nil"/>
              <w:bottom w:val="single" w:sz="4" w:space="0" w:color="auto"/>
              <w:right w:val="single" w:sz="4" w:space="0" w:color="auto"/>
            </w:tcBorders>
            <w:hideMark/>
          </w:tcPr>
          <w:p w14:paraId="19D919B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04E9B7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28E928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298BAA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83DA8E7"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Disposal</w:t>
            </w:r>
          </w:p>
        </w:tc>
        <w:tc>
          <w:tcPr>
            <w:tcW w:w="1413" w:type="pct"/>
            <w:tcBorders>
              <w:top w:val="nil"/>
              <w:left w:val="nil"/>
              <w:bottom w:val="single" w:sz="4" w:space="0" w:color="auto"/>
              <w:right w:val="single" w:sz="4" w:space="0" w:color="auto"/>
            </w:tcBorders>
            <w:hideMark/>
          </w:tcPr>
          <w:p w14:paraId="2085991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9D9D66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2ADE53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4402EE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D5504CD"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New Persistent Organic Pollutants</w:t>
            </w:r>
          </w:p>
        </w:tc>
        <w:tc>
          <w:tcPr>
            <w:tcW w:w="1413" w:type="pct"/>
            <w:tcBorders>
              <w:top w:val="nil"/>
              <w:left w:val="nil"/>
              <w:bottom w:val="single" w:sz="4" w:space="0" w:color="auto"/>
              <w:right w:val="single" w:sz="4" w:space="0" w:color="auto"/>
            </w:tcBorders>
            <w:hideMark/>
          </w:tcPr>
          <w:p w14:paraId="31A609F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00B36DA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502D65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8E535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C32DF18"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Polychlorinated Biphenyls</w:t>
            </w:r>
          </w:p>
        </w:tc>
        <w:tc>
          <w:tcPr>
            <w:tcW w:w="1413" w:type="pct"/>
            <w:tcBorders>
              <w:top w:val="nil"/>
              <w:left w:val="nil"/>
              <w:bottom w:val="single" w:sz="4" w:space="0" w:color="auto"/>
              <w:right w:val="single" w:sz="4" w:space="0" w:color="auto"/>
            </w:tcBorders>
            <w:hideMark/>
          </w:tcPr>
          <w:p w14:paraId="36A55B7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EF1309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E817B3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486038D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E711893"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Plastics</w:t>
            </w:r>
          </w:p>
        </w:tc>
        <w:tc>
          <w:tcPr>
            <w:tcW w:w="1413" w:type="pct"/>
            <w:tcBorders>
              <w:top w:val="nil"/>
              <w:left w:val="nil"/>
              <w:bottom w:val="single" w:sz="4" w:space="0" w:color="auto"/>
              <w:right w:val="single" w:sz="4" w:space="0" w:color="auto"/>
            </w:tcBorders>
            <w:hideMark/>
          </w:tcPr>
          <w:p w14:paraId="43C88709"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7E0E59F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5E3212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57A88B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8DAAD63"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Eco-Efficiency</w:t>
            </w:r>
          </w:p>
        </w:tc>
        <w:tc>
          <w:tcPr>
            <w:tcW w:w="1413" w:type="pct"/>
            <w:tcBorders>
              <w:top w:val="nil"/>
              <w:left w:val="nil"/>
              <w:bottom w:val="single" w:sz="4" w:space="0" w:color="auto"/>
              <w:right w:val="single" w:sz="4" w:space="0" w:color="auto"/>
            </w:tcBorders>
            <w:hideMark/>
          </w:tcPr>
          <w:p w14:paraId="783AAD1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394C3957"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79F1FA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7E8DC39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F95A970"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Pesticides</w:t>
            </w:r>
          </w:p>
        </w:tc>
        <w:tc>
          <w:tcPr>
            <w:tcW w:w="1413" w:type="pct"/>
            <w:tcBorders>
              <w:top w:val="nil"/>
              <w:left w:val="nil"/>
              <w:bottom w:val="single" w:sz="4" w:space="0" w:color="auto"/>
              <w:right w:val="single" w:sz="4" w:space="0" w:color="auto"/>
            </w:tcBorders>
            <w:hideMark/>
          </w:tcPr>
          <w:p w14:paraId="4B91F40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F434C4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C40954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14AC648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49908FA"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DDT - Vector Management</w:t>
            </w:r>
          </w:p>
        </w:tc>
        <w:tc>
          <w:tcPr>
            <w:tcW w:w="1413" w:type="pct"/>
            <w:tcBorders>
              <w:top w:val="nil"/>
              <w:left w:val="nil"/>
              <w:bottom w:val="single" w:sz="4" w:space="0" w:color="auto"/>
              <w:right w:val="single" w:sz="4" w:space="0" w:color="auto"/>
            </w:tcBorders>
            <w:hideMark/>
          </w:tcPr>
          <w:p w14:paraId="6DFA1D4F"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D23BFBD"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3D1D48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63D3E4C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2FBE7E0"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DDT - Other</w:t>
            </w:r>
          </w:p>
        </w:tc>
        <w:tc>
          <w:tcPr>
            <w:tcW w:w="1413" w:type="pct"/>
            <w:tcBorders>
              <w:top w:val="nil"/>
              <w:left w:val="nil"/>
              <w:bottom w:val="single" w:sz="4" w:space="0" w:color="auto"/>
              <w:right w:val="single" w:sz="4" w:space="0" w:color="auto"/>
            </w:tcBorders>
            <w:hideMark/>
          </w:tcPr>
          <w:p w14:paraId="24FB70D1"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AC49A73"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F7FB03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0991AA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CA07A98"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Industrial Emissions</w:t>
            </w:r>
          </w:p>
        </w:tc>
        <w:tc>
          <w:tcPr>
            <w:tcW w:w="1413" w:type="pct"/>
            <w:tcBorders>
              <w:top w:val="nil"/>
              <w:left w:val="nil"/>
              <w:bottom w:val="single" w:sz="4" w:space="0" w:color="auto"/>
              <w:right w:val="single" w:sz="4" w:space="0" w:color="auto"/>
            </w:tcBorders>
            <w:hideMark/>
          </w:tcPr>
          <w:p w14:paraId="238BF1B6"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9DC45B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366049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2BCC0F3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E71A274"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Open Burning</w:t>
            </w:r>
          </w:p>
        </w:tc>
        <w:tc>
          <w:tcPr>
            <w:tcW w:w="1413" w:type="pct"/>
            <w:tcBorders>
              <w:top w:val="nil"/>
              <w:left w:val="nil"/>
              <w:bottom w:val="single" w:sz="4" w:space="0" w:color="auto"/>
              <w:right w:val="single" w:sz="4" w:space="0" w:color="auto"/>
            </w:tcBorders>
            <w:hideMark/>
          </w:tcPr>
          <w:p w14:paraId="7872095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56281B06" w14:textId="77777777" w:rsidTr="00DC00FF">
        <w:trPr>
          <w:trHeight w:val="152"/>
        </w:trPr>
        <w:tc>
          <w:tcPr>
            <w:tcW w:w="988" w:type="pct"/>
            <w:tcBorders>
              <w:top w:val="nil"/>
              <w:left w:val="single" w:sz="4" w:space="0" w:color="auto"/>
              <w:bottom w:val="single" w:sz="4" w:space="0" w:color="auto"/>
              <w:right w:val="single" w:sz="4" w:space="0" w:color="auto"/>
            </w:tcBorders>
            <w:noWrap/>
            <w:vAlign w:val="bottom"/>
            <w:hideMark/>
          </w:tcPr>
          <w:p w14:paraId="226B368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0616AF1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F487A26" w14:textId="77777777" w:rsidR="00DC00FF" w:rsidRDefault="00DC00FF">
            <w:pPr>
              <w:ind w:left="150" w:hanging="150"/>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Best Available Technology / Best Environmental Practices</w:t>
            </w:r>
          </w:p>
        </w:tc>
        <w:tc>
          <w:tcPr>
            <w:tcW w:w="1413" w:type="pct"/>
            <w:tcBorders>
              <w:top w:val="nil"/>
              <w:left w:val="nil"/>
              <w:bottom w:val="single" w:sz="4" w:space="0" w:color="auto"/>
              <w:right w:val="single" w:sz="4" w:space="0" w:color="auto"/>
            </w:tcBorders>
            <w:hideMark/>
          </w:tcPr>
          <w:p w14:paraId="0A82C765"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5E56CF7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BA18AE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hideMark/>
          </w:tcPr>
          <w:p w14:paraId="5F5A6B9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ADEC8D1"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Green Chemistry</w:t>
            </w:r>
          </w:p>
        </w:tc>
        <w:tc>
          <w:tcPr>
            <w:tcW w:w="1413" w:type="pct"/>
            <w:tcBorders>
              <w:top w:val="nil"/>
              <w:left w:val="nil"/>
              <w:bottom w:val="single" w:sz="4" w:space="0" w:color="auto"/>
              <w:right w:val="single" w:sz="4" w:space="0" w:color="auto"/>
            </w:tcBorders>
            <w:hideMark/>
          </w:tcPr>
          <w:p w14:paraId="3FCAB38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2AAA33F9"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362A8C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3AF1C73D"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Climate Change</w:t>
            </w:r>
          </w:p>
        </w:tc>
        <w:tc>
          <w:tcPr>
            <w:tcW w:w="1463" w:type="pct"/>
            <w:tcBorders>
              <w:top w:val="nil"/>
              <w:left w:val="nil"/>
              <w:bottom w:val="single" w:sz="4" w:space="0" w:color="auto"/>
              <w:right w:val="single" w:sz="4" w:space="0" w:color="auto"/>
            </w:tcBorders>
          </w:tcPr>
          <w:p w14:paraId="68754D0B" w14:textId="77777777" w:rsidR="00DC00FF" w:rsidRDefault="00DC00FF">
            <w:pPr>
              <w:rPr>
                <w:rFonts w:ascii="Avenir Next Regular" w:hAnsi="Avenir Next Regular" w:cs="Calibri"/>
                <w:b/>
                <w:bCs/>
                <w:color w:val="000000"/>
                <w:sz w:val="16"/>
                <w:szCs w:val="16"/>
              </w:rPr>
            </w:pPr>
          </w:p>
        </w:tc>
        <w:tc>
          <w:tcPr>
            <w:tcW w:w="1413" w:type="pct"/>
            <w:tcBorders>
              <w:top w:val="nil"/>
              <w:left w:val="nil"/>
              <w:bottom w:val="single" w:sz="4" w:space="0" w:color="auto"/>
              <w:right w:val="single" w:sz="4" w:space="0" w:color="auto"/>
            </w:tcBorders>
          </w:tcPr>
          <w:p w14:paraId="77198FAF" w14:textId="77777777" w:rsidR="00DC00FF" w:rsidRDefault="00DC00FF">
            <w:pPr>
              <w:rPr>
                <w:rFonts w:ascii="Avenir Next Regular" w:hAnsi="Avenir Next Regular" w:cs="Calibri"/>
                <w:iCs/>
                <w:color w:val="000000"/>
                <w:sz w:val="16"/>
                <w:szCs w:val="16"/>
              </w:rPr>
            </w:pPr>
          </w:p>
        </w:tc>
      </w:tr>
      <w:tr w:rsidR="00DC00FF" w14:paraId="79057B9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5E98939F"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noWrap/>
            <w:vAlign w:val="bottom"/>
          </w:tcPr>
          <w:p w14:paraId="1E64357F"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hideMark/>
          </w:tcPr>
          <w:p w14:paraId="056510D9" w14:textId="77777777" w:rsidR="00DC00FF" w:rsidRDefault="00DC00FF">
            <w:pPr>
              <w:rPr>
                <w:b/>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Climate Change Adaptation</w:t>
            </w:r>
          </w:p>
        </w:tc>
        <w:tc>
          <w:tcPr>
            <w:tcW w:w="1413" w:type="pct"/>
            <w:tcBorders>
              <w:top w:val="nil"/>
              <w:left w:val="nil"/>
              <w:bottom w:val="single" w:sz="4" w:space="0" w:color="auto"/>
              <w:right w:val="single" w:sz="4" w:space="0" w:color="auto"/>
            </w:tcBorders>
          </w:tcPr>
          <w:p w14:paraId="114401CB" w14:textId="77777777" w:rsidR="00DC00FF" w:rsidRDefault="00DC00FF">
            <w:pPr>
              <w:rPr>
                <w:color w:val="000000"/>
                <w:sz w:val="16"/>
                <w:szCs w:val="16"/>
              </w:rPr>
            </w:pPr>
          </w:p>
        </w:tc>
      </w:tr>
      <w:tr w:rsidR="00DC00FF" w14:paraId="19CE5B0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62646969"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noWrap/>
            <w:vAlign w:val="bottom"/>
          </w:tcPr>
          <w:p w14:paraId="412CDBA7" w14:textId="77777777" w:rsidR="00DC00FF" w:rsidRDefault="00DC00FF">
            <w:pPr>
              <w:rPr>
                <w:color w:val="000000"/>
                <w:sz w:val="16"/>
                <w:szCs w:val="16"/>
              </w:rPr>
            </w:pPr>
          </w:p>
        </w:tc>
        <w:tc>
          <w:tcPr>
            <w:tcW w:w="1463" w:type="pct"/>
            <w:tcBorders>
              <w:top w:val="nil"/>
              <w:left w:val="nil"/>
              <w:bottom w:val="single" w:sz="4" w:space="0" w:color="auto"/>
              <w:right w:val="single" w:sz="4" w:space="0" w:color="auto"/>
            </w:tcBorders>
          </w:tcPr>
          <w:p w14:paraId="70F36ED4"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hideMark/>
          </w:tcPr>
          <w:p w14:paraId="45EFC110"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Climate Finance</w:t>
            </w:r>
          </w:p>
        </w:tc>
      </w:tr>
      <w:tr w:rsidR="00DC00FF" w14:paraId="752A9FB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C86073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5CCE7D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8AD9E6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7A2A1E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Least Developed Countries</w:t>
            </w:r>
          </w:p>
        </w:tc>
      </w:tr>
      <w:tr w:rsidR="00DC00FF" w14:paraId="10A4D6F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F3F210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lastRenderedPageBreak/>
              <w:t> </w:t>
            </w:r>
          </w:p>
        </w:tc>
        <w:tc>
          <w:tcPr>
            <w:tcW w:w="1136" w:type="pct"/>
            <w:tcBorders>
              <w:top w:val="nil"/>
              <w:left w:val="nil"/>
              <w:bottom w:val="single" w:sz="4" w:space="0" w:color="auto"/>
              <w:right w:val="single" w:sz="4" w:space="0" w:color="auto"/>
            </w:tcBorders>
            <w:noWrap/>
            <w:vAlign w:val="bottom"/>
            <w:hideMark/>
          </w:tcPr>
          <w:p w14:paraId="33E2DDB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15F822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6811DEFF"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Small Island Developing States</w:t>
            </w:r>
          </w:p>
        </w:tc>
      </w:tr>
      <w:tr w:rsidR="00DC00FF" w14:paraId="7A29A915"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1ED8BFD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C45693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DE213F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5257C98"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Disaster Risk Management</w:t>
            </w:r>
          </w:p>
        </w:tc>
      </w:tr>
      <w:tr w:rsidR="00DC00FF" w14:paraId="065AA622"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B4890F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19EE948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0C49A0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41557447"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Sea-level rise</w:t>
            </w:r>
          </w:p>
        </w:tc>
      </w:tr>
      <w:tr w:rsidR="00DC00FF" w14:paraId="440A3E5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tcPr>
          <w:p w14:paraId="5EA40DC3"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noWrap/>
            <w:vAlign w:val="bottom"/>
          </w:tcPr>
          <w:p w14:paraId="56B0E082"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tcPr>
          <w:p w14:paraId="5AA1BFEE" w14:textId="77777777" w:rsidR="00DC00FF" w:rsidRDefault="00DC00FF">
            <w:pPr>
              <w:rPr>
                <w:rFonts w:ascii="Avenir Next Regular" w:hAnsi="Avenir Next Regular" w:cs="Calibri"/>
                <w:b/>
                <w:bCs/>
                <w:color w:val="000000"/>
                <w:sz w:val="16"/>
                <w:szCs w:val="16"/>
              </w:rPr>
            </w:pPr>
          </w:p>
        </w:tc>
        <w:tc>
          <w:tcPr>
            <w:tcW w:w="1413" w:type="pct"/>
            <w:tcBorders>
              <w:top w:val="nil"/>
              <w:left w:val="nil"/>
              <w:bottom w:val="single" w:sz="4" w:space="0" w:color="auto"/>
              <w:right w:val="single" w:sz="4" w:space="0" w:color="auto"/>
            </w:tcBorders>
            <w:hideMark/>
          </w:tcPr>
          <w:p w14:paraId="0A4CEC19" w14:textId="77777777" w:rsidR="00DC00FF" w:rsidRDefault="00DC00FF">
            <w:pPr>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Climate Resilience</w:t>
            </w:r>
          </w:p>
        </w:tc>
      </w:tr>
      <w:tr w:rsidR="00DC00FF" w14:paraId="757538A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8077A5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31ECF51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A82F72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D515D4D"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Climate information</w:t>
            </w:r>
          </w:p>
        </w:tc>
      </w:tr>
      <w:tr w:rsidR="00DC00FF" w14:paraId="1C3C7CC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D0B24C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1F8FA6E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5031BB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434A80D0"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Ecosystem-based Adaptation</w:t>
            </w:r>
          </w:p>
        </w:tc>
      </w:tr>
      <w:tr w:rsidR="00DC00FF" w14:paraId="406D0B1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78C00F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310DC45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831474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1588E95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color w:val="000000"/>
                <w:sz w:val="16"/>
                <w:szCs w:val="16"/>
              </w:rPr>
              <w:t>Adaptation Tech Transfer</w:t>
            </w:r>
          </w:p>
        </w:tc>
      </w:tr>
      <w:tr w:rsidR="00DC00FF" w14:paraId="1E2DCB6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2506D8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528739B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8BD577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02D0C54D"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 xml:space="preserve">National Adaptation </w:t>
            </w:r>
            <w:proofErr w:type="spellStart"/>
            <w:r>
              <w:rPr>
                <w:rFonts w:ascii="Avenir Next Regular" w:hAnsi="Avenir Next Regular" w:cs="Calibri"/>
                <w:color w:val="000000"/>
                <w:sz w:val="16"/>
                <w:szCs w:val="16"/>
              </w:rPr>
              <w:t>Programme</w:t>
            </w:r>
            <w:proofErr w:type="spellEnd"/>
            <w:r>
              <w:rPr>
                <w:rFonts w:ascii="Avenir Next Regular" w:hAnsi="Avenir Next Regular" w:cs="Calibri"/>
                <w:color w:val="000000"/>
                <w:sz w:val="16"/>
                <w:szCs w:val="16"/>
              </w:rPr>
              <w:t xml:space="preserve"> of Action</w:t>
            </w:r>
          </w:p>
        </w:tc>
      </w:tr>
      <w:tr w:rsidR="00DC00FF" w14:paraId="52B3C04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DE008C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6BCADA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F5EBBD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0589E0A"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National Adaptation Plan</w:t>
            </w:r>
          </w:p>
        </w:tc>
      </w:tr>
      <w:tr w:rsidR="00DC00FF" w14:paraId="6806D3DE"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4E4F53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6E9FC4A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248F33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43A6909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Mainstreaming Adaptation</w:t>
            </w:r>
          </w:p>
        </w:tc>
      </w:tr>
      <w:tr w:rsidR="00DC00FF" w14:paraId="332647B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8FACDA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8B06FF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3C4FB1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56E1E54B"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Private Sector</w:t>
            </w:r>
          </w:p>
        </w:tc>
      </w:tr>
      <w:tr w:rsidR="00DC00FF" w14:paraId="7FB18AD6"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E99E64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512552B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FE2430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4631CDD0"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Innovation</w:t>
            </w:r>
          </w:p>
        </w:tc>
      </w:tr>
      <w:tr w:rsidR="00DC00FF" w14:paraId="70D8C09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928319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604809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25C62D4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EC39931"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Complementarity</w:t>
            </w:r>
          </w:p>
        </w:tc>
      </w:tr>
      <w:tr w:rsidR="00DC00FF" w14:paraId="4A556F9D"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6607DBA"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EC4169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3A2BC4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551CBB97"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Community-based Adaptation</w:t>
            </w:r>
          </w:p>
        </w:tc>
      </w:tr>
      <w:tr w:rsidR="00DC00FF" w14:paraId="48982C8D"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AA7B91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1F75A0F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EAE1C1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7878AD2A"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Livelihoods</w:t>
            </w:r>
          </w:p>
        </w:tc>
      </w:tr>
      <w:tr w:rsidR="00DC00FF" w14:paraId="1CF56F84" w14:textId="77777777" w:rsidTr="00DC00FF">
        <w:trPr>
          <w:trHeight w:val="134"/>
        </w:trPr>
        <w:tc>
          <w:tcPr>
            <w:tcW w:w="988" w:type="pct"/>
            <w:tcBorders>
              <w:top w:val="nil"/>
              <w:left w:val="single" w:sz="4" w:space="0" w:color="auto"/>
              <w:bottom w:val="single" w:sz="4" w:space="0" w:color="auto"/>
              <w:right w:val="single" w:sz="4" w:space="0" w:color="auto"/>
            </w:tcBorders>
            <w:noWrap/>
            <w:vAlign w:val="bottom"/>
            <w:hideMark/>
          </w:tcPr>
          <w:p w14:paraId="10F206A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2FF5D79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055C61B3"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Climate Change Mitigation</w:t>
            </w:r>
          </w:p>
        </w:tc>
        <w:tc>
          <w:tcPr>
            <w:tcW w:w="1413" w:type="pct"/>
            <w:tcBorders>
              <w:top w:val="nil"/>
              <w:left w:val="nil"/>
              <w:bottom w:val="single" w:sz="4" w:space="0" w:color="auto"/>
              <w:right w:val="single" w:sz="4" w:space="0" w:color="auto"/>
            </w:tcBorders>
          </w:tcPr>
          <w:p w14:paraId="441CB917" w14:textId="77777777" w:rsidR="00DC00FF" w:rsidRDefault="00DC00FF">
            <w:pPr>
              <w:rPr>
                <w:rFonts w:ascii="Avenir Next Regular" w:hAnsi="Avenir Next Regular" w:cs="Calibri"/>
                <w:iCs/>
                <w:color w:val="000000"/>
                <w:sz w:val="16"/>
                <w:szCs w:val="16"/>
              </w:rPr>
            </w:pPr>
          </w:p>
        </w:tc>
      </w:tr>
      <w:tr w:rsidR="00DC00FF" w:rsidRPr="00DC00FF" w14:paraId="3B3B9A73" w14:textId="77777777" w:rsidTr="00DC00FF">
        <w:trPr>
          <w:trHeight w:val="134"/>
        </w:trPr>
        <w:tc>
          <w:tcPr>
            <w:tcW w:w="988" w:type="pct"/>
            <w:tcBorders>
              <w:top w:val="nil"/>
              <w:left w:val="single" w:sz="4" w:space="0" w:color="auto"/>
              <w:bottom w:val="single" w:sz="4" w:space="0" w:color="auto"/>
              <w:right w:val="single" w:sz="4" w:space="0" w:color="auto"/>
            </w:tcBorders>
            <w:noWrap/>
            <w:vAlign w:val="bottom"/>
          </w:tcPr>
          <w:p w14:paraId="0EC3CB5C" w14:textId="77777777" w:rsidR="00DC00FF" w:rsidRDefault="00DC00FF">
            <w:pPr>
              <w:rPr>
                <w:rFonts w:ascii="Avenir Next Regular" w:hAnsi="Avenir Next Regular" w:cs="Calibri"/>
                <w:b/>
                <w:bCs/>
                <w:color w:val="000000"/>
                <w:sz w:val="16"/>
                <w:szCs w:val="16"/>
              </w:rPr>
            </w:pPr>
          </w:p>
        </w:tc>
        <w:tc>
          <w:tcPr>
            <w:tcW w:w="1136" w:type="pct"/>
            <w:tcBorders>
              <w:top w:val="nil"/>
              <w:left w:val="nil"/>
              <w:bottom w:val="single" w:sz="4" w:space="0" w:color="auto"/>
              <w:right w:val="single" w:sz="4" w:space="0" w:color="auto"/>
            </w:tcBorders>
            <w:noWrap/>
            <w:vAlign w:val="bottom"/>
          </w:tcPr>
          <w:p w14:paraId="085D48F0" w14:textId="77777777" w:rsidR="00DC00FF" w:rsidRDefault="00DC00FF">
            <w:pPr>
              <w:rPr>
                <w:rFonts w:ascii="Avenir Next Regular" w:hAnsi="Avenir Next Regular" w:cs="Calibri"/>
                <w:b/>
                <w:bCs/>
                <w:color w:val="000000"/>
                <w:sz w:val="16"/>
                <w:szCs w:val="16"/>
              </w:rPr>
            </w:pPr>
          </w:p>
        </w:tc>
        <w:tc>
          <w:tcPr>
            <w:tcW w:w="1463" w:type="pct"/>
            <w:tcBorders>
              <w:top w:val="nil"/>
              <w:left w:val="nil"/>
              <w:bottom w:val="single" w:sz="4" w:space="0" w:color="auto"/>
              <w:right w:val="single" w:sz="4" w:space="0" w:color="auto"/>
            </w:tcBorders>
          </w:tcPr>
          <w:p w14:paraId="7DC3E1B8" w14:textId="77777777" w:rsidR="00DC00FF" w:rsidRDefault="00DC00FF">
            <w:pPr>
              <w:rPr>
                <w:color w:val="000000"/>
                <w:sz w:val="16"/>
                <w:szCs w:val="16"/>
              </w:rPr>
            </w:pPr>
          </w:p>
        </w:tc>
        <w:tc>
          <w:tcPr>
            <w:tcW w:w="1413" w:type="pct"/>
            <w:tcBorders>
              <w:top w:val="nil"/>
              <w:left w:val="nil"/>
              <w:bottom w:val="single" w:sz="4" w:space="0" w:color="auto"/>
              <w:right w:val="single" w:sz="4" w:space="0" w:color="auto"/>
            </w:tcBorders>
            <w:hideMark/>
          </w:tcPr>
          <w:p w14:paraId="5EB75B6F" w14:textId="77777777" w:rsidR="00DC00FF" w:rsidRDefault="00DC00FF">
            <w:pPr>
              <w:ind w:left="192" w:hanging="192"/>
              <w:rPr>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Agriculture, Forestry, and other Land Use</w:t>
            </w:r>
          </w:p>
        </w:tc>
      </w:tr>
      <w:tr w:rsidR="00DC00FF" w14:paraId="4DFE5DB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8A1018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53C5348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F7DACDC"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235D5122"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Energy Efficiency</w:t>
            </w:r>
          </w:p>
        </w:tc>
      </w:tr>
      <w:tr w:rsidR="00DC00FF" w:rsidRPr="00DC00FF" w14:paraId="5C12D73D" w14:textId="77777777" w:rsidTr="00DC00FF">
        <w:trPr>
          <w:trHeight w:val="215"/>
        </w:trPr>
        <w:tc>
          <w:tcPr>
            <w:tcW w:w="988" w:type="pct"/>
            <w:tcBorders>
              <w:top w:val="nil"/>
              <w:left w:val="single" w:sz="4" w:space="0" w:color="auto"/>
              <w:bottom w:val="single" w:sz="4" w:space="0" w:color="auto"/>
              <w:right w:val="single" w:sz="4" w:space="0" w:color="auto"/>
            </w:tcBorders>
            <w:noWrap/>
            <w:vAlign w:val="bottom"/>
            <w:hideMark/>
          </w:tcPr>
          <w:p w14:paraId="325D2F0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3BE3318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15F01B8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75BE953" w14:textId="77777777" w:rsidR="00DC00FF" w:rsidRDefault="00DC00FF">
            <w:pPr>
              <w:ind w:left="192" w:hanging="192"/>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Sustainable Urban Systems and Transport</w:t>
            </w:r>
          </w:p>
        </w:tc>
      </w:tr>
      <w:tr w:rsidR="00DC00FF" w14:paraId="4A68E4D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9D820F1"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537498F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B1D064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6386EE17"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Technology Transfer</w:t>
            </w:r>
          </w:p>
        </w:tc>
      </w:tr>
      <w:tr w:rsidR="00DC00FF" w14:paraId="0782F3E4"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51ECE1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9D5099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7CDED440"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0B81A426"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Renewable Energy</w:t>
            </w:r>
          </w:p>
        </w:tc>
      </w:tr>
      <w:tr w:rsidR="00DC00FF" w14:paraId="5ADACB6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5D31A2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4E9EA64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75DCB6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245137EA" w14:textId="77777777" w:rsidR="00DC00FF" w:rsidRDefault="00DC00FF">
            <w:pPr>
              <w:rPr>
                <w:rFonts w:ascii="Avenir Next Regular" w:hAnsi="Avenir Next Regular" w:cs="Calibri"/>
                <w:i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iCs/>
                <w:color w:val="000000"/>
                <w:sz w:val="16"/>
                <w:szCs w:val="16"/>
              </w:rPr>
              <w:t>Financing</w:t>
            </w:r>
          </w:p>
        </w:tc>
      </w:tr>
      <w:tr w:rsidR="00DC00FF" w14:paraId="384CB8C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6B9D52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723335D9"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31A5A943"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hideMark/>
          </w:tcPr>
          <w:p w14:paraId="3B5B4AAE"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Enabling Activities</w:t>
            </w:r>
          </w:p>
        </w:tc>
      </w:tr>
      <w:tr w:rsidR="00DC00FF" w14:paraId="6DB790D3"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25A3DC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0B01DD8F"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19D62A1" w14:textId="77777777" w:rsidR="00DC00FF" w:rsidRDefault="00DC00FF">
            <w:pPr>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Technology Transfer</w:t>
            </w:r>
          </w:p>
        </w:tc>
        <w:tc>
          <w:tcPr>
            <w:tcW w:w="1413" w:type="pct"/>
            <w:tcBorders>
              <w:top w:val="nil"/>
              <w:left w:val="nil"/>
              <w:bottom w:val="single" w:sz="4" w:space="0" w:color="auto"/>
              <w:right w:val="single" w:sz="4" w:space="0" w:color="auto"/>
            </w:tcBorders>
            <w:hideMark/>
          </w:tcPr>
          <w:p w14:paraId="6DDDB6B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rsidRPr="00DC00FF" w14:paraId="26C072EB" w14:textId="77777777" w:rsidTr="00DC00FF">
        <w:trPr>
          <w:trHeight w:val="420"/>
        </w:trPr>
        <w:tc>
          <w:tcPr>
            <w:tcW w:w="988" w:type="pct"/>
            <w:tcBorders>
              <w:top w:val="nil"/>
              <w:left w:val="single" w:sz="4" w:space="0" w:color="auto"/>
              <w:bottom w:val="single" w:sz="4" w:space="0" w:color="auto"/>
              <w:right w:val="single" w:sz="4" w:space="0" w:color="auto"/>
            </w:tcBorders>
            <w:noWrap/>
            <w:vAlign w:val="bottom"/>
            <w:hideMark/>
          </w:tcPr>
          <w:p w14:paraId="363BE2B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32756E42"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5E13A368"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3270A6EC"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 xml:space="preserve">Poznan Strategic </w:t>
            </w:r>
            <w:proofErr w:type="spellStart"/>
            <w:r>
              <w:rPr>
                <w:rFonts w:ascii="Avenir Next Regular" w:hAnsi="Avenir Next Regular" w:cs="Calibri"/>
                <w:color w:val="000000"/>
                <w:sz w:val="16"/>
                <w:szCs w:val="16"/>
              </w:rPr>
              <w:t>Programme</w:t>
            </w:r>
            <w:proofErr w:type="spellEnd"/>
            <w:r>
              <w:rPr>
                <w:rFonts w:ascii="Avenir Next Regular" w:hAnsi="Avenir Next Regular" w:cs="Calibri"/>
                <w:color w:val="000000"/>
                <w:sz w:val="16"/>
                <w:szCs w:val="16"/>
              </w:rPr>
              <w:t xml:space="preserve"> on Technology Transfer</w:t>
            </w:r>
          </w:p>
        </w:tc>
      </w:tr>
      <w:tr w:rsidR="00DC00FF" w:rsidRPr="00DC00FF" w14:paraId="51227E64" w14:textId="77777777" w:rsidTr="00DC00FF">
        <w:trPr>
          <w:trHeight w:val="420"/>
        </w:trPr>
        <w:tc>
          <w:tcPr>
            <w:tcW w:w="988" w:type="pct"/>
            <w:tcBorders>
              <w:top w:val="nil"/>
              <w:left w:val="single" w:sz="4" w:space="0" w:color="auto"/>
              <w:bottom w:val="single" w:sz="4" w:space="0" w:color="auto"/>
              <w:right w:val="single" w:sz="4" w:space="0" w:color="auto"/>
            </w:tcBorders>
            <w:noWrap/>
            <w:vAlign w:val="bottom"/>
            <w:hideMark/>
          </w:tcPr>
          <w:p w14:paraId="40056A47"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2ACAF58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739ACFB"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0AAE05D5"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Climate Technology Centre &amp; Network (CTCN)</w:t>
            </w:r>
          </w:p>
        </w:tc>
      </w:tr>
      <w:tr w:rsidR="00DC00FF" w14:paraId="43BB0A9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3579D2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43344D9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8924A37"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2F35F31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Endogenous technology</w:t>
            </w:r>
          </w:p>
        </w:tc>
      </w:tr>
      <w:tr w:rsidR="00DC00FF" w14:paraId="5C6E53A2"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9928298"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04A8FA7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619D0A15" w14:textId="77777777" w:rsidR="00DC00FF" w:rsidRDefault="00DC00FF">
            <w:pPr>
              <w:rPr>
                <w:rFonts w:ascii="Avenir Next Regular" w:hAnsi="Avenir Next Regular" w:cs="Calibri"/>
                <w:iCs/>
                <w:color w:val="000000"/>
                <w:sz w:val="16"/>
                <w:szCs w:val="16"/>
              </w:rPr>
            </w:pPr>
            <w:r>
              <w:rPr>
                <w:rFonts w:ascii="Avenir Next Regular" w:hAnsi="Avenir Next Regular" w:cs="Calibri"/>
                <w:iCs/>
                <w:color w:val="000000"/>
                <w:sz w:val="16"/>
                <w:szCs w:val="16"/>
              </w:rPr>
              <w:t> </w:t>
            </w:r>
          </w:p>
        </w:tc>
        <w:tc>
          <w:tcPr>
            <w:tcW w:w="1413" w:type="pct"/>
            <w:tcBorders>
              <w:top w:val="nil"/>
              <w:left w:val="nil"/>
              <w:bottom w:val="single" w:sz="4" w:space="0" w:color="auto"/>
              <w:right w:val="single" w:sz="4" w:space="0" w:color="auto"/>
            </w:tcBorders>
            <w:hideMark/>
          </w:tcPr>
          <w:p w14:paraId="6098AE94"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Technology Needs Assessment</w:t>
            </w:r>
          </w:p>
        </w:tc>
      </w:tr>
      <w:tr w:rsidR="00DC00FF" w14:paraId="447967B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F8B4EF6"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6E60F66D"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noWrap/>
            <w:vAlign w:val="bottom"/>
            <w:hideMark/>
          </w:tcPr>
          <w:p w14:paraId="18DAA33E"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13" w:type="pct"/>
            <w:tcBorders>
              <w:top w:val="nil"/>
              <w:left w:val="nil"/>
              <w:bottom w:val="single" w:sz="4" w:space="0" w:color="auto"/>
              <w:right w:val="single" w:sz="4" w:space="0" w:color="auto"/>
            </w:tcBorders>
            <w:noWrap/>
            <w:vAlign w:val="bottom"/>
            <w:hideMark/>
          </w:tcPr>
          <w:p w14:paraId="16B54DE1" w14:textId="77777777" w:rsidR="00DC00FF" w:rsidRDefault="00DC00FF">
            <w:pPr>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Adaptation Tech Transfer</w:t>
            </w:r>
          </w:p>
        </w:tc>
      </w:tr>
      <w:tr w:rsidR="00DC00FF" w:rsidRPr="00DC00FF" w14:paraId="483634BD" w14:textId="77777777" w:rsidTr="00DC00FF">
        <w:trPr>
          <w:trHeight w:val="89"/>
        </w:trPr>
        <w:tc>
          <w:tcPr>
            <w:tcW w:w="988" w:type="pct"/>
            <w:tcBorders>
              <w:top w:val="nil"/>
              <w:left w:val="single" w:sz="4" w:space="0" w:color="auto"/>
              <w:bottom w:val="single" w:sz="4" w:space="0" w:color="auto"/>
              <w:right w:val="single" w:sz="4" w:space="0" w:color="auto"/>
            </w:tcBorders>
            <w:noWrap/>
            <w:vAlign w:val="bottom"/>
            <w:hideMark/>
          </w:tcPr>
          <w:p w14:paraId="008D7D9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4F1747EB"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hideMark/>
          </w:tcPr>
          <w:p w14:paraId="4B2EE235" w14:textId="77777777" w:rsidR="00DC00FF" w:rsidRDefault="00DC00FF">
            <w:pPr>
              <w:ind w:left="150" w:hanging="150"/>
              <w:rPr>
                <w:rFonts w:ascii="Avenir Next Regular" w:hAnsi="Avenir Next Regular" w:cs="Calibri"/>
                <w:b/>
                <w:bCs/>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b/>
                <w:bCs/>
                <w:color w:val="000000"/>
                <w:sz w:val="16"/>
                <w:szCs w:val="16"/>
              </w:rPr>
              <w:t>United Nations Framework on Climate Change</w:t>
            </w:r>
          </w:p>
        </w:tc>
        <w:tc>
          <w:tcPr>
            <w:tcW w:w="1413" w:type="pct"/>
            <w:tcBorders>
              <w:top w:val="nil"/>
              <w:left w:val="nil"/>
              <w:bottom w:val="single" w:sz="4" w:space="0" w:color="auto"/>
              <w:right w:val="single" w:sz="4" w:space="0" w:color="auto"/>
            </w:tcBorders>
            <w:noWrap/>
            <w:vAlign w:val="bottom"/>
            <w:hideMark/>
          </w:tcPr>
          <w:p w14:paraId="60A8D66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r>
      <w:tr w:rsidR="00DC00FF" w14:paraId="4009C951"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292122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136" w:type="pct"/>
            <w:tcBorders>
              <w:top w:val="nil"/>
              <w:left w:val="nil"/>
              <w:bottom w:val="single" w:sz="4" w:space="0" w:color="auto"/>
              <w:right w:val="single" w:sz="4" w:space="0" w:color="auto"/>
            </w:tcBorders>
            <w:noWrap/>
            <w:vAlign w:val="bottom"/>
            <w:hideMark/>
          </w:tcPr>
          <w:p w14:paraId="18CF0D54"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t> </w:t>
            </w:r>
          </w:p>
        </w:tc>
        <w:tc>
          <w:tcPr>
            <w:tcW w:w="1463" w:type="pct"/>
            <w:tcBorders>
              <w:top w:val="nil"/>
              <w:left w:val="nil"/>
              <w:bottom w:val="single" w:sz="4" w:space="0" w:color="auto"/>
              <w:right w:val="single" w:sz="4" w:space="0" w:color="auto"/>
            </w:tcBorders>
            <w:noWrap/>
            <w:vAlign w:val="bottom"/>
            <w:hideMark/>
          </w:tcPr>
          <w:p w14:paraId="5A3F1AF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41FA7290" w14:textId="77777777" w:rsidR="00DC00FF" w:rsidRDefault="00DC00FF">
            <w:pPr>
              <w:ind w:left="192" w:hanging="192"/>
              <w:rPr>
                <w:rFonts w:ascii="Avenir Next Regular" w:hAnsi="Avenir Next Regular" w:cs="Calibri"/>
                <w:color w:val="000000"/>
                <w:sz w:val="16"/>
                <w:szCs w:val="16"/>
              </w:rPr>
            </w:pPr>
            <w:r>
              <w:rPr>
                <w:color w:val="000000"/>
                <w:sz w:val="16"/>
                <w:szCs w:val="16"/>
              </w:rPr>
              <w:fldChar w:fldCharType="begin">
                <w:ffData>
                  <w:name w:val="IAP_cities"/>
                  <w:enabled/>
                  <w:calcOnExit w:val="0"/>
                  <w:checkBox>
                    <w:sizeAuto/>
                    <w:default w:val="0"/>
                  </w:checkBox>
                </w:ffData>
              </w:fldChar>
            </w:r>
            <w:r>
              <w:rPr>
                <w:color w:val="000000"/>
                <w:sz w:val="16"/>
                <w:szCs w:val="16"/>
              </w:rPr>
              <w:instrText xml:space="preserve"> FORMCHECKBOX </w:instrText>
            </w:r>
            <w:r w:rsidR="00F57A55">
              <w:rPr>
                <w:color w:val="000000"/>
                <w:sz w:val="16"/>
                <w:szCs w:val="16"/>
              </w:rPr>
            </w:r>
            <w:r w:rsidR="00F57A55">
              <w:rPr>
                <w:color w:val="000000"/>
                <w:sz w:val="16"/>
                <w:szCs w:val="16"/>
              </w:rPr>
              <w:fldChar w:fldCharType="separate"/>
            </w:r>
            <w:r>
              <w:rPr>
                <w:color w:val="000000"/>
                <w:sz w:val="16"/>
                <w:szCs w:val="16"/>
              </w:rPr>
              <w:fldChar w:fldCharType="end"/>
            </w:r>
            <w:r>
              <w:rPr>
                <w:rFonts w:ascii="Avenir Next Regular" w:hAnsi="Avenir Next Regular" w:cs="Calibri"/>
                <w:color w:val="000000"/>
                <w:sz w:val="16"/>
                <w:szCs w:val="16"/>
              </w:rPr>
              <w:t>Nationally Determined Contribution</w:t>
            </w:r>
          </w:p>
        </w:tc>
      </w:tr>
      <w:tr w:rsidR="00DC00FF" w14:paraId="339FF5A3"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527CFB72" w14:textId="77777777" w:rsidR="00DC00FF" w:rsidRDefault="00DC00FF">
            <w:pPr>
              <w:rPr>
                <w:rFonts w:ascii="Avenir Next Regular" w:hAnsi="Avenir Next Regular" w:cs="Calibri"/>
                <w:color w:val="000000"/>
                <w:sz w:val="16"/>
                <w:szCs w:val="16"/>
              </w:rPr>
            </w:pPr>
          </w:p>
        </w:tc>
        <w:tc>
          <w:tcPr>
            <w:tcW w:w="1136" w:type="pct"/>
            <w:tcBorders>
              <w:top w:val="nil"/>
              <w:left w:val="nil"/>
              <w:bottom w:val="single" w:sz="4" w:space="0" w:color="auto"/>
              <w:right w:val="single" w:sz="4" w:space="0" w:color="auto"/>
            </w:tcBorders>
            <w:noWrap/>
            <w:vAlign w:val="bottom"/>
            <w:hideMark/>
          </w:tcPr>
          <w:p w14:paraId="1FC72825" w14:textId="77777777" w:rsidR="00DC00FF" w:rsidRDefault="00DC00FF">
            <w:pPr>
              <w:rPr>
                <w:rFonts w:ascii="Avenir Next Regular" w:hAnsi="Avenir Next Regular" w:cs="Calibri"/>
                <w:b/>
                <w:bCs/>
                <w:color w:val="000000"/>
                <w:sz w:val="16"/>
                <w:szCs w:val="16"/>
              </w:rPr>
            </w:pPr>
            <w:r>
              <w:rPr>
                <w:rFonts w:ascii="Avenir Next Regular" w:hAnsi="Avenir Next Regular" w:cs="Calibri"/>
                <w:b/>
                <w:bCs/>
                <w:color w:val="000000"/>
                <w:sz w:val="16"/>
                <w:szCs w:val="16"/>
              </w:rPr>
              <w:fldChar w:fldCharType="begin">
                <w:ffData>
                  <w:name w:val=""/>
                  <w:enabled/>
                  <w:calcOnExit w:val="0"/>
                  <w:checkBox>
                    <w:sizeAuto/>
                    <w:default w:val="1"/>
                  </w:checkBox>
                </w:ffData>
              </w:fldChar>
            </w:r>
            <w:r>
              <w:rPr>
                <w:rFonts w:ascii="Avenir Next Regular" w:hAnsi="Avenir Next Regular" w:cs="Calibri"/>
                <w:b/>
                <w:bCs/>
                <w:color w:val="000000"/>
                <w:sz w:val="16"/>
                <w:szCs w:val="16"/>
              </w:rPr>
              <w:instrText xml:space="preserve"> FORMCHECKBOX </w:instrText>
            </w:r>
            <w:r w:rsidR="00F57A55">
              <w:rPr>
                <w:rFonts w:ascii="Avenir Next Regular" w:hAnsi="Avenir Next Regular" w:cs="Calibri"/>
                <w:b/>
                <w:bCs/>
                <w:color w:val="000000"/>
                <w:sz w:val="16"/>
                <w:szCs w:val="16"/>
              </w:rPr>
            </w:r>
            <w:r w:rsidR="00F57A55">
              <w:rPr>
                <w:rFonts w:ascii="Avenir Next Regular" w:hAnsi="Avenir Next Regular" w:cs="Calibri"/>
                <w:b/>
                <w:bCs/>
                <w:color w:val="000000"/>
                <w:sz w:val="16"/>
                <w:szCs w:val="16"/>
              </w:rPr>
              <w:fldChar w:fldCharType="separate"/>
            </w:r>
            <w:r>
              <w:rPr>
                <w:rFonts w:ascii="Avenir Next Regular" w:hAnsi="Avenir Next Regular" w:cs="Calibri"/>
                <w:b/>
                <w:bCs/>
                <w:color w:val="000000"/>
                <w:sz w:val="16"/>
                <w:szCs w:val="16"/>
              </w:rPr>
              <w:fldChar w:fldCharType="end"/>
            </w:r>
            <w:r>
              <w:rPr>
                <w:rFonts w:ascii="Avenir Next Regular" w:hAnsi="Avenir Next Regular" w:cs="Calibri"/>
                <w:b/>
                <w:bCs/>
                <w:color w:val="000000"/>
                <w:sz w:val="16"/>
                <w:szCs w:val="16"/>
              </w:rPr>
              <w:t xml:space="preserve"> Rio Markers</w:t>
            </w:r>
          </w:p>
        </w:tc>
        <w:tc>
          <w:tcPr>
            <w:tcW w:w="1463" w:type="pct"/>
            <w:tcBorders>
              <w:top w:val="nil"/>
              <w:left w:val="nil"/>
              <w:bottom w:val="single" w:sz="4" w:space="0" w:color="auto"/>
              <w:right w:val="single" w:sz="4" w:space="0" w:color="auto"/>
            </w:tcBorders>
            <w:noWrap/>
            <w:vAlign w:val="bottom"/>
            <w:hideMark/>
          </w:tcPr>
          <w:p w14:paraId="365BE43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t> </w:t>
            </w:r>
          </w:p>
        </w:tc>
        <w:tc>
          <w:tcPr>
            <w:tcW w:w="1413" w:type="pct"/>
            <w:tcBorders>
              <w:top w:val="nil"/>
              <w:left w:val="nil"/>
              <w:bottom w:val="single" w:sz="4" w:space="0" w:color="auto"/>
              <w:right w:val="single" w:sz="4" w:space="0" w:color="auto"/>
            </w:tcBorders>
            <w:hideMark/>
          </w:tcPr>
          <w:p w14:paraId="7E4EE479" w14:textId="77777777" w:rsidR="00DC00FF" w:rsidRDefault="00DC00FF">
            <w:pPr>
              <w:rPr>
                <w:rFonts w:ascii="Avenir Next Regular" w:hAnsi="Avenir Next Regular" w:cs="Calibri"/>
                <w:color w:val="000000"/>
                <w:sz w:val="16"/>
                <w:szCs w:val="16"/>
              </w:rPr>
            </w:pPr>
          </w:p>
        </w:tc>
      </w:tr>
      <w:tr w:rsidR="00DC00FF" w14:paraId="5F4B209D"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1A9F3579"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68D332D4"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0951E0FC"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fldChar w:fldCharType="begin">
                <w:ffData>
                  <w:name w:val="IAP_cities"/>
                  <w:enabled/>
                  <w:calcOnExit w:val="0"/>
                  <w:checkBox>
                    <w:sizeAuto/>
                    <w:default w:val="0"/>
                  </w:checkBox>
                </w:ffData>
              </w:fldChar>
            </w:r>
            <w:r>
              <w:rPr>
                <w:rFonts w:ascii="Avenir Next Regular" w:hAnsi="Avenir Next Regular" w:cs="Calibri"/>
                <w:color w:val="000000"/>
                <w:sz w:val="16"/>
                <w:szCs w:val="16"/>
              </w:rPr>
              <w:instrText xml:space="preserve"> FORMCHECKBOX </w:instrText>
            </w:r>
            <w:r w:rsidR="00F57A55">
              <w:rPr>
                <w:rFonts w:ascii="Avenir Next Regular" w:hAnsi="Avenir Next Regular" w:cs="Calibri"/>
                <w:color w:val="000000"/>
                <w:sz w:val="16"/>
                <w:szCs w:val="16"/>
              </w:rPr>
            </w:r>
            <w:r w:rsidR="00F57A55">
              <w:rPr>
                <w:rFonts w:ascii="Avenir Next Regular" w:hAnsi="Avenir Next Regular" w:cs="Calibri"/>
                <w:color w:val="000000"/>
                <w:sz w:val="16"/>
                <w:szCs w:val="16"/>
              </w:rPr>
              <w:fldChar w:fldCharType="separate"/>
            </w:r>
            <w:r>
              <w:rPr>
                <w:rFonts w:ascii="Avenir Next Regular" w:hAnsi="Avenir Next Regular" w:cs="Calibri"/>
                <w:color w:val="000000"/>
                <w:sz w:val="16"/>
                <w:szCs w:val="16"/>
              </w:rPr>
              <w:fldChar w:fldCharType="end"/>
            </w:r>
            <w:r>
              <w:rPr>
                <w:rFonts w:ascii="Avenir Next Regular" w:hAnsi="Avenir Next Regular" w:cs="Calibri"/>
                <w:color w:val="000000"/>
                <w:sz w:val="16"/>
                <w:szCs w:val="16"/>
              </w:rPr>
              <w:t>Paris Agreement</w:t>
            </w:r>
          </w:p>
        </w:tc>
        <w:tc>
          <w:tcPr>
            <w:tcW w:w="1413" w:type="pct"/>
            <w:tcBorders>
              <w:top w:val="nil"/>
              <w:left w:val="nil"/>
              <w:bottom w:val="single" w:sz="4" w:space="0" w:color="auto"/>
              <w:right w:val="single" w:sz="4" w:space="0" w:color="auto"/>
            </w:tcBorders>
            <w:hideMark/>
          </w:tcPr>
          <w:p w14:paraId="2530E197" w14:textId="77777777" w:rsidR="00DC00FF" w:rsidRDefault="00DC00FF">
            <w:pPr>
              <w:rPr>
                <w:rFonts w:ascii="Avenir Next Regular" w:hAnsi="Avenir Next Regular" w:cs="Calibri"/>
                <w:color w:val="000000"/>
                <w:sz w:val="16"/>
                <w:szCs w:val="16"/>
              </w:rPr>
            </w:pPr>
          </w:p>
        </w:tc>
      </w:tr>
      <w:tr w:rsidR="00DC00FF" w14:paraId="44D8BD9C"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602F212B"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0B184B50"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3E0DE3A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fldChar w:fldCharType="begin">
                <w:ffData>
                  <w:name w:val="IAP_cities"/>
                  <w:enabled/>
                  <w:calcOnExit w:val="0"/>
                  <w:checkBox>
                    <w:sizeAuto/>
                    <w:default w:val="0"/>
                  </w:checkBox>
                </w:ffData>
              </w:fldChar>
            </w:r>
            <w:r>
              <w:rPr>
                <w:rFonts w:ascii="Avenir Next Regular" w:hAnsi="Avenir Next Regular" w:cs="Calibri"/>
                <w:color w:val="000000"/>
                <w:sz w:val="16"/>
                <w:szCs w:val="16"/>
              </w:rPr>
              <w:instrText xml:space="preserve"> FORMCHECKBOX </w:instrText>
            </w:r>
            <w:r w:rsidR="00F57A55">
              <w:rPr>
                <w:rFonts w:ascii="Avenir Next Regular" w:hAnsi="Avenir Next Regular" w:cs="Calibri"/>
                <w:color w:val="000000"/>
                <w:sz w:val="16"/>
                <w:szCs w:val="16"/>
              </w:rPr>
            </w:r>
            <w:r w:rsidR="00F57A55">
              <w:rPr>
                <w:rFonts w:ascii="Avenir Next Regular" w:hAnsi="Avenir Next Regular" w:cs="Calibri"/>
                <w:color w:val="000000"/>
                <w:sz w:val="16"/>
                <w:szCs w:val="16"/>
              </w:rPr>
              <w:fldChar w:fldCharType="separate"/>
            </w:r>
            <w:r>
              <w:rPr>
                <w:rFonts w:ascii="Avenir Next Regular" w:hAnsi="Avenir Next Regular" w:cs="Calibri"/>
                <w:color w:val="000000"/>
                <w:sz w:val="16"/>
                <w:szCs w:val="16"/>
              </w:rPr>
              <w:fldChar w:fldCharType="end"/>
            </w:r>
            <w:r>
              <w:rPr>
                <w:rFonts w:ascii="Avenir Next Regular" w:hAnsi="Avenir Next Regular" w:cs="Calibri"/>
                <w:color w:val="000000"/>
                <w:sz w:val="16"/>
                <w:szCs w:val="16"/>
              </w:rPr>
              <w:t>Sustainable Development Goals</w:t>
            </w:r>
          </w:p>
        </w:tc>
        <w:tc>
          <w:tcPr>
            <w:tcW w:w="1413" w:type="pct"/>
            <w:tcBorders>
              <w:top w:val="nil"/>
              <w:left w:val="nil"/>
              <w:bottom w:val="single" w:sz="4" w:space="0" w:color="auto"/>
              <w:right w:val="single" w:sz="4" w:space="0" w:color="auto"/>
            </w:tcBorders>
            <w:hideMark/>
          </w:tcPr>
          <w:p w14:paraId="35E2475E" w14:textId="77777777" w:rsidR="00DC00FF" w:rsidRDefault="00DC00FF">
            <w:pPr>
              <w:rPr>
                <w:rFonts w:ascii="Avenir Next Regular" w:hAnsi="Avenir Next Regular" w:cs="Calibri"/>
                <w:color w:val="000000"/>
                <w:sz w:val="16"/>
                <w:szCs w:val="16"/>
              </w:rPr>
            </w:pPr>
          </w:p>
        </w:tc>
      </w:tr>
      <w:tr w:rsidR="00DC00FF" w14:paraId="7E46E2E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49EEE90E"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6D6FA0B0"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6E7481A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lang w:val="hr-HR"/>
              </w:rPr>
              <w:t xml:space="preserve">X  </w:t>
            </w:r>
            <w:r>
              <w:rPr>
                <w:rFonts w:ascii="Avenir Next Regular" w:hAnsi="Avenir Next Regular" w:cs="Calibri"/>
                <w:color w:val="000000"/>
                <w:sz w:val="16"/>
                <w:szCs w:val="16"/>
              </w:rPr>
              <w:t>Climate Change Mitigation 0</w:t>
            </w:r>
          </w:p>
        </w:tc>
        <w:tc>
          <w:tcPr>
            <w:tcW w:w="1413" w:type="pct"/>
            <w:tcBorders>
              <w:top w:val="nil"/>
              <w:left w:val="nil"/>
              <w:bottom w:val="single" w:sz="4" w:space="0" w:color="auto"/>
              <w:right w:val="single" w:sz="4" w:space="0" w:color="auto"/>
            </w:tcBorders>
            <w:hideMark/>
          </w:tcPr>
          <w:p w14:paraId="069E343E" w14:textId="77777777" w:rsidR="00DC00FF" w:rsidRDefault="00DC00FF">
            <w:pPr>
              <w:rPr>
                <w:rFonts w:ascii="Avenir Next Regular" w:hAnsi="Avenir Next Regular" w:cs="Calibri"/>
                <w:color w:val="000000"/>
                <w:sz w:val="16"/>
                <w:szCs w:val="16"/>
              </w:rPr>
            </w:pPr>
          </w:p>
        </w:tc>
      </w:tr>
      <w:tr w:rsidR="00DC00FF" w14:paraId="5C102E6F"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007B6A20"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19A2F5B7"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1BB927C7"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fldChar w:fldCharType="begin">
                <w:ffData>
                  <w:name w:val="IAP_cities"/>
                  <w:enabled/>
                  <w:calcOnExit w:val="0"/>
                  <w:checkBox>
                    <w:sizeAuto/>
                    <w:default w:val="0"/>
                  </w:checkBox>
                </w:ffData>
              </w:fldChar>
            </w:r>
            <w:r>
              <w:rPr>
                <w:rFonts w:ascii="Avenir Next Regular" w:hAnsi="Avenir Next Regular" w:cs="Calibri"/>
                <w:color w:val="000000"/>
                <w:sz w:val="16"/>
                <w:szCs w:val="16"/>
              </w:rPr>
              <w:instrText xml:space="preserve"> FORMCHECKBOX </w:instrText>
            </w:r>
            <w:r w:rsidR="00F57A55">
              <w:rPr>
                <w:rFonts w:ascii="Avenir Next Regular" w:hAnsi="Avenir Next Regular" w:cs="Calibri"/>
                <w:color w:val="000000"/>
                <w:sz w:val="16"/>
                <w:szCs w:val="16"/>
              </w:rPr>
            </w:r>
            <w:r w:rsidR="00F57A55">
              <w:rPr>
                <w:rFonts w:ascii="Avenir Next Regular" w:hAnsi="Avenir Next Regular" w:cs="Calibri"/>
                <w:color w:val="000000"/>
                <w:sz w:val="16"/>
                <w:szCs w:val="16"/>
              </w:rPr>
              <w:fldChar w:fldCharType="separate"/>
            </w:r>
            <w:r>
              <w:rPr>
                <w:rFonts w:ascii="Avenir Next Regular" w:hAnsi="Avenir Next Regular" w:cs="Calibri"/>
                <w:color w:val="000000"/>
                <w:sz w:val="16"/>
                <w:szCs w:val="16"/>
              </w:rPr>
              <w:fldChar w:fldCharType="end"/>
            </w:r>
            <w:r>
              <w:rPr>
                <w:rFonts w:ascii="Avenir Next Regular" w:hAnsi="Avenir Next Regular" w:cs="Calibri"/>
                <w:color w:val="000000"/>
                <w:sz w:val="16"/>
                <w:szCs w:val="16"/>
              </w:rPr>
              <w:t>Climate Change Mitigation 1</w:t>
            </w:r>
          </w:p>
        </w:tc>
        <w:tc>
          <w:tcPr>
            <w:tcW w:w="1413" w:type="pct"/>
            <w:tcBorders>
              <w:top w:val="nil"/>
              <w:left w:val="nil"/>
              <w:bottom w:val="single" w:sz="4" w:space="0" w:color="auto"/>
              <w:right w:val="single" w:sz="4" w:space="0" w:color="auto"/>
            </w:tcBorders>
            <w:hideMark/>
          </w:tcPr>
          <w:p w14:paraId="2937C869" w14:textId="77777777" w:rsidR="00DC00FF" w:rsidRDefault="00DC00FF">
            <w:pPr>
              <w:rPr>
                <w:rFonts w:ascii="Avenir Next Regular" w:hAnsi="Avenir Next Regular" w:cs="Calibri"/>
                <w:color w:val="000000"/>
                <w:sz w:val="16"/>
                <w:szCs w:val="16"/>
              </w:rPr>
            </w:pPr>
          </w:p>
        </w:tc>
      </w:tr>
      <w:tr w:rsidR="00DC00FF" w14:paraId="1282281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3D2490D"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65496F75"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4D45BF88"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fldChar w:fldCharType="begin">
                <w:ffData>
                  <w:name w:val="IAP_cities"/>
                  <w:enabled/>
                  <w:calcOnExit w:val="0"/>
                  <w:checkBox>
                    <w:sizeAuto/>
                    <w:default w:val="0"/>
                  </w:checkBox>
                </w:ffData>
              </w:fldChar>
            </w:r>
            <w:r>
              <w:rPr>
                <w:rFonts w:ascii="Avenir Next Regular" w:hAnsi="Avenir Next Regular" w:cs="Calibri"/>
                <w:color w:val="000000"/>
                <w:sz w:val="16"/>
                <w:szCs w:val="16"/>
              </w:rPr>
              <w:instrText xml:space="preserve"> FORMCHECKBOX </w:instrText>
            </w:r>
            <w:r w:rsidR="00F57A55">
              <w:rPr>
                <w:rFonts w:ascii="Avenir Next Regular" w:hAnsi="Avenir Next Regular" w:cs="Calibri"/>
                <w:color w:val="000000"/>
                <w:sz w:val="16"/>
                <w:szCs w:val="16"/>
              </w:rPr>
            </w:r>
            <w:r w:rsidR="00F57A55">
              <w:rPr>
                <w:rFonts w:ascii="Avenir Next Regular" w:hAnsi="Avenir Next Regular" w:cs="Calibri"/>
                <w:color w:val="000000"/>
                <w:sz w:val="16"/>
                <w:szCs w:val="16"/>
              </w:rPr>
              <w:fldChar w:fldCharType="separate"/>
            </w:r>
            <w:r>
              <w:rPr>
                <w:rFonts w:ascii="Avenir Next Regular" w:hAnsi="Avenir Next Regular" w:cs="Calibri"/>
                <w:color w:val="000000"/>
                <w:sz w:val="16"/>
                <w:szCs w:val="16"/>
              </w:rPr>
              <w:fldChar w:fldCharType="end"/>
            </w:r>
            <w:r>
              <w:rPr>
                <w:rFonts w:ascii="Avenir Next Regular" w:hAnsi="Avenir Next Regular" w:cs="Calibri"/>
                <w:color w:val="000000"/>
                <w:sz w:val="16"/>
                <w:szCs w:val="16"/>
              </w:rPr>
              <w:t>Climate Change Mitigation 2</w:t>
            </w:r>
          </w:p>
        </w:tc>
        <w:tc>
          <w:tcPr>
            <w:tcW w:w="1413" w:type="pct"/>
            <w:tcBorders>
              <w:top w:val="nil"/>
              <w:left w:val="nil"/>
              <w:bottom w:val="single" w:sz="4" w:space="0" w:color="auto"/>
              <w:right w:val="single" w:sz="4" w:space="0" w:color="auto"/>
            </w:tcBorders>
            <w:hideMark/>
          </w:tcPr>
          <w:p w14:paraId="07D1B10E" w14:textId="77777777" w:rsidR="00DC00FF" w:rsidRDefault="00DC00FF">
            <w:pPr>
              <w:rPr>
                <w:rFonts w:ascii="Avenir Next Regular" w:hAnsi="Avenir Next Regular" w:cs="Calibri"/>
                <w:color w:val="000000"/>
                <w:sz w:val="16"/>
                <w:szCs w:val="16"/>
              </w:rPr>
            </w:pPr>
          </w:p>
        </w:tc>
      </w:tr>
      <w:tr w:rsidR="00DC00FF" w14:paraId="57F2132A"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264921E6"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5EA62DB9"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283502C0"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lang w:val="hr-HR"/>
              </w:rPr>
              <w:t xml:space="preserve">X   </w:t>
            </w:r>
            <w:r>
              <w:rPr>
                <w:rFonts w:ascii="Avenir Next Regular" w:hAnsi="Avenir Next Regular" w:cs="Calibri"/>
                <w:color w:val="000000"/>
                <w:sz w:val="16"/>
                <w:szCs w:val="16"/>
              </w:rPr>
              <w:t>Climate Change Adaptation 0</w:t>
            </w:r>
          </w:p>
        </w:tc>
        <w:tc>
          <w:tcPr>
            <w:tcW w:w="1413" w:type="pct"/>
            <w:tcBorders>
              <w:top w:val="nil"/>
              <w:left w:val="nil"/>
              <w:bottom w:val="single" w:sz="4" w:space="0" w:color="auto"/>
              <w:right w:val="single" w:sz="4" w:space="0" w:color="auto"/>
            </w:tcBorders>
            <w:hideMark/>
          </w:tcPr>
          <w:p w14:paraId="14B752D9" w14:textId="77777777" w:rsidR="00DC00FF" w:rsidRDefault="00DC00FF">
            <w:pPr>
              <w:rPr>
                <w:rFonts w:ascii="Avenir Next Regular" w:hAnsi="Avenir Next Regular" w:cs="Calibri"/>
                <w:color w:val="000000"/>
                <w:sz w:val="16"/>
                <w:szCs w:val="16"/>
              </w:rPr>
            </w:pPr>
          </w:p>
        </w:tc>
      </w:tr>
      <w:tr w:rsidR="00DC00FF" w14:paraId="2139BDE0"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7CD62545"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3E60C14D"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20E47CEB"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fldChar w:fldCharType="begin">
                <w:ffData>
                  <w:name w:val="IAP_cities"/>
                  <w:enabled/>
                  <w:calcOnExit w:val="0"/>
                  <w:checkBox>
                    <w:sizeAuto/>
                    <w:default w:val="0"/>
                  </w:checkBox>
                </w:ffData>
              </w:fldChar>
            </w:r>
            <w:r>
              <w:rPr>
                <w:rFonts w:ascii="Avenir Next Regular" w:hAnsi="Avenir Next Regular" w:cs="Calibri"/>
                <w:color w:val="000000"/>
                <w:sz w:val="16"/>
                <w:szCs w:val="16"/>
              </w:rPr>
              <w:instrText xml:space="preserve"> FORMCHECKBOX </w:instrText>
            </w:r>
            <w:r w:rsidR="00F57A55">
              <w:rPr>
                <w:rFonts w:ascii="Avenir Next Regular" w:hAnsi="Avenir Next Regular" w:cs="Calibri"/>
                <w:color w:val="000000"/>
                <w:sz w:val="16"/>
                <w:szCs w:val="16"/>
              </w:rPr>
            </w:r>
            <w:r w:rsidR="00F57A55">
              <w:rPr>
                <w:rFonts w:ascii="Avenir Next Regular" w:hAnsi="Avenir Next Regular" w:cs="Calibri"/>
                <w:color w:val="000000"/>
                <w:sz w:val="16"/>
                <w:szCs w:val="16"/>
              </w:rPr>
              <w:fldChar w:fldCharType="separate"/>
            </w:r>
            <w:r>
              <w:rPr>
                <w:rFonts w:ascii="Avenir Next Regular" w:hAnsi="Avenir Next Regular" w:cs="Calibri"/>
                <w:color w:val="000000"/>
                <w:sz w:val="16"/>
                <w:szCs w:val="16"/>
              </w:rPr>
              <w:fldChar w:fldCharType="end"/>
            </w:r>
            <w:r>
              <w:rPr>
                <w:rFonts w:ascii="Avenir Next Regular" w:hAnsi="Avenir Next Regular" w:cs="Calibri"/>
                <w:color w:val="000000"/>
                <w:sz w:val="16"/>
                <w:szCs w:val="16"/>
              </w:rPr>
              <w:t>Climate Change Adaptation 1</w:t>
            </w:r>
          </w:p>
        </w:tc>
        <w:tc>
          <w:tcPr>
            <w:tcW w:w="1413" w:type="pct"/>
            <w:tcBorders>
              <w:top w:val="nil"/>
              <w:left w:val="nil"/>
              <w:bottom w:val="single" w:sz="4" w:space="0" w:color="auto"/>
              <w:right w:val="single" w:sz="4" w:space="0" w:color="auto"/>
            </w:tcBorders>
            <w:hideMark/>
          </w:tcPr>
          <w:p w14:paraId="789903F5" w14:textId="77777777" w:rsidR="00DC00FF" w:rsidRDefault="00DC00FF">
            <w:pPr>
              <w:rPr>
                <w:rFonts w:ascii="Avenir Next Regular" w:hAnsi="Avenir Next Regular" w:cs="Calibri"/>
                <w:color w:val="000000"/>
                <w:sz w:val="16"/>
                <w:szCs w:val="16"/>
              </w:rPr>
            </w:pPr>
          </w:p>
        </w:tc>
      </w:tr>
      <w:tr w:rsidR="00DC00FF" w14:paraId="0FE0A5D7"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F35F532"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140C4932"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3660C853" w14:textId="77777777" w:rsidR="00DC00FF" w:rsidRDefault="00DC00FF">
            <w:pPr>
              <w:rPr>
                <w:rFonts w:ascii="Avenir Next Regular" w:hAnsi="Avenir Next Regular" w:cs="Calibri"/>
                <w:color w:val="000000"/>
                <w:sz w:val="16"/>
                <w:szCs w:val="16"/>
              </w:rPr>
            </w:pPr>
            <w:r>
              <w:rPr>
                <w:rFonts w:ascii="Avenir Next Regular" w:hAnsi="Avenir Next Regular" w:cs="Calibri"/>
                <w:color w:val="000000"/>
                <w:sz w:val="16"/>
                <w:szCs w:val="16"/>
              </w:rPr>
              <w:fldChar w:fldCharType="begin">
                <w:ffData>
                  <w:name w:val="IAP_cities"/>
                  <w:enabled/>
                  <w:calcOnExit w:val="0"/>
                  <w:checkBox>
                    <w:sizeAuto/>
                    <w:default w:val="0"/>
                  </w:checkBox>
                </w:ffData>
              </w:fldChar>
            </w:r>
            <w:r>
              <w:rPr>
                <w:rFonts w:ascii="Avenir Next Regular" w:hAnsi="Avenir Next Regular" w:cs="Calibri"/>
                <w:color w:val="000000"/>
                <w:sz w:val="16"/>
                <w:szCs w:val="16"/>
              </w:rPr>
              <w:instrText xml:space="preserve"> FORMCHECKBOX </w:instrText>
            </w:r>
            <w:r w:rsidR="00F57A55">
              <w:rPr>
                <w:rFonts w:ascii="Avenir Next Regular" w:hAnsi="Avenir Next Regular" w:cs="Calibri"/>
                <w:color w:val="000000"/>
                <w:sz w:val="16"/>
                <w:szCs w:val="16"/>
              </w:rPr>
            </w:r>
            <w:r w:rsidR="00F57A55">
              <w:rPr>
                <w:rFonts w:ascii="Avenir Next Regular" w:hAnsi="Avenir Next Regular" w:cs="Calibri"/>
                <w:color w:val="000000"/>
                <w:sz w:val="16"/>
                <w:szCs w:val="16"/>
              </w:rPr>
              <w:fldChar w:fldCharType="separate"/>
            </w:r>
            <w:r>
              <w:rPr>
                <w:rFonts w:ascii="Avenir Next Regular" w:hAnsi="Avenir Next Regular" w:cs="Calibri"/>
                <w:color w:val="000000"/>
                <w:sz w:val="16"/>
                <w:szCs w:val="16"/>
              </w:rPr>
              <w:fldChar w:fldCharType="end"/>
            </w:r>
            <w:r>
              <w:rPr>
                <w:rFonts w:ascii="Avenir Next Regular" w:hAnsi="Avenir Next Regular" w:cs="Calibri"/>
                <w:color w:val="000000"/>
                <w:sz w:val="16"/>
                <w:szCs w:val="16"/>
              </w:rPr>
              <w:t>Climate Change Adaptation 2</w:t>
            </w:r>
          </w:p>
        </w:tc>
        <w:tc>
          <w:tcPr>
            <w:tcW w:w="1413" w:type="pct"/>
            <w:tcBorders>
              <w:top w:val="nil"/>
              <w:left w:val="nil"/>
              <w:bottom w:val="single" w:sz="4" w:space="0" w:color="auto"/>
              <w:right w:val="single" w:sz="4" w:space="0" w:color="auto"/>
            </w:tcBorders>
            <w:hideMark/>
          </w:tcPr>
          <w:p w14:paraId="39F1E4BB" w14:textId="77777777" w:rsidR="00DC00FF" w:rsidRDefault="00DC00FF">
            <w:pPr>
              <w:rPr>
                <w:rFonts w:ascii="Avenir Next Regular" w:hAnsi="Avenir Next Regular" w:cs="Calibri"/>
                <w:color w:val="000000"/>
                <w:sz w:val="16"/>
                <w:szCs w:val="16"/>
              </w:rPr>
            </w:pPr>
          </w:p>
        </w:tc>
      </w:tr>
      <w:tr w:rsidR="00DC00FF" w14:paraId="70AF2EB5" w14:textId="77777777" w:rsidTr="00DC00FF">
        <w:trPr>
          <w:trHeight w:val="58"/>
        </w:trPr>
        <w:tc>
          <w:tcPr>
            <w:tcW w:w="988" w:type="pct"/>
            <w:tcBorders>
              <w:top w:val="nil"/>
              <w:left w:val="single" w:sz="4" w:space="0" w:color="auto"/>
              <w:bottom w:val="single" w:sz="4" w:space="0" w:color="auto"/>
              <w:right w:val="single" w:sz="4" w:space="0" w:color="auto"/>
            </w:tcBorders>
            <w:noWrap/>
            <w:vAlign w:val="bottom"/>
            <w:hideMark/>
          </w:tcPr>
          <w:p w14:paraId="3846DCA8" w14:textId="77777777" w:rsidR="00DC00FF" w:rsidRDefault="00DC00FF">
            <w:pPr>
              <w:rPr>
                <w:rFonts w:ascii="Calibri" w:eastAsia="SimSun" w:hAnsi="Calibri" w:cs="Calibri"/>
                <w:sz w:val="20"/>
                <w:szCs w:val="20"/>
                <w:lang w:val="fr-FR" w:eastAsia="zh-CN"/>
              </w:rPr>
            </w:pPr>
          </w:p>
        </w:tc>
        <w:tc>
          <w:tcPr>
            <w:tcW w:w="1136" w:type="pct"/>
            <w:tcBorders>
              <w:top w:val="nil"/>
              <w:left w:val="nil"/>
              <w:bottom w:val="single" w:sz="4" w:space="0" w:color="auto"/>
              <w:right w:val="single" w:sz="4" w:space="0" w:color="auto"/>
            </w:tcBorders>
            <w:noWrap/>
            <w:vAlign w:val="bottom"/>
            <w:hideMark/>
          </w:tcPr>
          <w:p w14:paraId="118BF1AD" w14:textId="77777777" w:rsidR="00DC00FF" w:rsidRDefault="00DC00FF">
            <w:pPr>
              <w:rPr>
                <w:rFonts w:ascii="Calibri" w:eastAsia="SimSun" w:hAnsi="Calibri" w:cs="Calibri"/>
                <w:sz w:val="20"/>
                <w:szCs w:val="20"/>
                <w:lang w:val="fr-FR" w:eastAsia="zh-CN"/>
              </w:rPr>
            </w:pPr>
          </w:p>
        </w:tc>
        <w:tc>
          <w:tcPr>
            <w:tcW w:w="1463" w:type="pct"/>
            <w:tcBorders>
              <w:top w:val="nil"/>
              <w:left w:val="nil"/>
              <w:bottom w:val="single" w:sz="4" w:space="0" w:color="auto"/>
              <w:right w:val="single" w:sz="4" w:space="0" w:color="auto"/>
            </w:tcBorders>
            <w:noWrap/>
            <w:vAlign w:val="bottom"/>
            <w:hideMark/>
          </w:tcPr>
          <w:p w14:paraId="40C328C1" w14:textId="77777777" w:rsidR="00DC00FF" w:rsidRDefault="00DC00FF">
            <w:pPr>
              <w:rPr>
                <w:rFonts w:ascii="Calibri" w:eastAsia="SimSun" w:hAnsi="Calibri" w:cs="Calibri"/>
                <w:sz w:val="20"/>
                <w:szCs w:val="20"/>
                <w:lang w:val="fr-FR" w:eastAsia="zh-CN"/>
              </w:rPr>
            </w:pPr>
          </w:p>
        </w:tc>
        <w:tc>
          <w:tcPr>
            <w:tcW w:w="1413" w:type="pct"/>
            <w:tcBorders>
              <w:top w:val="nil"/>
              <w:left w:val="nil"/>
              <w:bottom w:val="single" w:sz="4" w:space="0" w:color="auto"/>
              <w:right w:val="single" w:sz="4" w:space="0" w:color="auto"/>
            </w:tcBorders>
            <w:hideMark/>
          </w:tcPr>
          <w:p w14:paraId="19FF42B7" w14:textId="77777777" w:rsidR="00DC00FF" w:rsidRDefault="00DC00FF">
            <w:pPr>
              <w:rPr>
                <w:rFonts w:ascii="Calibri" w:eastAsia="SimSun" w:hAnsi="Calibri" w:cs="Calibri"/>
                <w:sz w:val="20"/>
                <w:szCs w:val="20"/>
                <w:lang w:val="fr-FR" w:eastAsia="zh-CN"/>
              </w:rPr>
            </w:pPr>
          </w:p>
        </w:tc>
      </w:tr>
    </w:tbl>
    <w:p w14:paraId="100F1C5C" w14:textId="0361B47F" w:rsidR="00DC00FF" w:rsidRDefault="00DC00FF" w:rsidP="002B55C1">
      <w:pPr>
        <w:spacing w:after="160" w:line="259" w:lineRule="auto"/>
        <w:sectPr w:rsidR="00DC00FF" w:rsidSect="00DC00FF">
          <w:pgSz w:w="16838" w:h="11906" w:orient="landscape"/>
          <w:pgMar w:top="1440" w:right="1440" w:bottom="1440" w:left="1440" w:header="706" w:footer="706" w:gutter="0"/>
          <w:cols w:space="708"/>
          <w:docGrid w:linePitch="360"/>
        </w:sectPr>
      </w:pPr>
    </w:p>
    <w:p w14:paraId="23A3967A" w14:textId="5E616353" w:rsidR="002B55C1" w:rsidRDefault="002B55C1" w:rsidP="002B55C1">
      <w:pPr>
        <w:pStyle w:val="Heading2"/>
        <w:rPr>
          <w:rFonts w:asciiTheme="minorHAnsi" w:hAnsiTheme="minorHAnsi" w:cstheme="minorHAnsi"/>
          <w:b/>
          <w:bCs/>
          <w:color w:val="000000" w:themeColor="text1"/>
          <w:sz w:val="28"/>
          <w:szCs w:val="28"/>
        </w:rPr>
      </w:pPr>
      <w:bookmarkStart w:id="72" w:name="_Toc115094405"/>
      <w:r w:rsidRPr="002B55C1">
        <w:rPr>
          <w:rFonts w:asciiTheme="minorHAnsi" w:hAnsiTheme="minorHAnsi" w:cstheme="minorHAnsi"/>
          <w:b/>
          <w:bCs/>
          <w:color w:val="000000" w:themeColor="text1"/>
          <w:sz w:val="28"/>
          <w:szCs w:val="28"/>
        </w:rPr>
        <w:lastRenderedPageBreak/>
        <w:t>Annex 12: Co-financing letters</w:t>
      </w:r>
      <w:bookmarkEnd w:id="72"/>
    </w:p>
    <w:p w14:paraId="60518EFC" w14:textId="77777777" w:rsidR="00DC00FF" w:rsidRDefault="00DC00FF" w:rsidP="00DC00FF">
      <w:pPr>
        <w:rPr>
          <w:rFonts w:asciiTheme="minorHAnsi" w:hAnsiTheme="minorHAnsi"/>
          <w:color w:val="000000"/>
          <w:sz w:val="22"/>
          <w:szCs w:val="22"/>
        </w:rPr>
      </w:pPr>
      <w:r>
        <w:rPr>
          <w:rFonts w:asciiTheme="minorHAnsi" w:hAnsiTheme="minorHAnsi"/>
          <w:color w:val="000000"/>
          <w:sz w:val="22"/>
          <w:szCs w:val="22"/>
        </w:rPr>
        <w:t>The following co-financing letters were received:</w:t>
      </w:r>
    </w:p>
    <w:p w14:paraId="33E734D0" w14:textId="77777777" w:rsidR="00DC00FF" w:rsidRDefault="00DC00FF" w:rsidP="00DC00FF">
      <w:pPr>
        <w:rPr>
          <w:rFonts w:asciiTheme="minorHAnsi" w:hAnsiTheme="minorHAnsi"/>
          <w:color w:val="000000"/>
          <w:sz w:val="22"/>
          <w:szCs w:val="22"/>
        </w:rPr>
      </w:pPr>
    </w:p>
    <w:p w14:paraId="47E1CC2E" w14:textId="77777777" w:rsidR="00DC00FF" w:rsidRDefault="00DC00FF" w:rsidP="00506D71">
      <w:pPr>
        <w:pStyle w:val="ListParagraph"/>
        <w:numPr>
          <w:ilvl w:val="0"/>
          <w:numId w:val="105"/>
        </w:numPr>
        <w:contextualSpacing w:val="0"/>
        <w:rPr>
          <w:rFonts w:asciiTheme="minorHAnsi" w:hAnsiTheme="minorHAnsi" w:cstheme="minorHAnsi"/>
          <w:sz w:val="22"/>
          <w:szCs w:val="22"/>
        </w:rPr>
      </w:pPr>
      <w:r>
        <w:rPr>
          <w:rFonts w:asciiTheme="minorHAnsi" w:hAnsiTheme="minorHAnsi" w:cstheme="minorHAnsi"/>
          <w:sz w:val="22"/>
          <w:szCs w:val="22"/>
        </w:rPr>
        <w:t xml:space="preserve">United Nations Development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(UNDP)</w:t>
      </w:r>
    </w:p>
    <w:p w14:paraId="3C62D887" w14:textId="77777777" w:rsidR="00DC00FF" w:rsidRDefault="00F57A55" w:rsidP="00506D71">
      <w:pPr>
        <w:pStyle w:val="ListParagraph"/>
        <w:numPr>
          <w:ilvl w:val="0"/>
          <w:numId w:val="105"/>
        </w:numPr>
        <w:contextualSpacing w:val="0"/>
        <w:rPr>
          <w:rFonts w:asciiTheme="minorHAnsi" w:hAnsiTheme="minorHAnsi" w:cstheme="minorHAnsi"/>
          <w:sz w:val="22"/>
          <w:szCs w:val="22"/>
        </w:rPr>
      </w:pPr>
      <w:sdt>
        <w:sdtPr>
          <w:rPr>
            <w:sz w:val="22"/>
            <w:szCs w:val="22"/>
          </w:rPr>
          <w:tag w:val="goog_rdk_21"/>
          <w:id w:val="-202019785"/>
        </w:sdtPr>
        <w:sdtEndPr/>
        <w:sdtContent>
          <w:r w:rsidR="00DC00FF">
            <w:rPr>
              <w:rFonts w:asciiTheme="minorHAnsi" w:hAnsiTheme="minorHAnsi" w:cstheme="minorHAnsi"/>
              <w:sz w:val="22"/>
              <w:szCs w:val="22"/>
            </w:rPr>
            <w:t xml:space="preserve">United Nations Environment </w:t>
          </w:r>
          <w:proofErr w:type="spellStart"/>
          <w:r w:rsidR="00DC00FF">
            <w:rPr>
              <w:rFonts w:asciiTheme="minorHAnsi" w:hAnsiTheme="minorHAnsi" w:cstheme="minorHAnsi"/>
              <w:sz w:val="22"/>
              <w:szCs w:val="22"/>
            </w:rPr>
            <w:t>Programme</w:t>
          </w:r>
          <w:proofErr w:type="spellEnd"/>
          <w:r w:rsidR="00DC00FF">
            <w:rPr>
              <w:rFonts w:asciiTheme="minorHAnsi" w:hAnsiTheme="minorHAnsi" w:cstheme="minorHAnsi"/>
              <w:sz w:val="22"/>
              <w:szCs w:val="22"/>
            </w:rPr>
            <w:t xml:space="preserve"> (UNEP)</w:t>
          </w:r>
        </w:sdtContent>
      </w:sdt>
    </w:p>
    <w:p w14:paraId="37198863" w14:textId="77777777" w:rsidR="00DC00FF" w:rsidRDefault="00DC00FF" w:rsidP="00506D71">
      <w:pPr>
        <w:pStyle w:val="ListParagraph"/>
        <w:numPr>
          <w:ilvl w:val="0"/>
          <w:numId w:val="105"/>
        </w:numPr>
        <w:contextualSpacing w:val="0"/>
        <w:rPr>
          <w:rFonts w:asciiTheme="minorHAnsi" w:hAnsiTheme="minorHAnsi" w:cstheme="minorHAnsi"/>
          <w:sz w:val="22"/>
          <w:szCs w:val="22"/>
        </w:rPr>
      </w:pPr>
      <w:r>
        <w:rPr>
          <w:rFonts w:asciiTheme="minorHAnsi" w:hAnsiTheme="minorHAnsi" w:cstheme="minorHAnsi"/>
          <w:color w:val="000000"/>
          <w:sz w:val="22"/>
          <w:szCs w:val="22"/>
        </w:rPr>
        <w:t>Intergovernmental Oceanographic Commission (IOC) of UNESCO</w:t>
      </w:r>
    </w:p>
    <w:sdt>
      <w:sdtPr>
        <w:rPr>
          <w:sz w:val="22"/>
          <w:szCs w:val="22"/>
        </w:rPr>
        <w:tag w:val="goog_rdk_25"/>
        <w:id w:val="-1941834266"/>
      </w:sdtPr>
      <w:sdtEndPr/>
      <w:sdtContent>
        <w:p w14:paraId="69921388" w14:textId="77777777" w:rsidR="00DC00FF" w:rsidRDefault="00DC00FF" w:rsidP="00506D71">
          <w:pPr>
            <w:pStyle w:val="ListParagraph"/>
            <w:numPr>
              <w:ilvl w:val="0"/>
              <w:numId w:val="105"/>
            </w:numPr>
            <w:contextualSpacing w:val="0"/>
            <w:rPr>
              <w:rFonts w:asciiTheme="minorHAnsi" w:hAnsiTheme="minorHAnsi" w:cstheme="minorHAnsi"/>
              <w:color w:val="000000"/>
              <w:sz w:val="22"/>
              <w:szCs w:val="22"/>
            </w:rPr>
          </w:pPr>
          <w:r>
            <w:rPr>
              <w:rFonts w:asciiTheme="minorHAnsi" w:hAnsiTheme="minorHAnsi" w:cstheme="minorHAnsi"/>
              <w:color w:val="000000"/>
              <w:sz w:val="22"/>
              <w:szCs w:val="22"/>
            </w:rPr>
            <w:t>CAP-NET</w:t>
          </w:r>
        </w:p>
      </w:sdtContent>
    </w:sdt>
    <w:p w14:paraId="240432E2"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38"/>
          <w:id w:val="-732005040"/>
        </w:sdtPr>
        <w:sdtEndPr/>
        <w:sdtContent>
          <w:sdt>
            <w:sdtPr>
              <w:rPr>
                <w:sz w:val="22"/>
                <w:szCs w:val="22"/>
              </w:rPr>
              <w:tag w:val="goog_rdk_37"/>
              <w:id w:val="-1069963268"/>
            </w:sdtPr>
            <w:sdtEndPr/>
            <w:sdtContent>
              <w:r w:rsidR="00DC00FF">
                <w:rPr>
                  <w:rFonts w:asciiTheme="minorHAnsi" w:hAnsiTheme="minorHAnsi" w:cstheme="minorHAnsi"/>
                  <w:color w:val="000000"/>
                  <w:sz w:val="22"/>
                  <w:szCs w:val="22"/>
                </w:rPr>
                <w:t>United Nations Economic Commission for Europe (UNECE)</w:t>
              </w:r>
            </w:sdtContent>
          </w:sdt>
        </w:sdtContent>
      </w:sdt>
    </w:p>
    <w:p w14:paraId="5020BFD9"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51"/>
          <w:id w:val="-534959659"/>
        </w:sdtPr>
        <w:sdtEndPr/>
        <w:sdtContent>
          <w:sdt>
            <w:sdtPr>
              <w:rPr>
                <w:sz w:val="22"/>
                <w:szCs w:val="22"/>
              </w:rPr>
              <w:tag w:val="goog_rdk_50"/>
              <w:id w:val="743144077"/>
            </w:sdtPr>
            <w:sdtEndPr/>
            <w:sdtContent>
              <w:r w:rsidR="00DC00FF">
                <w:rPr>
                  <w:rFonts w:asciiTheme="minorHAnsi" w:hAnsiTheme="minorHAnsi" w:cstheme="minorHAnsi"/>
                  <w:color w:val="000000"/>
                  <w:sz w:val="22"/>
                  <w:szCs w:val="22"/>
                </w:rPr>
                <w:t>Inter-American Development Bank (IDB)</w:t>
              </w:r>
            </w:sdtContent>
          </w:sdt>
        </w:sdtContent>
      </w:sdt>
    </w:p>
    <w:p w14:paraId="136CC712"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64"/>
          <w:id w:val="-1076367308"/>
        </w:sdtPr>
        <w:sdtEndPr/>
        <w:sdtContent>
          <w:sdt>
            <w:sdtPr>
              <w:rPr>
                <w:sz w:val="22"/>
                <w:szCs w:val="22"/>
              </w:rPr>
              <w:tag w:val="goog_rdk_63"/>
              <w:id w:val="1590429399"/>
            </w:sdtPr>
            <w:sdtEndPr/>
            <w:sdtContent>
              <w:r w:rsidR="00DC00FF">
                <w:rPr>
                  <w:rFonts w:asciiTheme="minorHAnsi" w:hAnsiTheme="minorHAnsi" w:cstheme="minorHAnsi"/>
                  <w:color w:val="000000"/>
                  <w:sz w:val="22"/>
                  <w:szCs w:val="22"/>
                </w:rPr>
                <w:t>UNEP Danish Hydraulics Institute (THI)</w:t>
              </w:r>
            </w:sdtContent>
          </w:sdt>
        </w:sdtContent>
      </w:sdt>
    </w:p>
    <w:p w14:paraId="4F1DABD8"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77"/>
          <w:id w:val="-1289969424"/>
        </w:sdtPr>
        <w:sdtEndPr/>
        <w:sdtContent>
          <w:sdt>
            <w:sdtPr>
              <w:rPr>
                <w:sz w:val="22"/>
                <w:szCs w:val="22"/>
              </w:rPr>
              <w:tag w:val="goog_rdk_76"/>
              <w:id w:val="2088724691"/>
            </w:sdtPr>
            <w:sdtEndPr/>
            <w:sdtContent>
              <w:r w:rsidR="00DC00FF">
                <w:rPr>
                  <w:rFonts w:asciiTheme="minorHAnsi" w:hAnsiTheme="minorHAnsi" w:cstheme="minorHAnsi"/>
                  <w:color w:val="000000"/>
                  <w:sz w:val="22"/>
                  <w:szCs w:val="22"/>
                </w:rPr>
                <w:t xml:space="preserve">International Union for the Conservation of Nature Global Marine and Polar </w:t>
              </w:r>
              <w:proofErr w:type="spellStart"/>
              <w:r w:rsidR="00DC00FF">
                <w:rPr>
                  <w:rFonts w:asciiTheme="minorHAnsi" w:hAnsiTheme="minorHAnsi" w:cstheme="minorHAnsi"/>
                  <w:color w:val="000000"/>
                  <w:sz w:val="22"/>
                  <w:szCs w:val="22"/>
                </w:rPr>
                <w:t>Programme</w:t>
              </w:r>
              <w:proofErr w:type="spellEnd"/>
              <w:r w:rsidR="00DC00FF">
                <w:rPr>
                  <w:rFonts w:asciiTheme="minorHAnsi" w:hAnsiTheme="minorHAnsi" w:cstheme="minorHAnsi"/>
                  <w:color w:val="000000"/>
                  <w:sz w:val="22"/>
                  <w:szCs w:val="22"/>
                </w:rPr>
                <w:t xml:space="preserve"> (IUCN GMPP)</w:t>
              </w:r>
            </w:sdtContent>
          </w:sdt>
        </w:sdtContent>
      </w:sdt>
    </w:p>
    <w:p w14:paraId="4056610C" w14:textId="77777777" w:rsidR="00DC00FF" w:rsidRDefault="00DC00FF" w:rsidP="00506D71">
      <w:pPr>
        <w:pStyle w:val="ListParagraph"/>
        <w:numPr>
          <w:ilvl w:val="0"/>
          <w:numId w:val="105"/>
        </w:numPr>
        <w:contextualSpacing w:val="0"/>
        <w:rPr>
          <w:rFonts w:asciiTheme="minorHAnsi" w:hAnsiTheme="minorHAnsi" w:cstheme="minorHAnsi"/>
          <w:sz w:val="22"/>
          <w:szCs w:val="22"/>
        </w:rPr>
      </w:pPr>
      <w:r>
        <w:rPr>
          <w:rFonts w:asciiTheme="minorHAnsi" w:hAnsiTheme="minorHAnsi" w:cstheme="minorHAnsi"/>
          <w:sz w:val="22"/>
          <w:szCs w:val="22"/>
        </w:rPr>
        <w:t>International Commission for the Protection of the Danube River (ICPDR)</w:t>
      </w:r>
    </w:p>
    <w:p w14:paraId="4CD5F28F" w14:textId="77777777" w:rsidR="00DC00FF" w:rsidRDefault="00DC00FF" w:rsidP="00506D71">
      <w:pPr>
        <w:pStyle w:val="ListParagraph"/>
        <w:numPr>
          <w:ilvl w:val="0"/>
          <w:numId w:val="105"/>
        </w:numPr>
        <w:contextualSpacing w:val="0"/>
        <w:rPr>
          <w:rFonts w:asciiTheme="minorHAnsi" w:hAnsiTheme="minorHAnsi" w:cstheme="minorHAnsi"/>
          <w:sz w:val="22"/>
          <w:szCs w:val="22"/>
        </w:rPr>
      </w:pPr>
      <w:r>
        <w:rPr>
          <w:rFonts w:asciiTheme="minorHAnsi" w:hAnsiTheme="minorHAnsi" w:cstheme="minorHAnsi"/>
          <w:sz w:val="22"/>
          <w:szCs w:val="22"/>
        </w:rPr>
        <w:t>The World Bank</w:t>
      </w:r>
    </w:p>
    <w:p w14:paraId="46C732B0"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90"/>
          <w:id w:val="-1377924627"/>
        </w:sdtPr>
        <w:sdtEndPr/>
        <w:sdtContent>
          <w:sdt>
            <w:sdtPr>
              <w:rPr>
                <w:sz w:val="22"/>
                <w:szCs w:val="22"/>
              </w:rPr>
              <w:tag w:val="goog_rdk_89"/>
              <w:id w:val="-1547753127"/>
            </w:sdtPr>
            <w:sdtEndPr/>
            <w:sdtContent>
              <w:proofErr w:type="spellStart"/>
              <w:r w:rsidR="00DC00FF">
                <w:rPr>
                  <w:rFonts w:asciiTheme="minorHAnsi" w:hAnsiTheme="minorHAnsi" w:cstheme="minorHAnsi"/>
                  <w:sz w:val="22"/>
                  <w:szCs w:val="22"/>
                </w:rPr>
                <w:t>Organisation</w:t>
              </w:r>
              <w:proofErr w:type="spellEnd"/>
              <w:r w:rsidR="00DC00FF">
                <w:rPr>
                  <w:rFonts w:asciiTheme="minorHAnsi" w:hAnsiTheme="minorHAnsi" w:cstheme="minorHAnsi"/>
                  <w:sz w:val="22"/>
                  <w:szCs w:val="22"/>
                </w:rPr>
                <w:t xml:space="preserve"> of the American States (</w:t>
              </w:r>
              <w:r w:rsidR="00DC00FF">
                <w:rPr>
                  <w:rFonts w:asciiTheme="minorHAnsi" w:hAnsiTheme="minorHAnsi" w:cstheme="minorHAnsi"/>
                  <w:color w:val="000000"/>
                  <w:sz w:val="22"/>
                  <w:szCs w:val="22"/>
                </w:rPr>
                <w:t>OAS)</w:t>
              </w:r>
            </w:sdtContent>
          </w:sdt>
        </w:sdtContent>
      </w:sdt>
    </w:p>
    <w:p w14:paraId="62F06280"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103"/>
          <w:id w:val="-1899437671"/>
        </w:sdtPr>
        <w:sdtEndPr/>
        <w:sdtContent>
          <w:sdt>
            <w:sdtPr>
              <w:rPr>
                <w:sz w:val="22"/>
                <w:szCs w:val="22"/>
              </w:rPr>
              <w:tag w:val="goog_rdk_102"/>
              <w:id w:val="295345525"/>
            </w:sdtPr>
            <w:sdtEndPr/>
            <w:sdtContent>
              <w:r w:rsidR="00DC00FF">
                <w:rPr>
                  <w:rFonts w:asciiTheme="minorHAnsi" w:hAnsiTheme="minorHAnsi" w:cstheme="minorHAnsi"/>
                  <w:sz w:val="22"/>
                  <w:szCs w:val="22"/>
                </w:rPr>
                <w:t>The Nature Conservancy (</w:t>
              </w:r>
              <w:r w:rsidR="00DC00FF">
                <w:rPr>
                  <w:rFonts w:asciiTheme="minorHAnsi" w:hAnsiTheme="minorHAnsi" w:cstheme="minorHAnsi"/>
                  <w:color w:val="000000"/>
                  <w:sz w:val="22"/>
                  <w:szCs w:val="22"/>
                </w:rPr>
                <w:t>TNC)</w:t>
              </w:r>
            </w:sdtContent>
          </w:sdt>
        </w:sdtContent>
      </w:sdt>
    </w:p>
    <w:p w14:paraId="3AFFBD2A"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116"/>
          <w:id w:val="-232236037"/>
        </w:sdtPr>
        <w:sdtEndPr/>
        <w:sdtContent>
          <w:sdt>
            <w:sdtPr>
              <w:rPr>
                <w:sz w:val="22"/>
                <w:szCs w:val="22"/>
              </w:rPr>
              <w:tag w:val="goog_rdk_115"/>
              <w:id w:val="-209810243"/>
            </w:sdtPr>
            <w:sdtEndPr/>
            <w:sdtContent>
              <w:r w:rsidR="00DC00FF">
                <w:rPr>
                  <w:rFonts w:asciiTheme="minorHAnsi" w:hAnsiTheme="minorHAnsi" w:cstheme="minorHAnsi"/>
                  <w:sz w:val="22"/>
                  <w:szCs w:val="22"/>
                </w:rPr>
                <w:t>United Nations Conference on Trade and Development (</w:t>
              </w:r>
              <w:r w:rsidR="00DC00FF">
                <w:rPr>
                  <w:rFonts w:asciiTheme="minorHAnsi" w:hAnsiTheme="minorHAnsi" w:cstheme="minorHAnsi"/>
                  <w:color w:val="000000"/>
                  <w:sz w:val="22"/>
                  <w:szCs w:val="22"/>
                </w:rPr>
                <w:t>UNCTAD)</w:t>
              </w:r>
            </w:sdtContent>
          </w:sdt>
        </w:sdtContent>
      </w:sdt>
    </w:p>
    <w:p w14:paraId="0008C6FC"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129"/>
          <w:id w:val="2110693866"/>
        </w:sdtPr>
        <w:sdtEndPr/>
        <w:sdtContent>
          <w:sdt>
            <w:sdtPr>
              <w:rPr>
                <w:sz w:val="22"/>
                <w:szCs w:val="22"/>
              </w:rPr>
              <w:tag w:val="goog_rdk_128"/>
              <w:id w:val="-199705678"/>
            </w:sdtPr>
            <w:sdtEndPr/>
            <w:sdtContent>
              <w:r w:rsidR="00DC00FF">
                <w:rPr>
                  <w:rFonts w:asciiTheme="minorHAnsi" w:hAnsiTheme="minorHAnsi" w:cstheme="minorHAnsi"/>
                  <w:color w:val="000000"/>
                  <w:sz w:val="22"/>
                  <w:szCs w:val="22"/>
                </w:rPr>
                <w:t xml:space="preserve">GRID </w:t>
              </w:r>
              <w:proofErr w:type="spellStart"/>
              <w:r w:rsidR="00DC00FF">
                <w:rPr>
                  <w:rFonts w:asciiTheme="minorHAnsi" w:hAnsiTheme="minorHAnsi" w:cstheme="minorHAnsi"/>
                  <w:color w:val="000000"/>
                  <w:sz w:val="22"/>
                  <w:szCs w:val="22"/>
                </w:rPr>
                <w:t>Arendal</w:t>
              </w:r>
              <w:proofErr w:type="spellEnd"/>
            </w:sdtContent>
          </w:sdt>
        </w:sdtContent>
      </w:sdt>
    </w:p>
    <w:p w14:paraId="6BC6530A"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142"/>
          <w:id w:val="74172219"/>
        </w:sdtPr>
        <w:sdtEndPr/>
        <w:sdtContent>
          <w:sdt>
            <w:sdtPr>
              <w:rPr>
                <w:sz w:val="22"/>
                <w:szCs w:val="22"/>
              </w:rPr>
              <w:tag w:val="goog_rdk_141"/>
              <w:id w:val="-1951769730"/>
            </w:sdtPr>
            <w:sdtEndPr/>
            <w:sdtContent>
              <w:r w:rsidR="00DC00FF">
                <w:rPr>
                  <w:rFonts w:asciiTheme="minorHAnsi" w:hAnsiTheme="minorHAnsi" w:cstheme="minorHAnsi"/>
                  <w:color w:val="000000"/>
                  <w:sz w:val="22"/>
                  <w:szCs w:val="22"/>
                </w:rPr>
                <w:t>REV Ocean</w:t>
              </w:r>
            </w:sdtContent>
          </w:sdt>
        </w:sdtContent>
      </w:sdt>
    </w:p>
    <w:p w14:paraId="326C87E4" w14:textId="77777777" w:rsidR="00DC00FF" w:rsidRDefault="00F57A55" w:rsidP="00506D71">
      <w:pPr>
        <w:pStyle w:val="ListParagraph"/>
        <w:numPr>
          <w:ilvl w:val="0"/>
          <w:numId w:val="105"/>
        </w:numPr>
        <w:contextualSpacing w:val="0"/>
        <w:rPr>
          <w:rFonts w:asciiTheme="minorHAnsi" w:hAnsiTheme="minorHAnsi" w:cstheme="minorHAnsi"/>
          <w:color w:val="000000"/>
          <w:sz w:val="22"/>
          <w:szCs w:val="22"/>
        </w:rPr>
      </w:pPr>
      <w:sdt>
        <w:sdtPr>
          <w:rPr>
            <w:sz w:val="22"/>
            <w:szCs w:val="22"/>
          </w:rPr>
          <w:tag w:val="goog_rdk_155"/>
          <w:id w:val="1517577325"/>
        </w:sdtPr>
        <w:sdtEndPr/>
        <w:sdtContent>
          <w:sdt>
            <w:sdtPr>
              <w:rPr>
                <w:sz w:val="22"/>
                <w:szCs w:val="22"/>
              </w:rPr>
              <w:tag w:val="goog_rdk_154"/>
              <w:id w:val="266119467"/>
            </w:sdtPr>
            <w:sdtEndPr/>
            <w:sdtContent>
              <w:r w:rsidR="00DC00FF">
                <w:rPr>
                  <w:rFonts w:asciiTheme="minorHAnsi" w:hAnsiTheme="minorHAnsi" w:cstheme="minorHAnsi"/>
                  <w:sz w:val="22"/>
                  <w:szCs w:val="22"/>
                </w:rPr>
                <w:t xml:space="preserve">Intergovernmental Hydrological </w:t>
              </w:r>
              <w:proofErr w:type="spellStart"/>
              <w:r w:rsidR="00DC00FF">
                <w:rPr>
                  <w:rFonts w:asciiTheme="minorHAnsi" w:hAnsiTheme="minorHAnsi" w:cstheme="minorHAnsi"/>
                  <w:sz w:val="22"/>
                  <w:szCs w:val="22"/>
                </w:rPr>
                <w:t>Programme</w:t>
              </w:r>
              <w:proofErr w:type="spellEnd"/>
              <w:r w:rsidR="00DC00FF">
                <w:rPr>
                  <w:rFonts w:asciiTheme="minorHAnsi" w:hAnsiTheme="minorHAnsi" w:cstheme="minorHAnsi"/>
                  <w:sz w:val="22"/>
                  <w:szCs w:val="22"/>
                </w:rPr>
                <w:t xml:space="preserve"> (</w:t>
              </w:r>
              <w:r w:rsidR="00DC00FF">
                <w:rPr>
                  <w:rFonts w:asciiTheme="minorHAnsi" w:hAnsiTheme="minorHAnsi" w:cstheme="minorHAnsi"/>
                  <w:color w:val="000000"/>
                  <w:sz w:val="22"/>
                  <w:szCs w:val="22"/>
                </w:rPr>
                <w:t>IHP) of UNESCO</w:t>
              </w:r>
            </w:sdtContent>
          </w:sdt>
        </w:sdtContent>
      </w:sdt>
    </w:p>
    <w:p w14:paraId="08A6149E" w14:textId="77777777" w:rsidR="00DC00FF" w:rsidRDefault="00DC00FF" w:rsidP="00506D71">
      <w:pPr>
        <w:pStyle w:val="ListParagraph"/>
        <w:numPr>
          <w:ilvl w:val="0"/>
          <w:numId w:val="105"/>
        </w:numPr>
        <w:contextualSpacing w:val="0"/>
        <w:rPr>
          <w:rFonts w:asciiTheme="minorHAnsi" w:hAnsiTheme="minorHAnsi" w:cstheme="minorHAnsi"/>
          <w:sz w:val="22"/>
          <w:szCs w:val="22"/>
        </w:rPr>
      </w:pPr>
      <w:r>
        <w:rPr>
          <w:rFonts w:asciiTheme="minorHAnsi" w:hAnsiTheme="minorHAnsi" w:cstheme="minorHAnsi"/>
          <w:sz w:val="22"/>
          <w:szCs w:val="22"/>
        </w:rPr>
        <w:t>World Wildlife Fund United States (WWF-US)</w:t>
      </w:r>
    </w:p>
    <w:p w14:paraId="66719C41" w14:textId="77777777" w:rsidR="00DC00FF" w:rsidRDefault="00DC00FF" w:rsidP="00506D71">
      <w:pPr>
        <w:pStyle w:val="ListParagraph"/>
        <w:numPr>
          <w:ilvl w:val="0"/>
          <w:numId w:val="105"/>
        </w:numPr>
        <w:contextualSpacing w:val="0"/>
        <w:rPr>
          <w:rFonts w:asciiTheme="minorHAnsi" w:hAnsiTheme="minorHAnsi" w:cstheme="minorHAnsi"/>
          <w:sz w:val="22"/>
          <w:szCs w:val="22"/>
          <w:lang w:val="hr-HR"/>
        </w:rPr>
      </w:pPr>
      <w:r>
        <w:rPr>
          <w:rFonts w:asciiTheme="minorHAnsi" w:hAnsiTheme="minorHAnsi" w:cstheme="minorHAnsi"/>
          <w:sz w:val="22"/>
          <w:szCs w:val="22"/>
          <w:lang w:val="hr-HR"/>
        </w:rPr>
        <w:t xml:space="preserve">University </w:t>
      </w:r>
      <w:r>
        <w:rPr>
          <w:rFonts w:asciiTheme="minorHAnsi" w:hAnsiTheme="minorHAnsi" w:cstheme="minorHAnsi"/>
          <w:sz w:val="22"/>
          <w:szCs w:val="22"/>
          <w:lang w:val="en-GB"/>
        </w:rPr>
        <w:t>of New South Wales (UNSW</w:t>
      </w:r>
      <w:r>
        <w:rPr>
          <w:rFonts w:asciiTheme="minorHAnsi" w:hAnsiTheme="minorHAnsi" w:cstheme="minorHAnsi"/>
          <w:sz w:val="22"/>
          <w:szCs w:val="22"/>
          <w:lang w:val="hr-HR"/>
        </w:rPr>
        <w:t>) Global Water Institute (GWI)</w:t>
      </w:r>
    </w:p>
    <w:p w14:paraId="2F8465EC" w14:textId="77777777" w:rsidR="00DC00FF" w:rsidRDefault="00DC00FF" w:rsidP="00DC00FF">
      <w:pPr>
        <w:rPr>
          <w:rFonts w:asciiTheme="minorHAnsi" w:hAnsiTheme="minorHAnsi" w:cstheme="minorHAnsi"/>
          <w:sz w:val="22"/>
          <w:szCs w:val="22"/>
          <w:lang w:val="hr-HR"/>
        </w:rPr>
      </w:pPr>
    </w:p>
    <w:p w14:paraId="0546CF54" w14:textId="77777777" w:rsidR="00DC00FF" w:rsidRDefault="00DC00FF" w:rsidP="00DC00FF">
      <w:pPr>
        <w:rPr>
          <w:rFonts w:asciiTheme="minorHAnsi" w:hAnsiTheme="minorHAnsi" w:cstheme="minorHAnsi"/>
          <w:sz w:val="22"/>
          <w:szCs w:val="22"/>
          <w:lang w:val="en-GB"/>
        </w:rPr>
      </w:pPr>
      <w:r>
        <w:rPr>
          <w:rFonts w:asciiTheme="minorHAnsi" w:hAnsiTheme="minorHAnsi" w:cstheme="minorHAnsi"/>
          <w:sz w:val="22"/>
          <w:szCs w:val="22"/>
          <w:lang w:val="en-GB"/>
        </w:rPr>
        <w:t>The above letters are provided separately.</w:t>
      </w:r>
    </w:p>
    <w:p w14:paraId="088C6CA9" w14:textId="77777777" w:rsidR="00DC00FF" w:rsidRDefault="00DC00FF" w:rsidP="00DC00FF">
      <w:pPr>
        <w:rPr>
          <w:rFonts w:asciiTheme="minorHAnsi" w:hAnsiTheme="minorHAnsi"/>
          <w:color w:val="000000"/>
          <w:sz w:val="22"/>
          <w:szCs w:val="22"/>
        </w:rPr>
      </w:pPr>
    </w:p>
    <w:p w14:paraId="0E314A24" w14:textId="77777777" w:rsidR="00DC00FF" w:rsidRDefault="00DC00FF" w:rsidP="00DC00FF">
      <w:pPr>
        <w:rPr>
          <w:rFonts w:asciiTheme="minorHAnsi" w:hAnsiTheme="minorHAnsi"/>
          <w:color w:val="000000"/>
          <w:sz w:val="22"/>
          <w:szCs w:val="22"/>
        </w:rPr>
      </w:pPr>
    </w:p>
    <w:p w14:paraId="592C482F" w14:textId="77777777" w:rsidR="00DC00FF" w:rsidRPr="00DC00FF" w:rsidRDefault="00DC00FF" w:rsidP="00DC00FF"/>
    <w:sectPr w:rsidR="00DC00FF" w:rsidRPr="00DC00FF" w:rsidSect="004B362B">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4405A" w14:textId="77777777" w:rsidR="00F57A55" w:rsidRDefault="00F57A55" w:rsidP="0060142C">
      <w:r>
        <w:separator/>
      </w:r>
    </w:p>
  </w:endnote>
  <w:endnote w:type="continuationSeparator" w:id="0">
    <w:p w14:paraId="145515A2" w14:textId="77777777" w:rsidR="00F57A55" w:rsidRDefault="00F57A55" w:rsidP="0060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Adobe Garamond Pro">
    <w:panose1 w:val="00000000000000000000"/>
    <w:charset w:val="00"/>
    <w:family w:val="roman"/>
    <w:notTrueType/>
    <w:pitch w:val="variable"/>
    <w:sig w:usb0="800000AF" w:usb1="5000205B" w:usb2="00000000" w:usb3="00000000" w:csb0="0000009B"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Avenir Nex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5A1A" w14:textId="77777777" w:rsidR="00CF263F" w:rsidRPr="00CF263F" w:rsidRDefault="00CF263F" w:rsidP="00CF263F">
    <w:pPr>
      <w:pStyle w:val="Footer"/>
      <w:pBdr>
        <w:top w:val="single" w:sz="4" w:space="1" w:color="D9D9D9"/>
      </w:pBdr>
      <w:tabs>
        <w:tab w:val="left" w:pos="345"/>
        <w:tab w:val="right" w:pos="9360"/>
      </w:tabs>
      <w:jc w:val="right"/>
      <w:rPr>
        <w:rFonts w:asciiTheme="minorHAnsi" w:hAnsiTheme="minorHAnsi" w:cstheme="minorHAnsi"/>
        <w:sz w:val="18"/>
        <w:szCs w:val="18"/>
        <w:lang w:eastAsia="en-US"/>
      </w:rPr>
    </w:pPr>
    <w:r>
      <w:rPr>
        <w:sz w:val="18"/>
        <w:szCs w:val="18"/>
      </w:rPr>
      <w:tab/>
    </w:r>
    <w:r>
      <w:rPr>
        <w:sz w:val="18"/>
        <w:szCs w:val="18"/>
      </w:rPr>
      <w:tab/>
    </w:r>
    <w:r>
      <w:rPr>
        <w:sz w:val="18"/>
        <w:szCs w:val="18"/>
      </w:rPr>
      <w:tab/>
    </w:r>
    <w:r>
      <w:rPr>
        <w:sz w:val="18"/>
        <w:szCs w:val="18"/>
      </w:rPr>
      <w:tab/>
    </w:r>
    <w:r w:rsidRPr="00CF263F">
      <w:rPr>
        <w:rFonts w:asciiTheme="minorHAnsi" w:hAnsiTheme="minorHAnsi" w:cstheme="minorHAnsi"/>
        <w:sz w:val="18"/>
        <w:szCs w:val="18"/>
      </w:rPr>
      <w:fldChar w:fldCharType="begin"/>
    </w:r>
    <w:r w:rsidRPr="00CF263F">
      <w:rPr>
        <w:rFonts w:asciiTheme="minorHAnsi" w:hAnsiTheme="minorHAnsi" w:cstheme="minorHAnsi"/>
        <w:sz w:val="18"/>
        <w:szCs w:val="18"/>
      </w:rPr>
      <w:instrText xml:space="preserve"> PAGE   \* MERGEFORMAT </w:instrText>
    </w:r>
    <w:r w:rsidRPr="00CF263F">
      <w:rPr>
        <w:rFonts w:asciiTheme="minorHAnsi" w:hAnsiTheme="minorHAnsi" w:cstheme="minorHAnsi"/>
        <w:sz w:val="18"/>
        <w:szCs w:val="18"/>
      </w:rPr>
      <w:fldChar w:fldCharType="separate"/>
    </w:r>
    <w:r w:rsidRPr="00CF263F">
      <w:rPr>
        <w:rFonts w:asciiTheme="minorHAnsi" w:hAnsiTheme="minorHAnsi" w:cstheme="minorHAnsi"/>
        <w:sz w:val="18"/>
        <w:szCs w:val="18"/>
      </w:rPr>
      <w:t>1</w:t>
    </w:r>
    <w:r w:rsidRPr="00CF263F">
      <w:rPr>
        <w:rFonts w:asciiTheme="minorHAnsi" w:hAnsiTheme="minorHAnsi" w:cstheme="minorHAnsi"/>
        <w:noProof/>
        <w:sz w:val="18"/>
        <w:szCs w:val="18"/>
      </w:rPr>
      <w:fldChar w:fldCharType="end"/>
    </w:r>
    <w:r w:rsidRPr="00CF263F">
      <w:rPr>
        <w:rFonts w:asciiTheme="minorHAnsi" w:hAnsiTheme="minorHAnsi" w:cstheme="minorHAnsi"/>
        <w:sz w:val="18"/>
        <w:szCs w:val="18"/>
      </w:rPr>
      <w:t xml:space="preserve"> | </w:t>
    </w:r>
    <w:r w:rsidRPr="00CF263F">
      <w:rPr>
        <w:rFonts w:asciiTheme="minorHAnsi" w:hAnsiTheme="minorHAnsi" w:cstheme="minorHAnsi"/>
        <w:color w:val="7F7F7F"/>
        <w:spacing w:val="60"/>
        <w:sz w:val="18"/>
        <w:szCs w:val="18"/>
      </w:rPr>
      <w:t>Page</w:t>
    </w:r>
  </w:p>
  <w:p w14:paraId="5EEF57CF" w14:textId="77777777" w:rsidR="00CF263F" w:rsidRDefault="00CF263F" w:rsidP="00CF263F">
    <w:pPr>
      <w:pStyle w:val="Footer"/>
      <w:rPr>
        <w:sz w:val="20"/>
      </w:rPr>
    </w:pPr>
  </w:p>
  <w:p w14:paraId="604053FB" w14:textId="77777777" w:rsidR="00CF263F" w:rsidRDefault="00CF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3F7A" w14:textId="77777777" w:rsidR="00F57A55" w:rsidRDefault="00F57A55" w:rsidP="0060142C">
      <w:r>
        <w:separator/>
      </w:r>
    </w:p>
  </w:footnote>
  <w:footnote w:type="continuationSeparator" w:id="0">
    <w:p w14:paraId="7FAF3152" w14:textId="77777777" w:rsidR="00F57A55" w:rsidRDefault="00F57A55" w:rsidP="0060142C">
      <w:r>
        <w:continuationSeparator/>
      </w:r>
    </w:p>
  </w:footnote>
  <w:footnote w:id="1">
    <w:sdt>
      <w:sdtPr>
        <w:rPr>
          <w:rFonts w:asciiTheme="minorHAnsi" w:hAnsiTheme="minorHAnsi" w:cstheme="minorHAnsi"/>
          <w:sz w:val="18"/>
          <w:szCs w:val="18"/>
        </w:rPr>
        <w:tag w:val="goog_rdk_1414"/>
        <w:id w:val="584810611"/>
      </w:sdtPr>
      <w:sdtEndPr/>
      <w:sdtContent>
        <w:p w14:paraId="058A14F5" w14:textId="77777777" w:rsidR="001F3D4A" w:rsidRDefault="001F3D4A" w:rsidP="001F3D4A">
          <w:pPr>
            <w:rPr>
              <w:rFonts w:asciiTheme="minorHAnsi" w:hAnsiTheme="minorHAnsi" w:cstheme="minorHAnsi"/>
              <w:sz w:val="18"/>
              <w:szCs w:val="18"/>
            </w:rPr>
          </w:pPr>
          <w:r>
            <w:rPr>
              <w:rStyle w:val="FootnoteReference"/>
              <w:rFonts w:asciiTheme="minorHAnsi" w:hAnsiTheme="minorHAnsi" w:cstheme="minorHAnsi"/>
              <w:szCs w:val="18"/>
            </w:rPr>
            <w:footnoteRef/>
          </w:r>
          <w:sdt>
            <w:sdtPr>
              <w:rPr>
                <w:rFonts w:asciiTheme="minorHAnsi" w:hAnsiTheme="minorHAnsi" w:cstheme="minorHAnsi"/>
                <w:sz w:val="18"/>
                <w:szCs w:val="18"/>
              </w:rPr>
              <w:tag w:val="goog_rdk_1413"/>
              <w:id w:val="466782375"/>
            </w:sdtPr>
            <w:sdtEndPr/>
            <w:sdtContent>
              <w:r>
                <w:rPr>
                  <w:rFonts w:asciiTheme="minorHAnsi" w:hAnsiTheme="minorHAnsi" w:cstheme="minorHAnsi"/>
                  <w:sz w:val="18"/>
                  <w:szCs w:val="18"/>
                </w:rPr>
                <w:t xml:space="preserve"> One of the </w:t>
              </w:r>
              <w:proofErr w:type="gramStart"/>
              <w:r>
                <w:rPr>
                  <w:rFonts w:asciiTheme="minorHAnsi" w:hAnsiTheme="minorHAnsi" w:cstheme="minorHAnsi"/>
                  <w:sz w:val="18"/>
                  <w:szCs w:val="18"/>
                </w:rPr>
                <w:t>IW:LEARN</w:t>
              </w:r>
              <w:proofErr w:type="gramEnd"/>
              <w:r>
                <w:rPr>
                  <w:rFonts w:asciiTheme="minorHAnsi" w:hAnsiTheme="minorHAnsi" w:cstheme="minorHAnsi"/>
                  <w:sz w:val="18"/>
                  <w:szCs w:val="18"/>
                </w:rPr>
                <w:t xml:space="preserve"> website solutions, the Website Toolkit, is a complete website package hosted by IW:LEARN that enables projects and partners alike to publish a website at no cost and with little or no IT background using a content management system.</w:t>
              </w:r>
            </w:sdtContent>
          </w:sdt>
        </w:p>
      </w:sdtContent>
    </w:sdt>
  </w:footnote>
  <w:footnote w:id="2">
    <w:sdt>
      <w:sdtPr>
        <w:rPr>
          <w:rFonts w:asciiTheme="minorHAnsi" w:hAnsiTheme="minorHAnsi" w:cstheme="minorHAnsi"/>
          <w:sz w:val="18"/>
          <w:szCs w:val="18"/>
        </w:rPr>
        <w:tag w:val="goog_rdk_1420"/>
        <w:id w:val="-1048839417"/>
      </w:sdtPr>
      <w:sdtEndPr/>
      <w:sdtContent>
        <w:p w14:paraId="368A5900" w14:textId="77777777" w:rsidR="00055FC7" w:rsidRDefault="00055FC7" w:rsidP="00055FC7">
          <w:pPr>
            <w:widowControl w:val="0"/>
            <w:rPr>
              <w:rFonts w:asciiTheme="minorHAnsi" w:hAnsiTheme="minorHAnsi" w:cstheme="minorHAnsi"/>
              <w:color w:val="000000"/>
              <w:sz w:val="18"/>
              <w:szCs w:val="18"/>
            </w:rPr>
          </w:pPr>
          <w:r>
            <w:rPr>
              <w:rStyle w:val="FootnoteReference"/>
              <w:rFonts w:asciiTheme="minorHAnsi" w:hAnsiTheme="minorHAnsi" w:cstheme="minorHAnsi"/>
              <w:szCs w:val="18"/>
            </w:rPr>
            <w:footnoteRef/>
          </w:r>
          <w:sdt>
            <w:sdtPr>
              <w:rPr>
                <w:rFonts w:asciiTheme="minorHAnsi" w:hAnsiTheme="minorHAnsi" w:cstheme="minorHAnsi"/>
                <w:sz w:val="18"/>
                <w:szCs w:val="18"/>
              </w:rPr>
              <w:tag w:val="goog_rdk_1419"/>
              <w:id w:val="-1319114062"/>
            </w:sdtPr>
            <w:sdtEndPr/>
            <w:sdtContent>
              <w:r>
                <w:rPr>
                  <w:rFonts w:asciiTheme="minorHAnsi" w:hAnsiTheme="minorHAnsi" w:cstheme="minorHAnsi"/>
                  <w:color w:val="000000"/>
                  <w:sz w:val="18"/>
                  <w:szCs w:val="18"/>
                </w:rPr>
                <w:t xml:space="preserve"> In technology, front end refers to the presentation layer or elements and aspects facing the user while back end refers to the data access layer of a software, or the physical infrastructure or hardware. (Wikipedia, 08 June 2020)</w:t>
              </w:r>
            </w:sdtContent>
          </w:sdt>
        </w:p>
      </w:sdtContent>
    </w:sdt>
  </w:footnote>
  <w:footnote w:id="3">
    <w:sdt>
      <w:sdtPr>
        <w:tag w:val="goog_rdk_1428"/>
        <w:id w:val="1288392612"/>
      </w:sdtPr>
      <w:sdtEndPr/>
      <w:sdtContent>
        <w:p w14:paraId="73E8E377" w14:textId="77777777" w:rsidR="008112AA" w:rsidRDefault="008112AA" w:rsidP="008112AA">
          <w:pPr>
            <w:rPr>
              <w:color w:val="000000"/>
              <w:sz w:val="16"/>
              <w:szCs w:val="16"/>
            </w:rPr>
          </w:pPr>
          <w:r>
            <w:rPr>
              <w:rStyle w:val="FootnoteReference"/>
            </w:rPr>
            <w:footnoteRef/>
          </w:r>
          <w:sdt>
            <w:sdtPr>
              <w:tag w:val="goog_rdk_1427"/>
              <w:id w:val="-1566335417"/>
            </w:sdtPr>
            <w:sdtEndPr/>
            <w:sdtContent>
              <w:r>
                <w:rPr>
                  <w:color w:val="000000"/>
                  <w:sz w:val="16"/>
                  <w:szCs w:val="16"/>
                </w:rPr>
                <w:t xml:space="preserve"> </w:t>
              </w:r>
              <w:r>
                <w:rPr>
                  <w:rFonts w:asciiTheme="minorHAnsi" w:hAnsiTheme="minorHAnsi" w:cstheme="minorHAnsi"/>
                  <w:color w:val="000000"/>
                  <w:sz w:val="18"/>
                  <w:szCs w:val="18"/>
                </w:rPr>
                <w:t>An application programming interface (API), in simple term, allows a website server to connect to another website server and perform a specific service and in many cases delivered in a specific format. For example, a mapping API can enable geospatial data from an external website to render as a map in iwlearn.net</w:t>
              </w:r>
              <w:r>
                <w:rPr>
                  <w:rFonts w:asciiTheme="minorHAnsi" w:hAnsiTheme="minorHAnsi" w:cstheme="minorHAnsi"/>
                  <w:sz w:val="18"/>
                  <w:szCs w:val="18"/>
                </w:rPr>
                <w:t xml:space="preserve"> while a feed provides a notification to </w:t>
              </w:r>
              <w:proofErr w:type="gramStart"/>
              <w:r>
                <w:rPr>
                  <w:rFonts w:asciiTheme="minorHAnsi" w:hAnsiTheme="minorHAnsi" w:cstheme="minorHAnsi"/>
                  <w:sz w:val="18"/>
                  <w:szCs w:val="18"/>
                </w:rPr>
                <w:t>anyone</w:t>
              </w:r>
              <w:proofErr w:type="gramEnd"/>
              <w:r>
                <w:rPr>
                  <w:rFonts w:asciiTheme="minorHAnsi" w:hAnsiTheme="minorHAnsi" w:cstheme="minorHAnsi"/>
                  <w:sz w:val="18"/>
                  <w:szCs w:val="18"/>
                </w:rPr>
                <w:t xml:space="preserve"> or any server subscribed about new uploads.</w:t>
              </w:r>
              <w:r>
                <w:rPr>
                  <w:sz w:val="16"/>
                  <w:szCs w:val="16"/>
                </w:rPr>
                <w:t xml:space="preserve"> </w:t>
              </w:r>
            </w:sdtContent>
          </w:sdt>
        </w:p>
      </w:sdtContent>
    </w:sdt>
  </w:footnote>
  <w:footnote w:id="4">
    <w:sdt>
      <w:sdtPr>
        <w:rPr>
          <w:rFonts w:asciiTheme="minorHAnsi" w:hAnsiTheme="minorHAnsi" w:cstheme="minorHAnsi"/>
        </w:rPr>
        <w:tag w:val="goog_rdk_1434"/>
        <w:id w:val="418919358"/>
      </w:sdtPr>
      <w:sdtEndPr/>
      <w:sdtContent>
        <w:p w14:paraId="17072B8C" w14:textId="77777777" w:rsidR="00212C79" w:rsidRDefault="00212C79" w:rsidP="00212C79">
          <w:pPr>
            <w:rPr>
              <w:rFonts w:asciiTheme="minorHAnsi" w:hAnsiTheme="minorHAnsi" w:cstheme="minorHAnsi"/>
            </w:rPr>
          </w:pPr>
          <w:r>
            <w:rPr>
              <w:rStyle w:val="FootnoteReference"/>
              <w:rFonts w:asciiTheme="minorHAnsi" w:hAnsiTheme="minorHAnsi" w:cstheme="minorHAnsi"/>
            </w:rPr>
            <w:footnoteRef/>
          </w:r>
          <w:sdt>
            <w:sdtPr>
              <w:rPr>
                <w:rFonts w:asciiTheme="minorHAnsi" w:hAnsiTheme="minorHAnsi" w:cstheme="minorHAnsi"/>
              </w:rPr>
              <w:tag w:val="goog_rdk_1433"/>
              <w:id w:val="1446352827"/>
            </w:sdtPr>
            <w:sdtEndPr/>
            <w:sdtContent>
              <w:r>
                <w:rPr>
                  <w:rFonts w:asciiTheme="minorHAnsi" w:hAnsiTheme="minorHAnsi" w:cstheme="minorHAnsi"/>
                </w:rPr>
                <w:t xml:space="preserve"> </w:t>
              </w:r>
              <w:r>
                <w:rPr>
                  <w:rFonts w:asciiTheme="minorHAnsi" w:hAnsiTheme="minorHAnsi" w:cstheme="minorHAnsi"/>
                  <w:sz w:val="18"/>
                  <w:szCs w:val="18"/>
                </w:rPr>
                <w:t xml:space="preserve">MENARID GEF: </w:t>
              </w:r>
              <w:proofErr w:type="gramStart"/>
              <w:r>
                <w:rPr>
                  <w:rFonts w:asciiTheme="minorHAnsi" w:hAnsiTheme="minorHAnsi" w:cstheme="minorHAnsi"/>
                  <w:sz w:val="18"/>
                  <w:szCs w:val="18"/>
                </w:rPr>
                <w:t>IW:LEARN</w:t>
              </w:r>
              <w:proofErr w:type="gramEnd"/>
              <w:r>
                <w:rPr>
                  <w:rFonts w:asciiTheme="minorHAnsi" w:hAnsiTheme="minorHAnsi" w:cstheme="minorHAnsi"/>
                  <w:sz w:val="18"/>
                  <w:szCs w:val="18"/>
                </w:rPr>
                <w:t xml:space="preserve"> III Strengthening Portfolio Delivery and Impact TERMINAL EVALUATION. </w:t>
              </w:r>
              <w:hyperlink r:id="rId1" w:history="1">
                <w:r>
                  <w:rPr>
                    <w:rStyle w:val="Hyperlink"/>
                    <w:rFonts w:asciiTheme="minorHAnsi" w:hAnsiTheme="minorHAnsi" w:cstheme="minorHAnsi"/>
                    <w:color w:val="000000"/>
                    <w:sz w:val="18"/>
                    <w:szCs w:val="18"/>
                  </w:rPr>
                  <w:t>https://www.thegef.org/sites/default/files/project_documents/3900_4219_2014_TE_UNEP_UNDP_GLOBAL_IW_MSP_%2520IWLEARN.pdf</w:t>
                </w:r>
              </w:hyperlink>
              <w:r>
                <w:rPr>
                  <w:rFonts w:asciiTheme="minorHAnsi" w:hAnsiTheme="minorHAnsi" w:cstheme="minorHAnsi"/>
                  <w:color w:val="000000"/>
                </w:rPr>
                <w:t xml:space="preserve"> </w:t>
              </w:r>
            </w:sdtContent>
          </w:sdt>
        </w:p>
      </w:sdtContent>
    </w:sdt>
  </w:footnote>
  <w:footnote w:id="5">
    <w:p w14:paraId="65E71A3A" w14:textId="77777777" w:rsidR="00F56ED1" w:rsidRDefault="00F56ED1" w:rsidP="00F56ED1">
      <w:pPr>
        <w:rPr>
          <w:color w:val="000000"/>
          <w:sz w:val="18"/>
          <w:szCs w:val="18"/>
        </w:rPr>
      </w:pPr>
      <w:r>
        <w:rPr>
          <w:rStyle w:val="FootnoteReference"/>
        </w:rPr>
        <w:footnoteRef/>
      </w:r>
      <w:r>
        <w:rPr>
          <w:color w:val="000000"/>
          <w:sz w:val="18"/>
          <w:szCs w:val="18"/>
        </w:rPr>
        <w:t xml:space="preserve"> </w:t>
      </w:r>
      <w:hyperlink r:id="rId2" w:history="1">
        <w:r>
          <w:rPr>
            <w:rStyle w:val="Hyperlink"/>
            <w:rFonts w:asciiTheme="minorHAnsi" w:hAnsiTheme="minorHAnsi" w:cstheme="minorHAnsi"/>
            <w:sz w:val="18"/>
            <w:szCs w:val="18"/>
          </w:rPr>
          <w:t>https://www.un.org/esa/sustdev/sids/sidslist.htm</w:t>
        </w:r>
      </w:hyperlink>
      <w:r>
        <w:rPr>
          <w:color w:val="000000"/>
          <w:sz w:val="18"/>
          <w:szCs w:val="18"/>
        </w:rPr>
        <w:t xml:space="preserve"> </w:t>
      </w:r>
    </w:p>
  </w:footnote>
  <w:footnote w:id="6">
    <w:p w14:paraId="7DED2827" w14:textId="77777777" w:rsidR="00F56ED1" w:rsidRDefault="00F56ED1" w:rsidP="00F56ED1">
      <w:pPr>
        <w:rPr>
          <w:rFonts w:asciiTheme="minorHAnsi" w:hAnsiTheme="minorHAnsi" w:cstheme="minorHAnsi"/>
          <w:color w:val="000000"/>
          <w:sz w:val="18"/>
          <w:szCs w:val="18"/>
        </w:rPr>
      </w:pPr>
      <w:r>
        <w:rPr>
          <w:rStyle w:val="FootnoteReference"/>
        </w:rPr>
        <w:footnoteRef/>
      </w:r>
      <w:r>
        <w:rPr>
          <w:color w:val="000000"/>
          <w:sz w:val="18"/>
          <w:szCs w:val="18"/>
        </w:rPr>
        <w:t xml:space="preserve"> </w:t>
      </w:r>
      <w:hyperlink r:id="rId3" w:history="1">
        <w:r>
          <w:rPr>
            <w:rStyle w:val="Hyperlink"/>
            <w:rFonts w:asciiTheme="minorHAnsi" w:hAnsiTheme="minorHAnsi" w:cstheme="minorHAnsi"/>
            <w:sz w:val="18"/>
            <w:szCs w:val="18"/>
          </w:rPr>
          <w:t>https://sidsdock.org</w:t>
        </w:r>
      </w:hyperlink>
    </w:p>
  </w:footnote>
  <w:footnote w:id="7">
    <w:p w14:paraId="0E2A5090" w14:textId="77777777" w:rsidR="00F56ED1" w:rsidRDefault="00F56ED1" w:rsidP="00F56ED1">
      <w:pPr>
        <w:rPr>
          <w:color w:val="000000"/>
          <w:sz w:val="22"/>
          <w:szCs w:val="22"/>
        </w:rPr>
      </w:pPr>
      <w:r>
        <w:rPr>
          <w:rStyle w:val="FootnoteReference"/>
          <w:rFonts w:asciiTheme="minorHAnsi" w:hAnsiTheme="minorHAnsi" w:cstheme="minorHAnsi"/>
        </w:rPr>
        <w:footnoteRef/>
      </w:r>
      <w:r>
        <w:rPr>
          <w:rFonts w:asciiTheme="minorHAnsi" w:hAnsiTheme="minorHAnsi" w:cstheme="minorHAnsi"/>
          <w:color w:val="000000"/>
          <w:sz w:val="18"/>
          <w:szCs w:val="18"/>
        </w:rPr>
        <w:t xml:space="preserve"> </w:t>
      </w:r>
      <w:hyperlink r:id="rId4" w:history="1">
        <w:r>
          <w:rPr>
            <w:rStyle w:val="Hyperlink"/>
            <w:rFonts w:asciiTheme="minorHAnsi" w:hAnsiTheme="minorHAnsi" w:cstheme="minorHAnsi"/>
            <w:sz w:val="18"/>
            <w:szCs w:val="18"/>
          </w:rPr>
          <w:t>https://sidspartnerships.un.org</w:t>
        </w:r>
      </w:hyperlink>
    </w:p>
  </w:footnote>
  <w:footnote w:id="8">
    <w:p w14:paraId="5AA8433A" w14:textId="77777777" w:rsidR="00031496" w:rsidRDefault="00031496" w:rsidP="00031496">
      <w:pPr>
        <w:rPr>
          <w:rFonts w:asciiTheme="minorHAnsi" w:hAnsiTheme="minorHAnsi"/>
          <w:color w:val="000000"/>
          <w:sz w:val="18"/>
          <w:szCs w:val="18"/>
        </w:rPr>
      </w:pPr>
      <w:r>
        <w:rPr>
          <w:rStyle w:val="FootnoteReference"/>
        </w:rPr>
        <w:footnoteRef/>
      </w:r>
      <w:r>
        <w:rPr>
          <w:color w:val="000000"/>
          <w:sz w:val="22"/>
          <w:szCs w:val="22"/>
        </w:rPr>
        <w:t xml:space="preserve"> </w:t>
      </w:r>
      <w:r>
        <w:rPr>
          <w:rFonts w:asciiTheme="minorHAnsi" w:hAnsiTheme="minorHAnsi"/>
          <w:color w:val="000000"/>
          <w:sz w:val="18"/>
          <w:szCs w:val="18"/>
        </w:rPr>
        <w:t>http://mamiwataproject.org</w:t>
      </w:r>
    </w:p>
  </w:footnote>
  <w:footnote w:id="9">
    <w:p w14:paraId="0427EE6D" w14:textId="77777777" w:rsidR="00031496" w:rsidRDefault="00031496" w:rsidP="00031496">
      <w:pPr>
        <w:rPr>
          <w:color w:val="000000"/>
          <w:sz w:val="22"/>
          <w:szCs w:val="22"/>
        </w:rPr>
      </w:pPr>
      <w:r>
        <w:rPr>
          <w:rStyle w:val="FootnoteReference"/>
          <w:rFonts w:asciiTheme="minorHAnsi" w:hAnsiTheme="minorHAnsi"/>
        </w:rPr>
        <w:footnoteRef/>
      </w:r>
      <w:r>
        <w:rPr>
          <w:rFonts w:asciiTheme="minorHAnsi" w:hAnsiTheme="minorHAnsi"/>
          <w:color w:val="000000"/>
          <w:sz w:val="22"/>
          <w:szCs w:val="22"/>
        </w:rPr>
        <w:t xml:space="preserve"> </w:t>
      </w:r>
      <w:r>
        <w:rPr>
          <w:rFonts w:asciiTheme="minorHAnsi" w:hAnsiTheme="minorHAnsi"/>
          <w:color w:val="000000"/>
          <w:sz w:val="18"/>
          <w:szCs w:val="18"/>
        </w:rPr>
        <w:t>https://www.thegef.org/project/implementation-ecosystem-approach-adriatic-sea-through-marine-spatial-planning</w:t>
      </w:r>
    </w:p>
  </w:footnote>
  <w:footnote w:id="10">
    <w:p w14:paraId="30D23542" w14:textId="77777777" w:rsidR="00031496" w:rsidRDefault="00031496" w:rsidP="00031496">
      <w:pPr>
        <w:rPr>
          <w:color w:val="000000"/>
          <w:sz w:val="18"/>
          <w:szCs w:val="18"/>
        </w:rPr>
      </w:pPr>
      <w:r>
        <w:rPr>
          <w:rStyle w:val="FootnoteReference"/>
        </w:rPr>
        <w:footnoteRef/>
      </w:r>
      <w:r>
        <w:rPr>
          <w:color w:val="000000"/>
          <w:sz w:val="22"/>
          <w:szCs w:val="22"/>
        </w:rPr>
        <w:t xml:space="preserve"> </w:t>
      </w:r>
      <w:r>
        <w:rPr>
          <w:rFonts w:asciiTheme="minorHAnsi" w:hAnsiTheme="minorHAnsi"/>
          <w:color w:val="000000"/>
          <w:sz w:val="18"/>
          <w:szCs w:val="18"/>
        </w:rPr>
        <w:t>https://www.gbif.org/tool/81349/marxan-conservation-planning-software</w:t>
      </w:r>
    </w:p>
  </w:footnote>
  <w:footnote w:id="11">
    <w:p w14:paraId="2B5CE749" w14:textId="77777777" w:rsidR="00D16282" w:rsidRDefault="00D16282" w:rsidP="00D16282">
      <w:pPr>
        <w:rPr>
          <w:rFonts w:asciiTheme="minorHAnsi" w:hAnsiTheme="minorHAnsi" w:cstheme="minorHAnsi"/>
          <w:color w:val="000000"/>
          <w:sz w:val="18"/>
          <w:szCs w:val="18"/>
        </w:rPr>
      </w:pPr>
      <w:r>
        <w:rPr>
          <w:rStyle w:val="FootnoteReference"/>
        </w:rPr>
        <w:footnoteRef/>
      </w:r>
      <w:r>
        <w:rPr>
          <w:color w:val="000000"/>
          <w:sz w:val="22"/>
          <w:szCs w:val="22"/>
        </w:rPr>
        <w:t xml:space="preserve"> </w:t>
      </w:r>
      <w:r>
        <w:rPr>
          <w:rFonts w:asciiTheme="minorHAnsi" w:hAnsiTheme="minorHAnsi" w:cstheme="minorHAnsi"/>
          <w:color w:val="000000"/>
          <w:sz w:val="18"/>
          <w:szCs w:val="18"/>
        </w:rPr>
        <w:t xml:space="preserve">GEF/C.58/05 May 5, 2020 (The Secretariat is further revising the draft GEF’s Private Sector Engagement Strategy for the next Council session, scheduled for December 2020.) </w:t>
      </w:r>
      <w:hyperlink r:id="rId5" w:history="1">
        <w:r>
          <w:rPr>
            <w:rStyle w:val="Hyperlink"/>
            <w:rFonts w:asciiTheme="minorHAnsi" w:hAnsiTheme="minorHAnsi" w:cstheme="minorHAnsi"/>
            <w:sz w:val="18"/>
            <w:szCs w:val="18"/>
          </w:rPr>
          <w:t>https://www.thegef.org/sites/default/files/council-meeting-documents/EN_GEF_C.58_05_GEFs%20Private%20Sector%20Engagement%20Strategy_0.pdf</w:t>
        </w:r>
      </w:hyperlink>
      <w:r>
        <w:rPr>
          <w:rFonts w:asciiTheme="minorHAnsi" w:hAnsiTheme="minorHAnsi" w:cstheme="minorHAnsi"/>
          <w:color w:val="0000FF"/>
          <w:sz w:val="18"/>
          <w:szCs w:val="18"/>
          <w:u w:val="single"/>
        </w:rPr>
        <w:t xml:space="preserve"> </w:t>
      </w:r>
      <w:r>
        <w:rPr>
          <w:rFonts w:asciiTheme="minorHAnsi" w:hAnsiTheme="minorHAnsi" w:cstheme="minorHAnsi"/>
          <w:color w:val="000000"/>
          <w:sz w:val="18"/>
          <w:szCs w:val="18"/>
        </w:rPr>
        <w:t xml:space="preserve"> </w:t>
      </w:r>
    </w:p>
  </w:footnote>
  <w:footnote w:id="12">
    <w:p w14:paraId="1D721249" w14:textId="77777777" w:rsidR="007E0E95" w:rsidRDefault="007E0E95" w:rsidP="007E0E95">
      <w:pPr>
        <w:widowControl w:val="0"/>
        <w:rPr>
          <w:color w:val="000000"/>
          <w:sz w:val="18"/>
          <w:szCs w:val="18"/>
        </w:rPr>
      </w:pPr>
      <w:r>
        <w:rPr>
          <w:rStyle w:val="FootnoteReference"/>
        </w:rPr>
        <w:footnoteRef/>
      </w:r>
      <w:r>
        <w:rPr>
          <w:color w:val="000000"/>
          <w:sz w:val="18"/>
          <w:szCs w:val="18"/>
        </w:rPr>
        <w:t xml:space="preserve"> </w:t>
      </w:r>
      <w:r>
        <w:rPr>
          <w:rFonts w:asciiTheme="minorHAnsi" w:hAnsiTheme="minorHAnsi"/>
          <w:color w:val="000000"/>
          <w:sz w:val="18"/>
          <w:szCs w:val="18"/>
        </w:rPr>
        <w:t>We have opted here for „</w:t>
      </w:r>
      <w:proofErr w:type="gramStart"/>
      <w:r>
        <w:rPr>
          <w:rFonts w:asciiTheme="minorHAnsi" w:hAnsiTheme="minorHAnsi"/>
          <w:color w:val="000000"/>
          <w:sz w:val="18"/>
          <w:szCs w:val="18"/>
        </w:rPr>
        <w:t>beneficiaries“ as</w:t>
      </w:r>
      <w:proofErr w:type="gramEnd"/>
      <w:r>
        <w:rPr>
          <w:rFonts w:asciiTheme="minorHAnsi" w:hAnsiTheme="minorHAnsi"/>
          <w:color w:val="000000"/>
          <w:sz w:val="18"/>
          <w:szCs w:val="18"/>
        </w:rPr>
        <w:t xml:space="preserve"> persons impacted by the projects. At the start of the </w:t>
      </w:r>
      <w:proofErr w:type="gramStart"/>
      <w:r>
        <w:rPr>
          <w:rFonts w:asciiTheme="minorHAnsi" w:hAnsiTheme="minorHAnsi"/>
          <w:color w:val="000000"/>
          <w:sz w:val="18"/>
          <w:szCs w:val="18"/>
        </w:rPr>
        <w:t>project</w:t>
      </w:r>
      <w:proofErr w:type="gramEnd"/>
      <w:r>
        <w:rPr>
          <w:rFonts w:asciiTheme="minorHAnsi" w:hAnsiTheme="minorHAnsi"/>
          <w:color w:val="000000"/>
          <w:sz w:val="18"/>
          <w:szCs w:val="18"/>
        </w:rPr>
        <w:t xml:space="preserve"> it is 0.</w:t>
      </w:r>
    </w:p>
  </w:footnote>
  <w:footnote w:id="13">
    <w:p w14:paraId="4DB98C18" w14:textId="77777777" w:rsidR="007E0E95" w:rsidRPr="007E0E95" w:rsidRDefault="007E0E95" w:rsidP="007E0E95">
      <w:pPr>
        <w:pStyle w:val="FootnoteText"/>
        <w:rPr>
          <w:rFonts w:ascii="Calibri" w:hAnsi="Calibri" w:cs="Segoe UI"/>
          <w:color w:val="000000"/>
          <w:szCs w:val="18"/>
          <w:lang w:val="en-US"/>
        </w:rPr>
      </w:pPr>
      <w:r>
        <w:rPr>
          <w:rStyle w:val="FootnoteReference"/>
          <w:rFonts w:ascii="Calibri" w:hAnsi="Calibri"/>
          <w:szCs w:val="18"/>
        </w:rPr>
        <w:footnoteRef/>
      </w:r>
      <w:r w:rsidRPr="007E0E95">
        <w:rPr>
          <w:rFonts w:ascii="Calibri" w:hAnsi="Calibri"/>
          <w:szCs w:val="18"/>
          <w:lang w:val="en-US"/>
        </w:rPr>
        <w:t xml:space="preserve"> See </w:t>
      </w:r>
      <w:hyperlink r:id="rId6" w:history="1">
        <w:r w:rsidRPr="007E0E95">
          <w:rPr>
            <w:rStyle w:val="Hyperlink"/>
            <w:rFonts w:ascii="Calibri" w:hAnsi="Calibri" w:cs="Segoe UI"/>
            <w:szCs w:val="18"/>
            <w:lang w:val="en-US"/>
          </w:rPr>
          <w:t>https://www.thegef.org/gef/policies_guidelines</w:t>
        </w:r>
      </w:hyperlink>
    </w:p>
  </w:footnote>
  <w:footnote w:id="14">
    <w:p w14:paraId="62405B4B" w14:textId="77777777" w:rsidR="007E0E95" w:rsidRDefault="007E0E95" w:rsidP="007E0E95">
      <w:pPr>
        <w:pStyle w:val="FootnoteText"/>
        <w:rPr>
          <w:rFonts w:cs="Times New Roman"/>
          <w:szCs w:val="20"/>
          <w:lang w:val="hr-HR"/>
        </w:rPr>
      </w:pPr>
      <w:r>
        <w:rPr>
          <w:rStyle w:val="FootnoteReference"/>
        </w:rPr>
        <w:footnoteRef/>
      </w:r>
      <w:r w:rsidRPr="007E0E95">
        <w:rPr>
          <w:lang w:val="en-US"/>
        </w:rPr>
        <w:t xml:space="preserve"> </w:t>
      </w:r>
      <w:r w:rsidRPr="007E0E95">
        <w:rPr>
          <w:rFonts w:ascii="Calibri" w:hAnsi="Calibri"/>
          <w:szCs w:val="18"/>
          <w:lang w:val="en-US"/>
        </w:rPr>
        <w:t xml:space="preserve">See </w:t>
      </w:r>
      <w:r w:rsidRPr="007E0E95">
        <w:rPr>
          <w:rFonts w:ascii="Calibri" w:hAnsi="Calibri" w:cs="Segoe UI"/>
          <w:color w:val="000000"/>
          <w:szCs w:val="18"/>
          <w:lang w:val="en-US"/>
        </w:rPr>
        <w:t>http://www.undp.org/content/undp/en/home/operations/transparency/information_disclosurepolicy/</w:t>
      </w:r>
    </w:p>
  </w:footnote>
  <w:footnote w:id="15">
    <w:p w14:paraId="59FB3FA2" w14:textId="77777777" w:rsidR="007E0E95" w:rsidRDefault="007E0E95" w:rsidP="007E0E95">
      <w:pPr>
        <w:pStyle w:val="FootnoteText"/>
        <w:rPr>
          <w:rFonts w:ascii="Calibri" w:hAnsi="Calibri"/>
          <w:szCs w:val="18"/>
          <w:lang w:val="en-US"/>
        </w:rPr>
      </w:pPr>
      <w:r>
        <w:rPr>
          <w:rStyle w:val="FootnoteReference"/>
          <w:rFonts w:ascii="Calibri" w:hAnsi="Calibri"/>
          <w:szCs w:val="18"/>
        </w:rPr>
        <w:footnoteRef/>
      </w:r>
      <w:r w:rsidRPr="007E0E95">
        <w:rPr>
          <w:rFonts w:ascii="Calibri" w:hAnsi="Calibri"/>
          <w:szCs w:val="18"/>
          <w:lang w:val="en-US"/>
        </w:rPr>
        <w:t xml:space="preserve"> See </w:t>
      </w:r>
      <w:r w:rsidRPr="007E0E95">
        <w:rPr>
          <w:rFonts w:ascii="Calibri" w:hAnsi="Calibri" w:cs="Segoe UI"/>
          <w:color w:val="000000"/>
          <w:szCs w:val="18"/>
          <w:lang w:val="en-US"/>
        </w:rPr>
        <w:t>https://www.thegef.org/gef/policies_guidelines</w:t>
      </w:r>
    </w:p>
  </w:footnote>
  <w:footnote w:id="16">
    <w:p w14:paraId="16C51F91" w14:textId="77777777" w:rsidR="007E0E95" w:rsidRDefault="007E0E95" w:rsidP="007E0E95">
      <w:pPr>
        <w:widowControl w:val="0"/>
        <w:rPr>
          <w:rFonts w:asciiTheme="minorHAnsi" w:hAnsiTheme="minorHAnsi"/>
          <w:color w:val="000000"/>
          <w:sz w:val="18"/>
          <w:szCs w:val="18"/>
        </w:rPr>
      </w:pPr>
      <w:r>
        <w:rPr>
          <w:rStyle w:val="FootnoteReference"/>
          <w:rFonts w:asciiTheme="minorHAnsi" w:hAnsiTheme="minorHAnsi"/>
        </w:rPr>
        <w:footnoteRef/>
      </w:r>
      <w:r>
        <w:rPr>
          <w:rFonts w:asciiTheme="minorHAnsi" w:hAnsiTheme="minorHAnsi"/>
          <w:color w:val="000000"/>
          <w:sz w:val="18"/>
          <w:szCs w:val="18"/>
        </w:rPr>
        <w:t xml:space="preserve"> The costs of UNDP CO and UNDP-GEF Unit’s participation and time are charged to the GEF Agency Fee.</w:t>
      </w:r>
    </w:p>
  </w:footnote>
  <w:footnote w:id="17">
    <w:p w14:paraId="2590440D" w14:textId="77777777" w:rsidR="00F373B7" w:rsidRPr="00F373B7" w:rsidRDefault="00F373B7" w:rsidP="00F373B7">
      <w:pPr>
        <w:pStyle w:val="FootnoteText"/>
        <w:jc w:val="left"/>
        <w:rPr>
          <w:szCs w:val="20"/>
          <w:lang w:val="en-US"/>
        </w:rPr>
      </w:pPr>
      <w:r>
        <w:rPr>
          <w:rStyle w:val="FootnoteReference"/>
        </w:rPr>
        <w:footnoteRef/>
      </w:r>
      <w:r w:rsidRPr="00F373B7">
        <w:rPr>
          <w:lang w:val="en-US"/>
        </w:rPr>
        <w:t xml:space="preserve"> See </w:t>
      </w:r>
      <w:hyperlink r:id="rId7" w:history="1">
        <w:r w:rsidRPr="00F373B7">
          <w:rPr>
            <w:rStyle w:val="Hyperlink"/>
            <w:lang w:val="en-US"/>
          </w:rPr>
          <w:t>https://popp.undp.org/_layouts/15/WopiFrame.aspx?sourcedoc=/UNDP_POPP_DOCUMENT_LIBRARY/Public/PPM_Project%20Management_Closing.docx&amp;action=default</w:t>
        </w:r>
      </w:hyperlink>
      <w:r w:rsidRPr="00F373B7">
        <w:rPr>
          <w:lang w:val="en-US"/>
        </w:rPr>
        <w:t xml:space="preserve">. </w:t>
      </w:r>
    </w:p>
  </w:footnote>
  <w:footnote w:id="18">
    <w:p w14:paraId="14E429C8" w14:textId="77777777" w:rsidR="00F0133E" w:rsidRDefault="00F0133E" w:rsidP="00F0133E">
      <w:pPr>
        <w:widowControl w:val="0"/>
        <w:rPr>
          <w:rFonts w:asciiTheme="minorHAnsi" w:hAnsiTheme="minorHAnsi" w:cstheme="minorHAnsi"/>
          <w:color w:val="000000"/>
          <w:sz w:val="18"/>
          <w:szCs w:val="18"/>
        </w:rPr>
      </w:pPr>
    </w:p>
  </w:footnote>
  <w:footnote w:id="19">
    <w:p w14:paraId="4CBD6CAE" w14:textId="77777777" w:rsidR="004B362B" w:rsidRDefault="004B362B" w:rsidP="004B362B">
      <w:pPr>
        <w:widowControl w:val="0"/>
        <w:rPr>
          <w:color w:val="000000"/>
          <w:sz w:val="18"/>
          <w:szCs w:val="18"/>
        </w:rPr>
      </w:pPr>
      <w:r>
        <w:rPr>
          <w:rStyle w:val="FootnoteReference"/>
        </w:rPr>
        <w:footnoteRef/>
      </w:r>
      <w:r>
        <w:rPr>
          <w:color w:val="000000"/>
          <w:sz w:val="18"/>
          <w:szCs w:val="18"/>
        </w:rPr>
        <w:t xml:space="preserve"> </w:t>
      </w:r>
      <w:r>
        <w:rPr>
          <w:rFonts w:asciiTheme="minorHAnsi" w:hAnsiTheme="minorHAnsi" w:cstheme="minorHAnsi"/>
          <w:color w:val="000000"/>
          <w:sz w:val="18"/>
          <w:szCs w:val="18"/>
        </w:rPr>
        <w:t>These components/outcomes/outputs are implemented by UNEP and executed by UNESCO-IOC. The amounts in this table are also included Total Budget and Work Plan table.</w:t>
      </w:r>
    </w:p>
  </w:footnote>
  <w:footnote w:id="20">
    <w:p w14:paraId="14A6E69A" w14:textId="77777777" w:rsidR="004B362B" w:rsidRDefault="004B362B" w:rsidP="004B362B">
      <w:pPr>
        <w:widowControl w:val="0"/>
        <w:rPr>
          <w:rFonts w:asciiTheme="minorHAnsi" w:hAnsiTheme="minorHAnsi"/>
          <w:color w:val="000000"/>
          <w:sz w:val="18"/>
          <w:szCs w:val="18"/>
        </w:rPr>
      </w:pPr>
      <w:r>
        <w:rPr>
          <w:rStyle w:val="FootnoteReference"/>
          <w:rFonts w:asciiTheme="minorHAnsi" w:hAnsiTheme="minorHAnsi"/>
        </w:rPr>
        <w:footnoteRef/>
      </w:r>
      <w:r>
        <w:rPr>
          <w:rFonts w:asciiTheme="minorHAnsi" w:hAnsiTheme="minorHAnsi"/>
          <w:color w:val="000000"/>
          <w:sz w:val="18"/>
          <w:szCs w:val="18"/>
        </w:rPr>
        <w:t xml:space="preserve"> To be used where UNDP is the Implementing Partner</w:t>
      </w:r>
    </w:p>
  </w:footnote>
  <w:footnote w:id="21">
    <w:p w14:paraId="61E95E09" w14:textId="77777777" w:rsidR="004B362B" w:rsidRDefault="004B362B" w:rsidP="004B362B">
      <w:pPr>
        <w:widowControl w:val="0"/>
        <w:rPr>
          <w:color w:val="000000"/>
          <w:sz w:val="18"/>
          <w:szCs w:val="18"/>
        </w:rPr>
      </w:pPr>
      <w:r>
        <w:rPr>
          <w:rStyle w:val="FootnoteReference"/>
          <w:rFonts w:asciiTheme="minorHAnsi" w:hAnsiTheme="minorHAnsi"/>
        </w:rPr>
        <w:footnoteRef/>
      </w:r>
      <w:r>
        <w:rPr>
          <w:rFonts w:asciiTheme="minorHAnsi" w:hAnsiTheme="minorHAnsi"/>
          <w:color w:val="000000"/>
          <w:sz w:val="18"/>
          <w:szCs w:val="18"/>
        </w:rPr>
        <w:t xml:space="preserve"> To be used where the UN, a UN fund/</w:t>
      </w:r>
      <w:proofErr w:type="spellStart"/>
      <w:r>
        <w:rPr>
          <w:rFonts w:asciiTheme="minorHAnsi" w:hAnsiTheme="minorHAnsi"/>
          <w:color w:val="000000"/>
          <w:sz w:val="18"/>
          <w:szCs w:val="18"/>
        </w:rPr>
        <w:t>programme</w:t>
      </w:r>
      <w:proofErr w:type="spellEnd"/>
      <w:r>
        <w:rPr>
          <w:rFonts w:asciiTheme="minorHAnsi" w:hAnsiTheme="minorHAnsi"/>
          <w:color w:val="000000"/>
          <w:sz w:val="18"/>
          <w:szCs w:val="18"/>
        </w:rPr>
        <w:t xml:space="preserve"> or a specialized agency is the Implementing Partner</w:t>
      </w:r>
    </w:p>
  </w:footnote>
  <w:footnote w:id="22">
    <w:p w14:paraId="0E756307" w14:textId="77777777" w:rsidR="00DC00FF" w:rsidRDefault="00DC00FF" w:rsidP="00DC00FF">
      <w:pPr>
        <w:pStyle w:val="FootnoteText"/>
        <w:rPr>
          <w:rFonts w:cs="Times New Roman"/>
        </w:rPr>
      </w:pPr>
      <w:r>
        <w:rPr>
          <w:rStyle w:val="FootnoteReference"/>
          <w:rFonts w:cs="Times New Roman"/>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BFF"/>
    <w:multiLevelType w:val="multilevel"/>
    <w:tmpl w:val="BA2A9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D1946"/>
    <w:multiLevelType w:val="multilevel"/>
    <w:tmpl w:val="95C29B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192E87"/>
    <w:multiLevelType w:val="multilevel"/>
    <w:tmpl w:val="38A2F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34474C"/>
    <w:multiLevelType w:val="multilevel"/>
    <w:tmpl w:val="051084D4"/>
    <w:lvl w:ilvl="0">
      <w:start w:val="1"/>
      <w:numFmt w:val="decimal"/>
      <w:lvlText w:val="%1."/>
      <w:lvlJc w:val="left"/>
      <w:pPr>
        <w:ind w:left="720" w:hanging="360"/>
      </w:pPr>
      <w:rPr>
        <w:rFonts w:ascii="Calibri" w:eastAsia="Calibri" w:hAnsi="Calibri" w:cs="Calibri"/>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412D32"/>
    <w:multiLevelType w:val="multilevel"/>
    <w:tmpl w:val="471ED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4A6D0D"/>
    <w:multiLevelType w:val="multilevel"/>
    <w:tmpl w:val="9BBAB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7A45246"/>
    <w:multiLevelType w:val="multilevel"/>
    <w:tmpl w:val="13560D6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D576C0"/>
    <w:multiLevelType w:val="multilevel"/>
    <w:tmpl w:val="DE561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9DD08F9"/>
    <w:multiLevelType w:val="multilevel"/>
    <w:tmpl w:val="F818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1623D2"/>
    <w:multiLevelType w:val="multilevel"/>
    <w:tmpl w:val="C448B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1918E7"/>
    <w:multiLevelType w:val="multilevel"/>
    <w:tmpl w:val="F280C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4D540C"/>
    <w:multiLevelType w:val="multilevel"/>
    <w:tmpl w:val="13063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ACA27AA"/>
    <w:multiLevelType w:val="multilevel"/>
    <w:tmpl w:val="D07E04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0B3B0507"/>
    <w:multiLevelType w:val="multilevel"/>
    <w:tmpl w:val="2DDEE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BF73E47"/>
    <w:multiLevelType w:val="multilevel"/>
    <w:tmpl w:val="DA4E8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CAF3F1B"/>
    <w:multiLevelType w:val="multilevel"/>
    <w:tmpl w:val="4274A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84425A"/>
    <w:multiLevelType w:val="multilevel"/>
    <w:tmpl w:val="8C063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EDB1DFE"/>
    <w:multiLevelType w:val="multilevel"/>
    <w:tmpl w:val="A9E4F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numFmt w:val="bullet"/>
      <w:lvlText w:val="•"/>
      <w:lvlJc w:val="left"/>
      <w:pPr>
        <w:ind w:left="2520" w:hanging="720"/>
      </w:pPr>
      <w:rPr>
        <w:rFonts w:ascii="Calibri" w:eastAsia="Times New Roman" w:hAnsi="Calibri" w:cstheme="minorHAnsi"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F2C4201"/>
    <w:multiLevelType w:val="multilevel"/>
    <w:tmpl w:val="C4FEF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100B246E"/>
    <w:multiLevelType w:val="multilevel"/>
    <w:tmpl w:val="9C2A8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1C3234E"/>
    <w:multiLevelType w:val="multilevel"/>
    <w:tmpl w:val="4C385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1D41AB9"/>
    <w:multiLevelType w:val="multilevel"/>
    <w:tmpl w:val="D70A1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2AB60B3"/>
    <w:multiLevelType w:val="multilevel"/>
    <w:tmpl w:val="1FAED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33F1825"/>
    <w:multiLevelType w:val="multilevel"/>
    <w:tmpl w:val="FEC2F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4BD4308"/>
    <w:multiLevelType w:val="multilevel"/>
    <w:tmpl w:val="7504A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53D722F"/>
    <w:multiLevelType w:val="multilevel"/>
    <w:tmpl w:val="6FC09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rPr>
    </w:lvl>
    <w:lvl w:ilvl="1" w:tplc="944EE276">
      <w:start w:val="1"/>
      <w:numFmt w:val="bullet"/>
      <w:lvlText w:val=""/>
      <w:lvlJc w:val="left"/>
      <w:pPr>
        <w:tabs>
          <w:tab w:val="num" w:pos="1440"/>
        </w:tabs>
        <w:ind w:left="1440" w:hanging="360"/>
      </w:pPr>
      <w:rPr>
        <w:rFonts w:ascii="Symbol" w:hAnsi="Symbol" w:hint="default"/>
        <w:sz w:val="18"/>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168C3276"/>
    <w:multiLevelType w:val="hybridMultilevel"/>
    <w:tmpl w:val="1B10A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72D5F19"/>
    <w:multiLevelType w:val="multilevel"/>
    <w:tmpl w:val="1BC6E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B635265"/>
    <w:multiLevelType w:val="multilevel"/>
    <w:tmpl w:val="7C8CAE38"/>
    <w:lvl w:ilvl="0">
      <w:start w:val="1"/>
      <w:numFmt w:val="bullet"/>
      <w:lvlText w:val="●"/>
      <w:lvlJc w:val="left"/>
      <w:pPr>
        <w:ind w:left="1572" w:hanging="360"/>
      </w:pPr>
      <w:rPr>
        <w:rFonts w:ascii="Noto Sans Symbols" w:eastAsia="Noto Sans Symbols" w:hAnsi="Noto Sans Symbols" w:cs="Noto Sans Symbols"/>
      </w:rPr>
    </w:lvl>
    <w:lvl w:ilvl="1">
      <w:start w:val="1"/>
      <w:numFmt w:val="bullet"/>
      <w:lvlText w:val="o"/>
      <w:lvlJc w:val="left"/>
      <w:pPr>
        <w:ind w:left="2292" w:hanging="360"/>
      </w:pPr>
      <w:rPr>
        <w:rFonts w:ascii="Courier New" w:eastAsia="Courier New" w:hAnsi="Courier New" w:cs="Courier New"/>
      </w:rPr>
    </w:lvl>
    <w:lvl w:ilvl="2">
      <w:start w:val="1"/>
      <w:numFmt w:val="bullet"/>
      <w:lvlText w:val="▪"/>
      <w:lvlJc w:val="left"/>
      <w:pPr>
        <w:ind w:left="3012" w:hanging="360"/>
      </w:pPr>
      <w:rPr>
        <w:rFonts w:ascii="Noto Sans Symbols" w:eastAsia="Noto Sans Symbols" w:hAnsi="Noto Sans Symbols" w:cs="Noto Sans Symbols"/>
      </w:rPr>
    </w:lvl>
    <w:lvl w:ilvl="3">
      <w:start w:val="1"/>
      <w:numFmt w:val="bullet"/>
      <w:lvlText w:val="●"/>
      <w:lvlJc w:val="left"/>
      <w:pPr>
        <w:ind w:left="3732" w:hanging="360"/>
      </w:pPr>
      <w:rPr>
        <w:rFonts w:ascii="Noto Sans Symbols" w:eastAsia="Noto Sans Symbols" w:hAnsi="Noto Sans Symbols" w:cs="Noto Sans Symbols"/>
      </w:rPr>
    </w:lvl>
    <w:lvl w:ilvl="4">
      <w:start w:val="1"/>
      <w:numFmt w:val="bullet"/>
      <w:lvlText w:val="o"/>
      <w:lvlJc w:val="left"/>
      <w:pPr>
        <w:ind w:left="4452" w:hanging="360"/>
      </w:pPr>
      <w:rPr>
        <w:rFonts w:ascii="Courier New" w:eastAsia="Courier New" w:hAnsi="Courier New" w:cs="Courier New"/>
      </w:rPr>
    </w:lvl>
    <w:lvl w:ilvl="5">
      <w:start w:val="1"/>
      <w:numFmt w:val="bullet"/>
      <w:lvlText w:val="▪"/>
      <w:lvlJc w:val="left"/>
      <w:pPr>
        <w:ind w:left="5172" w:hanging="360"/>
      </w:pPr>
      <w:rPr>
        <w:rFonts w:ascii="Noto Sans Symbols" w:eastAsia="Noto Sans Symbols" w:hAnsi="Noto Sans Symbols" w:cs="Noto Sans Symbols"/>
      </w:rPr>
    </w:lvl>
    <w:lvl w:ilvl="6">
      <w:start w:val="1"/>
      <w:numFmt w:val="bullet"/>
      <w:lvlText w:val="●"/>
      <w:lvlJc w:val="left"/>
      <w:pPr>
        <w:ind w:left="5892" w:hanging="360"/>
      </w:pPr>
      <w:rPr>
        <w:rFonts w:ascii="Noto Sans Symbols" w:eastAsia="Noto Sans Symbols" w:hAnsi="Noto Sans Symbols" w:cs="Noto Sans Symbols"/>
      </w:rPr>
    </w:lvl>
    <w:lvl w:ilvl="7">
      <w:start w:val="1"/>
      <w:numFmt w:val="bullet"/>
      <w:lvlText w:val="o"/>
      <w:lvlJc w:val="left"/>
      <w:pPr>
        <w:ind w:left="6612" w:hanging="360"/>
      </w:pPr>
      <w:rPr>
        <w:rFonts w:ascii="Courier New" w:eastAsia="Courier New" w:hAnsi="Courier New" w:cs="Courier New"/>
      </w:rPr>
    </w:lvl>
    <w:lvl w:ilvl="8">
      <w:start w:val="1"/>
      <w:numFmt w:val="bullet"/>
      <w:lvlText w:val="▪"/>
      <w:lvlJc w:val="left"/>
      <w:pPr>
        <w:ind w:left="7332" w:hanging="360"/>
      </w:pPr>
      <w:rPr>
        <w:rFonts w:ascii="Noto Sans Symbols" w:eastAsia="Noto Sans Symbols" w:hAnsi="Noto Sans Symbols" w:cs="Noto Sans Symbols"/>
      </w:rPr>
    </w:lvl>
  </w:abstractNum>
  <w:abstractNum w:abstractNumId="32" w15:restartNumberingAfterBreak="0">
    <w:nsid w:val="1BDA33C7"/>
    <w:multiLevelType w:val="multilevel"/>
    <w:tmpl w:val="1D4EB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BF71838"/>
    <w:multiLevelType w:val="multilevel"/>
    <w:tmpl w:val="ABB25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1D0037B1"/>
    <w:multiLevelType w:val="multilevel"/>
    <w:tmpl w:val="6A8E3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1FCC0291"/>
    <w:multiLevelType w:val="multilevel"/>
    <w:tmpl w:val="590C8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0924BD3"/>
    <w:multiLevelType w:val="multilevel"/>
    <w:tmpl w:val="44C0D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0B44459"/>
    <w:multiLevelType w:val="multilevel"/>
    <w:tmpl w:val="9A1E1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14D4360"/>
    <w:multiLevelType w:val="multilevel"/>
    <w:tmpl w:val="F46A4D6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7661FAC"/>
    <w:multiLevelType w:val="multilevel"/>
    <w:tmpl w:val="734C9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7621F4"/>
    <w:multiLevelType w:val="multilevel"/>
    <w:tmpl w:val="6CB0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7C73C2C"/>
    <w:multiLevelType w:val="multilevel"/>
    <w:tmpl w:val="4D4CDF8A"/>
    <w:lvl w:ilvl="0">
      <w:start w:val="1"/>
      <w:numFmt w:val="decimal"/>
      <w:lvlText w:val="%1."/>
      <w:lvlJc w:val="left"/>
      <w:pPr>
        <w:ind w:left="720" w:hanging="360"/>
      </w:pPr>
      <w:rPr>
        <w:rFonts w:ascii="Calibri" w:eastAsia="Calibri" w:hAnsi="Calibri" w:cs="Calibri"/>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81312F7"/>
    <w:multiLevelType w:val="multilevel"/>
    <w:tmpl w:val="81F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84652CA"/>
    <w:multiLevelType w:val="hybridMultilevel"/>
    <w:tmpl w:val="CC8CB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870798C"/>
    <w:multiLevelType w:val="multilevel"/>
    <w:tmpl w:val="6B621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8A460CA"/>
    <w:multiLevelType w:val="multilevel"/>
    <w:tmpl w:val="BEFA0CE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0D64BF8"/>
    <w:multiLevelType w:val="multilevel"/>
    <w:tmpl w:val="37E00188"/>
    <w:lvl w:ilvl="0">
      <w:start w:val="1"/>
      <w:numFmt w:val="decimal"/>
      <w:lvlText w:val="%1."/>
      <w:lvlJc w:val="left"/>
      <w:pPr>
        <w:ind w:left="720" w:hanging="360"/>
      </w:pPr>
      <w:rPr>
        <w:rFonts w:ascii="Calibri" w:eastAsia="Calibri" w:hAnsi="Calibri" w:cs="Calibri"/>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2176681"/>
    <w:multiLevelType w:val="multilevel"/>
    <w:tmpl w:val="3E48A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23F4E6D"/>
    <w:multiLevelType w:val="multilevel"/>
    <w:tmpl w:val="05422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4903D8B"/>
    <w:multiLevelType w:val="multilevel"/>
    <w:tmpl w:val="98EE6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95B087B"/>
    <w:multiLevelType w:val="multilevel"/>
    <w:tmpl w:val="1AB0475A"/>
    <w:lvl w:ilvl="0">
      <w:start w:val="1"/>
      <w:numFmt w:val="bullet"/>
      <w:lvlText w:val="•"/>
      <w:lvlJc w:val="left"/>
      <w:pPr>
        <w:ind w:left="360" w:hanging="360"/>
      </w:pPr>
      <w:rPr>
        <w:rFonts w:ascii="Times New Roman" w:eastAsia="Times New Roman" w:hAnsi="Times New Roman" w:cs="Times New Roman"/>
        <w:sz w:val="22"/>
        <w:szCs w:val="22"/>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2" w15:restartNumberingAfterBreak="0">
    <w:nsid w:val="39CA2F15"/>
    <w:multiLevelType w:val="multilevel"/>
    <w:tmpl w:val="05B2BB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A4E14BC"/>
    <w:multiLevelType w:val="multilevel"/>
    <w:tmpl w:val="49B2B1A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A981D4B"/>
    <w:multiLevelType w:val="multilevel"/>
    <w:tmpl w:val="1E921B22"/>
    <w:lvl w:ilvl="0">
      <w:start w:val="1"/>
      <w:numFmt w:val="decimal"/>
      <w:lvlText w:val="%1."/>
      <w:lvlJc w:val="left"/>
      <w:pPr>
        <w:ind w:left="720" w:hanging="360"/>
      </w:pPr>
      <w:rPr>
        <w:rFonts w:ascii="Calibri" w:eastAsia="Calibri" w:hAnsi="Calibri" w:cs="Calibri"/>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DD12BBC"/>
    <w:multiLevelType w:val="multilevel"/>
    <w:tmpl w:val="06A07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F0B54F6"/>
    <w:multiLevelType w:val="multilevel"/>
    <w:tmpl w:val="43EE6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F543196"/>
    <w:multiLevelType w:val="multilevel"/>
    <w:tmpl w:val="EC981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F987C88"/>
    <w:multiLevelType w:val="multilevel"/>
    <w:tmpl w:val="5F4C485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1C20268"/>
    <w:multiLevelType w:val="multilevel"/>
    <w:tmpl w:val="E8A6A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2E87E9B"/>
    <w:multiLevelType w:val="hybridMultilevel"/>
    <w:tmpl w:val="8FB8267E"/>
    <w:lvl w:ilvl="0" w:tplc="61C0599E">
      <w:start w:val="1"/>
      <w:numFmt w:val="decimal"/>
      <w:pStyle w:val="Normal1"/>
      <w:lvlText w:val="%1."/>
      <w:lvlJc w:val="left"/>
      <w:pPr>
        <w:ind w:left="36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4A247A8"/>
    <w:multiLevelType w:val="hybridMultilevel"/>
    <w:tmpl w:val="BC021310"/>
    <w:lvl w:ilvl="0" w:tplc="A92EBBF2">
      <w:start w:val="1"/>
      <w:numFmt w:val="decimal"/>
      <w:pStyle w:val="A"/>
      <w:lvlText w:val="%1."/>
      <w:lvlJc w:val="left"/>
      <w:pPr>
        <w:tabs>
          <w:tab w:val="num" w:pos="1080"/>
        </w:tabs>
        <w:ind w:left="1080" w:hanging="720"/>
      </w:pPr>
      <w:rPr>
        <w:b w:val="0"/>
        <w:bCs w:val="0"/>
      </w:rPr>
    </w:lvl>
    <w:lvl w:ilvl="1" w:tplc="464C223C">
      <w:start w:val="1"/>
      <w:numFmt w:val="lowerRoman"/>
      <w:lvlText w:val="(%2)"/>
      <w:lvlJc w:val="left"/>
      <w:pPr>
        <w:tabs>
          <w:tab w:val="num" w:pos="900"/>
        </w:tabs>
        <w:ind w:left="9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45CF53C2"/>
    <w:multiLevelType w:val="multilevel"/>
    <w:tmpl w:val="E0A6001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3" w15:restartNumberingAfterBreak="0">
    <w:nsid w:val="46C95E94"/>
    <w:multiLevelType w:val="multilevel"/>
    <w:tmpl w:val="176CD55E"/>
    <w:lvl w:ilvl="0">
      <w:start w:val="1"/>
      <w:numFmt w:val="decimal"/>
      <w:pStyle w:val="Par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9CB2D81"/>
    <w:multiLevelType w:val="multilevel"/>
    <w:tmpl w:val="B76A12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49E0569C"/>
    <w:multiLevelType w:val="multilevel"/>
    <w:tmpl w:val="BDBED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A4162E0"/>
    <w:multiLevelType w:val="multilevel"/>
    <w:tmpl w:val="11AC6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Garamond" w:eastAsia="Garamond" w:hAnsi="Garamond" w:cs="Garamond"/>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4C7725A7"/>
    <w:multiLevelType w:val="multilevel"/>
    <w:tmpl w:val="3F7E2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D14432D"/>
    <w:multiLevelType w:val="multilevel"/>
    <w:tmpl w:val="BB681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start w:val="1"/>
      <w:numFmt w:val="lowerRoman"/>
      <w:lvlText w:val="%3."/>
      <w:lvlJc w:val="right"/>
      <w:pPr>
        <w:ind w:left="9405" w:hanging="180"/>
      </w:pPr>
    </w:lvl>
    <w:lvl w:ilvl="3" w:tplc="08090001">
      <w:start w:val="1"/>
      <w:numFmt w:val="decimal"/>
      <w:lvlText w:val="%4."/>
      <w:lvlJc w:val="left"/>
      <w:pPr>
        <w:ind w:left="10125" w:hanging="360"/>
      </w:pPr>
    </w:lvl>
    <w:lvl w:ilvl="4" w:tplc="08090003">
      <w:start w:val="1"/>
      <w:numFmt w:val="lowerLetter"/>
      <w:lvlText w:val="%5."/>
      <w:lvlJc w:val="left"/>
      <w:pPr>
        <w:ind w:left="10845" w:hanging="360"/>
      </w:pPr>
    </w:lvl>
    <w:lvl w:ilvl="5" w:tplc="08090005">
      <w:start w:val="1"/>
      <w:numFmt w:val="lowerRoman"/>
      <w:lvlText w:val="%6."/>
      <w:lvlJc w:val="right"/>
      <w:pPr>
        <w:ind w:left="11565" w:hanging="180"/>
      </w:pPr>
    </w:lvl>
    <w:lvl w:ilvl="6" w:tplc="08090001">
      <w:start w:val="1"/>
      <w:numFmt w:val="decimal"/>
      <w:lvlText w:val="%7."/>
      <w:lvlJc w:val="left"/>
      <w:pPr>
        <w:ind w:left="12285" w:hanging="360"/>
      </w:pPr>
    </w:lvl>
    <w:lvl w:ilvl="7" w:tplc="08090003">
      <w:start w:val="1"/>
      <w:numFmt w:val="lowerLetter"/>
      <w:lvlText w:val="%8."/>
      <w:lvlJc w:val="left"/>
      <w:pPr>
        <w:ind w:left="13005" w:hanging="360"/>
      </w:pPr>
    </w:lvl>
    <w:lvl w:ilvl="8" w:tplc="08090005">
      <w:start w:val="1"/>
      <w:numFmt w:val="lowerRoman"/>
      <w:lvlText w:val="%9."/>
      <w:lvlJc w:val="right"/>
      <w:pPr>
        <w:ind w:left="13725" w:hanging="180"/>
      </w:pPr>
    </w:lvl>
  </w:abstractNum>
  <w:abstractNum w:abstractNumId="70" w15:restartNumberingAfterBreak="0">
    <w:nsid w:val="50AC1E35"/>
    <w:multiLevelType w:val="multilevel"/>
    <w:tmpl w:val="34A4F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5EB5055"/>
    <w:multiLevelType w:val="multilevel"/>
    <w:tmpl w:val="18B2B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BE5E16"/>
    <w:multiLevelType w:val="multilevel"/>
    <w:tmpl w:val="720EF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8201D36"/>
    <w:multiLevelType w:val="multilevel"/>
    <w:tmpl w:val="8E7A4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9E14983"/>
    <w:multiLevelType w:val="multilevel"/>
    <w:tmpl w:val="BD0C2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75" w15:restartNumberingAfterBreak="0">
    <w:nsid w:val="5C156175"/>
    <w:multiLevelType w:val="multilevel"/>
    <w:tmpl w:val="056E9866"/>
    <w:lvl w:ilvl="0">
      <w:start w:val="1"/>
      <w:numFmt w:val="bullet"/>
      <w:lvlText w:val="•"/>
      <w:lvlJc w:val="left"/>
      <w:pPr>
        <w:ind w:left="360" w:hanging="360"/>
      </w:pPr>
      <w:rPr>
        <w:rFonts w:ascii="Times New Roman" w:eastAsia="Times New Roman" w:hAnsi="Times New Roman" w:cs="Times New Roman"/>
        <w:sz w:val="22"/>
        <w:szCs w:val="22"/>
      </w:rPr>
    </w:lvl>
    <w:lvl w:ilvl="1">
      <w:start w:val="1"/>
      <w:numFmt w:val="bullet"/>
      <w:lvlText w:val="-"/>
      <w:lvlJc w:val="left"/>
      <w:pPr>
        <w:ind w:left="720" w:hanging="360"/>
      </w:pPr>
      <w:rPr>
        <w:rFonts w:ascii="Garamond" w:eastAsia="Garamond" w:hAnsi="Garamond" w:cs="Garamond"/>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76" w15:restartNumberingAfterBreak="0">
    <w:nsid w:val="5C7B3615"/>
    <w:multiLevelType w:val="multilevel"/>
    <w:tmpl w:val="79483374"/>
    <w:lvl w:ilvl="0">
      <w:start w:val="1"/>
      <w:numFmt w:val="bullet"/>
      <w:lvlText w:val="•"/>
      <w:lvlJc w:val="left"/>
      <w:pPr>
        <w:ind w:left="72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D555002"/>
    <w:multiLevelType w:val="multilevel"/>
    <w:tmpl w:val="66707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10A1756"/>
    <w:multiLevelType w:val="multilevel"/>
    <w:tmpl w:val="E5D25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63271722"/>
    <w:multiLevelType w:val="hybridMultilevel"/>
    <w:tmpl w:val="4CD4F0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63D82256"/>
    <w:multiLevelType w:val="multilevel"/>
    <w:tmpl w:val="DEFCE896"/>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81" w15:restartNumberingAfterBreak="0">
    <w:nsid w:val="63FF6ADF"/>
    <w:multiLevelType w:val="multilevel"/>
    <w:tmpl w:val="669A9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4585C53"/>
    <w:multiLevelType w:val="multilevel"/>
    <w:tmpl w:val="5CFA3D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654F563E"/>
    <w:multiLevelType w:val="multilevel"/>
    <w:tmpl w:val="8C063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F50290"/>
    <w:multiLevelType w:val="hybridMultilevel"/>
    <w:tmpl w:val="0924026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86" w15:restartNumberingAfterBreak="0">
    <w:nsid w:val="66F5056E"/>
    <w:multiLevelType w:val="multilevel"/>
    <w:tmpl w:val="D628549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CB0AA9"/>
    <w:multiLevelType w:val="multilevel"/>
    <w:tmpl w:val="5FE8B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94D0C57"/>
    <w:multiLevelType w:val="multilevel"/>
    <w:tmpl w:val="1BFAA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A1E3EAC"/>
    <w:multiLevelType w:val="multilevel"/>
    <w:tmpl w:val="0810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A771CE1"/>
    <w:multiLevelType w:val="multilevel"/>
    <w:tmpl w:val="24A06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6CAC5529"/>
    <w:multiLevelType w:val="multilevel"/>
    <w:tmpl w:val="84D8D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D936899"/>
    <w:multiLevelType w:val="multilevel"/>
    <w:tmpl w:val="06707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F461A19"/>
    <w:multiLevelType w:val="multilevel"/>
    <w:tmpl w:val="B83C8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6F84777F"/>
    <w:multiLevelType w:val="multilevel"/>
    <w:tmpl w:val="274018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5" w15:restartNumberingAfterBreak="0">
    <w:nsid w:val="702B6F11"/>
    <w:multiLevelType w:val="multilevel"/>
    <w:tmpl w:val="41607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0A8281B"/>
    <w:multiLevelType w:val="multilevel"/>
    <w:tmpl w:val="81260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7" w15:restartNumberingAfterBreak="0">
    <w:nsid w:val="72E62849"/>
    <w:multiLevelType w:val="multilevel"/>
    <w:tmpl w:val="61FC7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5D966CC"/>
    <w:multiLevelType w:val="multilevel"/>
    <w:tmpl w:val="FDAC55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77D44DB5"/>
    <w:multiLevelType w:val="multilevel"/>
    <w:tmpl w:val="AEA6A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8BC0FCA"/>
    <w:multiLevelType w:val="multilevel"/>
    <w:tmpl w:val="EE107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9CA1DED"/>
    <w:multiLevelType w:val="multilevel"/>
    <w:tmpl w:val="9B824562"/>
    <w:lvl w:ilvl="0">
      <w:start w:val="1"/>
      <w:numFmt w:val="bullet"/>
      <w:lvlText w:val="•"/>
      <w:lvlJc w:val="left"/>
      <w:pPr>
        <w:ind w:left="360" w:hanging="360"/>
      </w:pPr>
      <w:rPr>
        <w:rFonts w:ascii="Times New Roman" w:eastAsia="Times New Roman" w:hAnsi="Times New Roman" w:cs="Times New Roman"/>
        <w:sz w:val="22"/>
        <w:szCs w:val="22"/>
      </w:rPr>
    </w:lvl>
    <w:lvl w:ilvl="1">
      <w:start w:val="1"/>
      <w:numFmt w:val="bullet"/>
      <w:lvlText w:val="-"/>
      <w:lvlJc w:val="left"/>
      <w:pPr>
        <w:ind w:left="720" w:hanging="360"/>
      </w:pPr>
      <w:rPr>
        <w:rFonts w:ascii="Garamond" w:eastAsia="Garamond" w:hAnsi="Garamond" w:cs="Garamond"/>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2" w15:restartNumberingAfterBreak="0">
    <w:nsid w:val="7D0509EE"/>
    <w:multiLevelType w:val="hybridMultilevel"/>
    <w:tmpl w:val="F8100394"/>
    <w:lvl w:ilvl="0" w:tplc="04090001">
      <w:start w:val="1"/>
      <w:numFmt w:val="bullet"/>
      <w:lvlText w:val=""/>
      <w:lvlJc w:val="left"/>
      <w:pPr>
        <w:ind w:left="360" w:hanging="360"/>
      </w:pPr>
      <w:rPr>
        <w:rFonts w:ascii="Symbol" w:hAnsi="Symbol" w:hint="default"/>
        <w:strike w:val="0"/>
        <w:dstrike w:val="0"/>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15:restartNumberingAfterBreak="0">
    <w:nsid w:val="7DFA28B4"/>
    <w:multiLevelType w:val="multilevel"/>
    <w:tmpl w:val="5914A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FF24045"/>
    <w:multiLevelType w:val="multilevel"/>
    <w:tmpl w:val="B9185696"/>
    <w:lvl w:ilvl="0">
      <w:start w:val="1"/>
      <w:numFmt w:val="bullet"/>
      <w:pStyle w:val="SESPbodynumbere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17"/>
  </w:num>
  <w:num w:numId="8">
    <w:abstractNumId w:val="21"/>
  </w:num>
  <w:num w:numId="9">
    <w:abstractNumId w:val="103"/>
  </w:num>
  <w:num w:numId="10">
    <w:abstractNumId w:val="81"/>
  </w:num>
  <w:num w:numId="11">
    <w:abstractNumId w:val="68"/>
  </w:num>
  <w:num w:numId="12">
    <w:abstractNumId w:val="90"/>
  </w:num>
  <w:num w:numId="13">
    <w:abstractNumId w:val="19"/>
  </w:num>
  <w:num w:numId="14">
    <w:abstractNumId w:val="94"/>
  </w:num>
  <w:num w:numId="15">
    <w:abstractNumId w:val="64"/>
  </w:num>
  <w:num w:numId="16">
    <w:abstractNumId w:val="98"/>
  </w:num>
  <w:num w:numId="17">
    <w:abstractNumId w:val="18"/>
  </w:num>
  <w:num w:numId="18">
    <w:abstractNumId w:val="78"/>
  </w:num>
  <w:num w:numId="19">
    <w:abstractNumId w:val="93"/>
  </w:num>
  <w:num w:numId="20">
    <w:abstractNumId w:val="8"/>
  </w:num>
  <w:num w:numId="21">
    <w:abstractNumId w:val="23"/>
  </w:num>
  <w:num w:numId="22">
    <w:abstractNumId w:val="62"/>
  </w:num>
  <w:num w:numId="23">
    <w:abstractNumId w:val="32"/>
  </w:num>
  <w:num w:numId="24">
    <w:abstractNumId w:val="56"/>
  </w:num>
  <w:num w:numId="25">
    <w:abstractNumId w:val="13"/>
  </w:num>
  <w:num w:numId="26">
    <w:abstractNumId w:val="37"/>
  </w:num>
  <w:num w:numId="27">
    <w:abstractNumId w:val="87"/>
  </w:num>
  <w:num w:numId="28">
    <w:abstractNumId w:val="34"/>
  </w:num>
  <w:num w:numId="29">
    <w:abstractNumId w:val="36"/>
  </w:num>
  <w:num w:numId="30">
    <w:abstractNumId w:val="96"/>
  </w:num>
  <w:num w:numId="31">
    <w:abstractNumId w:val="31"/>
  </w:num>
  <w:num w:numId="32">
    <w:abstractNumId w:val="48"/>
  </w:num>
  <w:num w:numId="33">
    <w:abstractNumId w:val="35"/>
  </w:num>
  <w:num w:numId="34">
    <w:abstractNumId w:val="67"/>
  </w:num>
  <w:num w:numId="35">
    <w:abstractNumId w:val="72"/>
  </w:num>
  <w:num w:numId="36">
    <w:abstractNumId w:val="77"/>
  </w:num>
  <w:num w:numId="37">
    <w:abstractNumId w:val="24"/>
  </w:num>
  <w:num w:numId="38">
    <w:abstractNumId w:val="83"/>
  </w:num>
  <w:num w:numId="39">
    <w:abstractNumId w:val="70"/>
  </w:num>
  <w:num w:numId="40">
    <w:abstractNumId w:val="5"/>
  </w:num>
  <w:num w:numId="41">
    <w:abstractNumId w:val="65"/>
  </w:num>
  <w:num w:numId="42">
    <w:abstractNumId w:val="30"/>
  </w:num>
  <w:num w:numId="43">
    <w:abstractNumId w:val="15"/>
  </w:num>
  <w:num w:numId="44">
    <w:abstractNumId w:val="1"/>
  </w:num>
  <w:num w:numId="45">
    <w:abstractNumId w:val="91"/>
  </w:num>
  <w:num w:numId="46">
    <w:abstractNumId w:val="16"/>
  </w:num>
  <w:num w:numId="47">
    <w:abstractNumId w:val="71"/>
  </w:num>
  <w:num w:numId="48">
    <w:abstractNumId w:val="92"/>
  </w:num>
  <w:num w:numId="49">
    <w:abstractNumId w:val="59"/>
  </w:num>
  <w:num w:numId="50">
    <w:abstractNumId w:val="26"/>
  </w:num>
  <w:num w:numId="51">
    <w:abstractNumId w:val="12"/>
  </w:num>
  <w:num w:numId="52">
    <w:abstractNumId w:val="89"/>
  </w:num>
  <w:num w:numId="53">
    <w:abstractNumId w:val="50"/>
  </w:num>
  <w:num w:numId="54">
    <w:abstractNumId w:val="39"/>
  </w:num>
  <w:num w:numId="55">
    <w:abstractNumId w:val="97"/>
  </w:num>
  <w:num w:numId="56">
    <w:abstractNumId w:val="44"/>
  </w:num>
  <w:num w:numId="57">
    <w:abstractNumId w:val="55"/>
  </w:num>
  <w:num w:numId="58">
    <w:abstractNumId w:val="99"/>
  </w:num>
  <w:num w:numId="59">
    <w:abstractNumId w:val="25"/>
  </w:num>
  <w:num w:numId="60">
    <w:abstractNumId w:val="2"/>
  </w:num>
  <w:num w:numId="61">
    <w:abstractNumId w:val="49"/>
  </w:num>
  <w:num w:numId="62">
    <w:abstractNumId w:val="42"/>
  </w:num>
  <w:num w:numId="63">
    <w:abstractNumId w:val="80"/>
  </w:num>
  <w:num w:numId="64">
    <w:abstractNumId w:val="88"/>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num>
  <w:num w:numId="67">
    <w:abstractNumId w:val="104"/>
  </w:num>
  <w:num w:numId="68">
    <w:abstractNumId w:val="52"/>
  </w:num>
  <w:num w:numId="69">
    <w:abstractNumId w:val="40"/>
  </w:num>
  <w:num w:numId="70">
    <w:abstractNumId w:val="95"/>
  </w:num>
  <w:num w:numId="71">
    <w:abstractNumId w:val="74"/>
  </w:num>
  <w:num w:numId="72">
    <w:abstractNumId w:val="85"/>
  </w:num>
  <w:num w:numId="73">
    <w:abstractNumId w:val="73"/>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num>
  <w:num w:numId="83">
    <w:abstractNumId w:val="11"/>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num>
  <w:num w:numId="8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num>
  <w:num w:numId="89">
    <w:abstractNumId w:val="101"/>
  </w:num>
  <w:num w:numId="90">
    <w:abstractNumId w:val="75"/>
  </w:num>
  <w:num w:numId="91">
    <w:abstractNumId w:val="33"/>
  </w:num>
  <w:num w:numId="92">
    <w:abstractNumId w:val="66"/>
  </w:num>
  <w:num w:numId="93">
    <w:abstractNumId w:val="43"/>
  </w:num>
  <w:num w:numId="94">
    <w:abstractNumId w:val="82"/>
  </w:num>
  <w:num w:numId="95">
    <w:abstractNumId w:val="53"/>
  </w:num>
  <w:num w:numId="96">
    <w:abstractNumId w:val="7"/>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num>
  <w:num w:numId="99">
    <w:abstractNumId w:val="84"/>
  </w:num>
  <w:num w:numId="100">
    <w:abstractNumId w:val="46"/>
  </w:num>
  <w:num w:numId="101">
    <w:abstractNumId w:val="60"/>
  </w:num>
  <w:num w:numId="102">
    <w:abstractNumId w:val="20"/>
  </w:num>
  <w:num w:numId="103">
    <w:abstractNumId w:val="69"/>
  </w:num>
  <w:num w:numId="104">
    <w:abstractNumId w:val="61"/>
  </w:num>
  <w:num w:numId="105">
    <w:abstractNumId w:val="2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3C"/>
    <w:rsid w:val="00031496"/>
    <w:rsid w:val="00055FC7"/>
    <w:rsid w:val="000C6094"/>
    <w:rsid w:val="000F6A52"/>
    <w:rsid w:val="00113F3C"/>
    <w:rsid w:val="00127EE8"/>
    <w:rsid w:val="00151E03"/>
    <w:rsid w:val="001627EC"/>
    <w:rsid w:val="001F3D4A"/>
    <w:rsid w:val="00212C79"/>
    <w:rsid w:val="002B55C1"/>
    <w:rsid w:val="002C2466"/>
    <w:rsid w:val="002D76FF"/>
    <w:rsid w:val="0032322D"/>
    <w:rsid w:val="003709AF"/>
    <w:rsid w:val="004009B9"/>
    <w:rsid w:val="00412DC1"/>
    <w:rsid w:val="004B362B"/>
    <w:rsid w:val="004C0495"/>
    <w:rsid w:val="004E0050"/>
    <w:rsid w:val="00506D71"/>
    <w:rsid w:val="00520EC0"/>
    <w:rsid w:val="00523014"/>
    <w:rsid w:val="005555C2"/>
    <w:rsid w:val="00580D8F"/>
    <w:rsid w:val="005C6E82"/>
    <w:rsid w:val="0060142C"/>
    <w:rsid w:val="006629F2"/>
    <w:rsid w:val="00674527"/>
    <w:rsid w:val="006C7B9C"/>
    <w:rsid w:val="0071779B"/>
    <w:rsid w:val="0075012D"/>
    <w:rsid w:val="00796126"/>
    <w:rsid w:val="007E0E95"/>
    <w:rsid w:val="008112AA"/>
    <w:rsid w:val="009209C0"/>
    <w:rsid w:val="009508BC"/>
    <w:rsid w:val="00964647"/>
    <w:rsid w:val="009A5E44"/>
    <w:rsid w:val="009E30F0"/>
    <w:rsid w:val="00A21E64"/>
    <w:rsid w:val="00B60E0D"/>
    <w:rsid w:val="00BB462C"/>
    <w:rsid w:val="00C8023C"/>
    <w:rsid w:val="00CD2240"/>
    <w:rsid w:val="00CF263F"/>
    <w:rsid w:val="00D16282"/>
    <w:rsid w:val="00D54A54"/>
    <w:rsid w:val="00D83888"/>
    <w:rsid w:val="00D97BCF"/>
    <w:rsid w:val="00DC00FF"/>
    <w:rsid w:val="00E013D9"/>
    <w:rsid w:val="00EE4BEF"/>
    <w:rsid w:val="00F0133E"/>
    <w:rsid w:val="00F06556"/>
    <w:rsid w:val="00F373B7"/>
    <w:rsid w:val="00F439E2"/>
    <w:rsid w:val="00F56ED1"/>
    <w:rsid w:val="00F57A55"/>
    <w:rsid w:val="00F8663A"/>
    <w:rsid w:val="00FA5AC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05A82"/>
  <w15:chartTrackingRefBased/>
  <w15:docId w15:val="{EBE1B7E6-41BB-42B4-AE43-03C067B0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27"/>
    <w:pPr>
      <w:spacing w:after="0" w:line="240" w:lineRule="auto"/>
    </w:pPr>
    <w:rPr>
      <w:rFonts w:ascii="Times New Roman" w:eastAsia="Times New Roman" w:hAnsi="Times New Roman" w:cs="Times New Roman"/>
      <w:sz w:val="24"/>
      <w:szCs w:val="24"/>
      <w:lang w:val="en-US" w:eastAsia="en-GB"/>
    </w:rPr>
  </w:style>
  <w:style w:type="paragraph" w:styleId="Heading1">
    <w:name w:val="heading 1"/>
    <w:basedOn w:val="Normal"/>
    <w:next w:val="Normal"/>
    <w:link w:val="Heading1Char"/>
    <w:qFormat/>
    <w:rsid w:val="00674527"/>
    <w:pPr>
      <w:keepNext/>
      <w:numPr>
        <w:numId w:val="1"/>
      </w:numPr>
      <w:pBdr>
        <w:top w:val="single" w:sz="4" w:space="1" w:color="auto"/>
      </w:pBdr>
      <w:suppressAutoHyphens/>
      <w:spacing w:before="104" w:after="226"/>
      <w:jc w:val="both"/>
      <w:outlineLvl w:val="0"/>
    </w:pPr>
    <w:rPr>
      <w:rFonts w:asciiTheme="majorHAnsi" w:hAnsiTheme="majorHAnsi"/>
      <w:b/>
      <w:smallCaps/>
      <w:spacing w:val="-2"/>
      <w:sz w:val="28"/>
      <w:szCs w:val="20"/>
      <w:lang w:eastAsia="en-US"/>
    </w:rPr>
  </w:style>
  <w:style w:type="paragraph" w:styleId="Heading2">
    <w:name w:val="heading 2"/>
    <w:basedOn w:val="Normal"/>
    <w:next w:val="Normal"/>
    <w:link w:val="Heading2Char"/>
    <w:unhideWhenUsed/>
    <w:qFormat/>
    <w:rsid w:val="006745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7452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32322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32322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A21E64"/>
    <w:pPr>
      <w:keepNext/>
      <w:ind w:left="360"/>
      <w:outlineLvl w:val="5"/>
    </w:pPr>
    <w:rPr>
      <w:b/>
      <w:bCs/>
      <w:smallCaps/>
      <w:lang w:val="x-none" w:eastAsia="x-none"/>
    </w:rPr>
  </w:style>
  <w:style w:type="paragraph" w:styleId="Heading7">
    <w:name w:val="heading 7"/>
    <w:basedOn w:val="Normal"/>
    <w:next w:val="Normal"/>
    <w:link w:val="Heading7Char"/>
    <w:semiHidden/>
    <w:unhideWhenUsed/>
    <w:qFormat/>
    <w:rsid w:val="00A21E64"/>
    <w:pPr>
      <w:keepNext/>
      <w:outlineLvl w:val="6"/>
    </w:pPr>
    <w:rPr>
      <w:b/>
      <w:bCs/>
      <w:sz w:val="20"/>
      <w:lang w:val="x-none" w:eastAsia="x-none"/>
    </w:rPr>
  </w:style>
  <w:style w:type="paragraph" w:styleId="Heading8">
    <w:name w:val="heading 8"/>
    <w:basedOn w:val="Normal"/>
    <w:next w:val="Normal"/>
    <w:link w:val="Heading8Char"/>
    <w:semiHidden/>
    <w:unhideWhenUsed/>
    <w:qFormat/>
    <w:rsid w:val="00A21E64"/>
    <w:pPr>
      <w:spacing w:before="240" w:after="60"/>
      <w:jc w:val="both"/>
      <w:outlineLvl w:val="7"/>
    </w:pPr>
    <w:rPr>
      <w:rFonts w:ascii="Calibri" w:eastAsia="SimSun" w:hAnsi="Calibri"/>
      <w:i/>
      <w:iCs/>
      <w:lang w:eastAsia="en-US"/>
    </w:rPr>
  </w:style>
  <w:style w:type="paragraph" w:styleId="Heading9">
    <w:name w:val="heading 9"/>
    <w:basedOn w:val="Normal"/>
    <w:next w:val="Normal"/>
    <w:link w:val="Heading9Char"/>
    <w:semiHidden/>
    <w:unhideWhenUsed/>
    <w:qFormat/>
    <w:rsid w:val="00A21E64"/>
    <w:pPr>
      <w:keepNext/>
      <w:framePr w:w="3801" w:h="4681" w:hSpace="180" w:wrap="around" w:vAnchor="text" w:hAnchor="page" w:x="7141" w:y="1441"/>
      <w:outlineLvl w:val="8"/>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527"/>
    <w:rPr>
      <w:rFonts w:asciiTheme="majorHAnsi" w:eastAsia="Times New Roman" w:hAnsiTheme="majorHAnsi" w:cs="Times New Roman"/>
      <w:b/>
      <w:smallCaps/>
      <w:spacing w:val="-2"/>
      <w:sz w:val="28"/>
      <w:szCs w:val="20"/>
      <w:lang w:val="en-US" w:eastAsia="en-US"/>
    </w:rPr>
  </w:style>
  <w:style w:type="character" w:styleId="Hyperlink">
    <w:name w:val="Hyperlink"/>
    <w:uiPriority w:val="99"/>
    <w:unhideWhenUsed/>
    <w:rsid w:val="00674527"/>
    <w:rPr>
      <w:rFonts w:ascii="Times New Roman" w:hAnsi="Times New Roman" w:cs="Times New Roman" w:hint="default"/>
      <w:color w:val="0000FF"/>
      <w:u w:val="single"/>
    </w:rPr>
  </w:style>
  <w:style w:type="paragraph" w:styleId="NormalWeb">
    <w:name w:val="Normal (Web)"/>
    <w:aliases w:val="webb"/>
    <w:basedOn w:val="Heading1"/>
    <w:next w:val="Normal"/>
    <w:autoRedefine/>
    <w:uiPriority w:val="39"/>
    <w:unhideWhenUsed/>
    <w:qFormat/>
    <w:rsid w:val="00674527"/>
    <w:pPr>
      <w:keepLines/>
      <w:numPr>
        <w:numId w:val="0"/>
      </w:numPr>
      <w:pBdr>
        <w:top w:val="none" w:sz="0" w:space="0" w:color="auto"/>
      </w:pBdr>
      <w:suppressAutoHyphens w:val="0"/>
      <w:spacing w:before="480" w:after="0" w:line="276" w:lineRule="auto"/>
      <w:outlineLvl w:val="9"/>
    </w:pPr>
    <w:rPr>
      <w:rFonts w:asciiTheme="minorHAnsi" w:eastAsia="SimSun" w:hAnsiTheme="minorHAnsi" w:cstheme="minorHAnsi"/>
      <w:b w:val="0"/>
      <w:smallCaps w:val="0"/>
      <w:color w:val="000000" w:themeColor="text1"/>
      <w:spacing w:val="0"/>
      <w:sz w:val="22"/>
      <w:szCs w:val="22"/>
    </w:rPr>
  </w:style>
  <w:style w:type="paragraph" w:customStyle="1" w:styleId="Para">
    <w:name w:val="Para"/>
    <w:basedOn w:val="Normal"/>
    <w:link w:val="ParaChar"/>
    <w:qFormat/>
    <w:rsid w:val="00674527"/>
    <w:pPr>
      <w:numPr>
        <w:numId w:val="2"/>
      </w:numPr>
      <w:ind w:left="0" w:firstLine="0"/>
    </w:pPr>
    <w:rPr>
      <w:rFonts w:asciiTheme="minorHAnsi" w:hAnsiTheme="minorHAnsi"/>
      <w:color w:val="000000"/>
      <w:sz w:val="22"/>
      <w:szCs w:val="22"/>
      <w:lang w:val="en-GB" w:eastAsia="en-US"/>
    </w:rPr>
  </w:style>
  <w:style w:type="character" w:customStyle="1" w:styleId="Heading2Char">
    <w:name w:val="Heading 2 Char"/>
    <w:basedOn w:val="DefaultParagraphFont"/>
    <w:link w:val="Heading2"/>
    <w:rsid w:val="00674527"/>
    <w:rPr>
      <w:rFonts w:asciiTheme="majorHAnsi" w:eastAsiaTheme="majorEastAsia" w:hAnsiTheme="majorHAnsi" w:cstheme="majorBidi"/>
      <w:color w:val="2F5496" w:themeColor="accent1" w:themeShade="BF"/>
      <w:sz w:val="26"/>
      <w:szCs w:val="26"/>
      <w:lang w:val="en-US" w:eastAsia="en-GB"/>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674527"/>
    <w:pPr>
      <w:ind w:left="720"/>
      <w:contextualSpacing/>
    </w:pPr>
  </w:style>
  <w:style w:type="character" w:customStyle="1" w:styleId="Heading3Char">
    <w:name w:val="Heading 3 Char"/>
    <w:basedOn w:val="DefaultParagraphFont"/>
    <w:link w:val="Heading3"/>
    <w:rsid w:val="00674527"/>
    <w:rPr>
      <w:rFonts w:asciiTheme="majorHAnsi" w:eastAsiaTheme="majorEastAsia" w:hAnsiTheme="majorHAnsi" w:cstheme="majorBidi"/>
      <w:color w:val="1F3763" w:themeColor="accent1" w:themeShade="7F"/>
      <w:sz w:val="24"/>
      <w:szCs w:val="24"/>
      <w:lang w:val="en-US" w:eastAsia="en-GB"/>
    </w:rPr>
  </w:style>
  <w:style w:type="paragraph" w:styleId="Header">
    <w:name w:val="header"/>
    <w:basedOn w:val="Normal"/>
    <w:link w:val="HeaderChar"/>
    <w:uiPriority w:val="99"/>
    <w:unhideWhenUsed/>
    <w:rsid w:val="0060142C"/>
    <w:pPr>
      <w:tabs>
        <w:tab w:val="center" w:pos="4513"/>
        <w:tab w:val="right" w:pos="9026"/>
      </w:tabs>
    </w:pPr>
  </w:style>
  <w:style w:type="character" w:customStyle="1" w:styleId="HeaderChar">
    <w:name w:val="Header Char"/>
    <w:basedOn w:val="DefaultParagraphFont"/>
    <w:link w:val="Header"/>
    <w:uiPriority w:val="99"/>
    <w:rsid w:val="0060142C"/>
    <w:rPr>
      <w:rFonts w:ascii="Times New Roman" w:eastAsia="Times New Roman" w:hAnsi="Times New Roman" w:cs="Times New Roman"/>
      <w:sz w:val="24"/>
      <w:szCs w:val="24"/>
      <w:lang w:val="en-US" w:eastAsia="en-GB"/>
    </w:rPr>
  </w:style>
  <w:style w:type="paragraph" w:styleId="Footer">
    <w:name w:val="footer"/>
    <w:basedOn w:val="Normal"/>
    <w:link w:val="FooterChar"/>
    <w:uiPriority w:val="99"/>
    <w:unhideWhenUsed/>
    <w:rsid w:val="0060142C"/>
    <w:pPr>
      <w:tabs>
        <w:tab w:val="center" w:pos="4513"/>
        <w:tab w:val="right" w:pos="9026"/>
      </w:tabs>
    </w:pPr>
  </w:style>
  <w:style w:type="character" w:customStyle="1" w:styleId="FooterChar">
    <w:name w:val="Footer Char"/>
    <w:basedOn w:val="DefaultParagraphFont"/>
    <w:link w:val="Footer"/>
    <w:uiPriority w:val="99"/>
    <w:rsid w:val="0060142C"/>
    <w:rPr>
      <w:rFonts w:ascii="Times New Roman" w:eastAsia="Times New Roman" w:hAnsi="Times New Roman" w:cs="Times New Roman"/>
      <w:sz w:val="24"/>
      <w:szCs w:val="24"/>
      <w:lang w:val="en-US" w:eastAsia="en-GB"/>
    </w:rPr>
  </w:style>
  <w:style w:type="paragraph" w:styleId="TOC1">
    <w:name w:val="toc 1"/>
    <w:basedOn w:val="Normal"/>
    <w:next w:val="Normal"/>
    <w:autoRedefine/>
    <w:uiPriority w:val="39"/>
    <w:unhideWhenUsed/>
    <w:rsid w:val="0060142C"/>
    <w:pPr>
      <w:spacing w:before="120" w:after="120"/>
    </w:pPr>
    <w:rPr>
      <w:rFonts w:asciiTheme="minorHAnsi" w:eastAsia="SimSun" w:hAnsiTheme="minorHAnsi" w:cstheme="minorHAnsi"/>
      <w:b/>
      <w:bCs/>
      <w:caps/>
      <w:sz w:val="20"/>
      <w:szCs w:val="20"/>
      <w:lang w:eastAsia="en-US"/>
    </w:rPr>
  </w:style>
  <w:style w:type="paragraph" w:styleId="TOC2">
    <w:name w:val="toc 2"/>
    <w:basedOn w:val="Normal"/>
    <w:next w:val="Normal"/>
    <w:autoRedefine/>
    <w:uiPriority w:val="39"/>
    <w:unhideWhenUsed/>
    <w:rsid w:val="0060142C"/>
    <w:pPr>
      <w:ind w:left="200"/>
    </w:pPr>
    <w:rPr>
      <w:rFonts w:asciiTheme="minorHAnsi" w:eastAsia="SimSun" w:hAnsiTheme="minorHAnsi" w:cstheme="minorHAnsi"/>
      <w:smallCaps/>
      <w:sz w:val="20"/>
      <w:szCs w:val="20"/>
      <w:lang w:eastAsia="en-US"/>
    </w:rPr>
  </w:style>
  <w:style w:type="paragraph" w:styleId="TOCHeading">
    <w:name w:val="TOC Heading"/>
    <w:basedOn w:val="Heading1"/>
    <w:next w:val="Normal"/>
    <w:uiPriority w:val="39"/>
    <w:semiHidden/>
    <w:unhideWhenUsed/>
    <w:qFormat/>
    <w:rsid w:val="0060142C"/>
    <w:pPr>
      <w:keepLines/>
      <w:numPr>
        <w:numId w:val="0"/>
      </w:numPr>
      <w:pBdr>
        <w:top w:val="none" w:sz="0" w:space="0" w:color="auto"/>
      </w:pBdr>
      <w:suppressAutoHyphens w:val="0"/>
      <w:spacing w:before="480" w:after="0" w:line="276" w:lineRule="auto"/>
      <w:jc w:val="left"/>
      <w:outlineLvl w:val="9"/>
    </w:pPr>
    <w:rPr>
      <w:rFonts w:ascii="Cambria" w:eastAsia="SimSun" w:hAnsi="Cambria"/>
      <w:bCs/>
      <w:smallCaps w:val="0"/>
      <w:color w:val="365F91"/>
      <w:spacing w:val="0"/>
      <w:szCs w:val="28"/>
    </w:rPr>
  </w:style>
  <w:style w:type="character" w:customStyle="1" w:styleId="Heading4Char">
    <w:name w:val="Heading 4 Char"/>
    <w:basedOn w:val="DefaultParagraphFont"/>
    <w:link w:val="Heading4"/>
    <w:rsid w:val="0032322D"/>
    <w:rPr>
      <w:rFonts w:asciiTheme="majorHAnsi" w:eastAsiaTheme="majorEastAsia" w:hAnsiTheme="majorHAnsi" w:cstheme="majorBidi"/>
      <w:i/>
      <w:iCs/>
      <w:color w:val="2F5496" w:themeColor="accent1" w:themeShade="BF"/>
      <w:sz w:val="24"/>
      <w:szCs w:val="24"/>
      <w:lang w:val="en-US" w:eastAsia="en-GB"/>
    </w:rPr>
  </w:style>
  <w:style w:type="character" w:customStyle="1" w:styleId="Heading5Char">
    <w:name w:val="Heading 5 Char"/>
    <w:basedOn w:val="DefaultParagraphFont"/>
    <w:link w:val="Heading5"/>
    <w:rsid w:val="0032322D"/>
    <w:rPr>
      <w:rFonts w:asciiTheme="majorHAnsi" w:eastAsiaTheme="majorEastAsia" w:hAnsiTheme="majorHAnsi" w:cstheme="majorBidi"/>
      <w:color w:val="2F5496" w:themeColor="accent1" w:themeShade="BF"/>
      <w:sz w:val="24"/>
      <w:szCs w:val="24"/>
      <w:lang w:val="en-US" w:eastAsia="en-GB"/>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headin"/>
    <w:link w:val="CharCharCharCharCarChar"/>
    <w:uiPriority w:val="99"/>
    <w:unhideWhenUsed/>
    <w:qFormat/>
    <w:rsid w:val="001F3D4A"/>
    <w:rPr>
      <w:rFonts w:ascii="Arial" w:hAnsi="Arial" w:cs="Arial"/>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1F3D4A"/>
    <w:pPr>
      <w:spacing w:after="160" w:line="240" w:lineRule="exact"/>
      <w:jc w:val="both"/>
    </w:pPr>
    <w:rPr>
      <w:rFonts w:ascii="Arial" w:eastAsiaTheme="minorEastAsia" w:hAnsi="Arial" w:cs="Arial"/>
      <w:sz w:val="18"/>
      <w:szCs w:val="22"/>
      <w:vertAlign w:val="superscript"/>
      <w:lang w:val="fr-FR" w:eastAsia="zh-CN"/>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locked/>
    <w:rsid w:val="00212C79"/>
    <w:rPr>
      <w:rFonts w:ascii="Times New Roman" w:eastAsia="Times New Roman" w:hAnsi="Times New Roman" w:cs="Times New Roman"/>
      <w:sz w:val="24"/>
      <w:szCs w:val="24"/>
      <w:lang w:val="en-US" w:eastAsia="en-GB"/>
    </w:rPr>
  </w:style>
  <w:style w:type="paragraph" w:customStyle="1" w:styleId="SESPbodynumbered">
    <w:name w:val="SESP body numbered"/>
    <w:basedOn w:val="Normal"/>
    <w:uiPriority w:val="99"/>
    <w:qFormat/>
    <w:rsid w:val="00D16282"/>
    <w:pPr>
      <w:numPr>
        <w:numId w:val="67"/>
      </w:numPr>
      <w:tabs>
        <w:tab w:val="left" w:pos="360"/>
      </w:tabs>
      <w:spacing w:before="120" w:after="120" w:line="264" w:lineRule="auto"/>
    </w:pPr>
    <w:rPr>
      <w:rFonts w:eastAsia="MS Mincho"/>
      <w:szCs w:val="20"/>
      <w:lang w:val="en-GB" w:eastAsia="ja-JP"/>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semiHidden/>
    <w:locked/>
    <w:rsid w:val="007E0E95"/>
    <w:rPr>
      <w:rFonts w:cs="Calibri"/>
      <w:sz w:val="18"/>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semiHidden/>
    <w:unhideWhenUsed/>
    <w:qFormat/>
    <w:rsid w:val="007E0E95"/>
    <w:pPr>
      <w:widowControl w:val="0"/>
      <w:jc w:val="both"/>
    </w:pPr>
    <w:rPr>
      <w:rFonts w:asciiTheme="minorHAnsi" w:eastAsiaTheme="minorEastAsia" w:hAnsiTheme="minorHAnsi" w:cs="Calibri"/>
      <w:sz w:val="18"/>
      <w:szCs w:val="22"/>
      <w:lang w:val="fr-FR" w:eastAsia="zh-CN"/>
    </w:rPr>
  </w:style>
  <w:style w:type="character" w:customStyle="1" w:styleId="FootnoteTextChar">
    <w:name w:val="Footnote Text Char"/>
    <w:aliases w:val="Geneva 9 Char1,Font: Geneva 9 Char1,Boston 10 Char1,f Char1,single space Char1,footnote text Char1,Footnote Char1,otnote Text Char1,Footnote Text Char Char Char Char,Footnote Text Char Char Char Char Char Char Char Char,fn Char"/>
    <w:basedOn w:val="DefaultParagraphFont"/>
    <w:uiPriority w:val="99"/>
    <w:semiHidden/>
    <w:rsid w:val="007E0E95"/>
    <w:rPr>
      <w:rFonts w:ascii="Times New Roman" w:eastAsia="Times New Roman" w:hAnsi="Times New Roman" w:cs="Times New Roman"/>
      <w:sz w:val="20"/>
      <w:szCs w:val="20"/>
      <w:lang w:val="en-US" w:eastAsia="en-GB"/>
    </w:rPr>
  </w:style>
  <w:style w:type="character" w:customStyle="1" w:styleId="GEFFieldtoFilloutChar">
    <w:name w:val="GEF Field to Fill out Char"/>
    <w:link w:val="GEFFieldtoFillout"/>
    <w:locked/>
    <w:rsid w:val="00580D8F"/>
    <w:rPr>
      <w:rFonts w:ascii="Times New Roman" w:eastAsia="Times New Roman" w:hAnsi="Times New Roman" w:cs="Times New Roman"/>
      <w:color w:val="000000"/>
    </w:rPr>
  </w:style>
  <w:style w:type="paragraph" w:customStyle="1" w:styleId="GEFFieldtoFillout">
    <w:name w:val="GEF Field to Fill out"/>
    <w:basedOn w:val="Normal"/>
    <w:link w:val="GEFFieldtoFilloutChar"/>
    <w:qFormat/>
    <w:rsid w:val="00580D8F"/>
    <w:pPr>
      <w:ind w:left="-720"/>
    </w:pPr>
    <w:rPr>
      <w:color w:val="000000"/>
      <w:sz w:val="22"/>
      <w:szCs w:val="22"/>
      <w:lang w:val="fr-FR" w:eastAsia="zh-CN"/>
    </w:rPr>
  </w:style>
  <w:style w:type="table" w:styleId="TableGrid">
    <w:name w:val="Table Grid"/>
    <w:basedOn w:val="TableNormal"/>
    <w:uiPriority w:val="39"/>
    <w:rsid w:val="00796126"/>
    <w:pPr>
      <w:spacing w:after="0" w:line="240" w:lineRule="auto"/>
    </w:pPr>
    <w:rPr>
      <w:rFonts w:ascii="Calibri" w:eastAsia="SimSun" w:hAnsi="Calibri"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A21E64"/>
    <w:rPr>
      <w:rFonts w:ascii="Times New Roman" w:eastAsia="Times New Roman" w:hAnsi="Times New Roman" w:cs="Times New Roman"/>
      <w:b/>
      <w:bCs/>
      <w:smallCaps/>
      <w:sz w:val="24"/>
      <w:szCs w:val="24"/>
      <w:lang w:val="x-none" w:eastAsia="x-none"/>
    </w:rPr>
  </w:style>
  <w:style w:type="character" w:customStyle="1" w:styleId="Heading7Char">
    <w:name w:val="Heading 7 Char"/>
    <w:basedOn w:val="DefaultParagraphFont"/>
    <w:link w:val="Heading7"/>
    <w:semiHidden/>
    <w:rsid w:val="00A21E64"/>
    <w:rPr>
      <w:rFonts w:ascii="Times New Roman" w:eastAsia="Times New Roman" w:hAnsi="Times New Roman" w:cs="Times New Roman"/>
      <w:b/>
      <w:bCs/>
      <w:sz w:val="20"/>
      <w:szCs w:val="24"/>
      <w:lang w:val="x-none" w:eastAsia="x-none"/>
    </w:rPr>
  </w:style>
  <w:style w:type="character" w:customStyle="1" w:styleId="Heading8Char">
    <w:name w:val="Heading 8 Char"/>
    <w:basedOn w:val="DefaultParagraphFont"/>
    <w:link w:val="Heading8"/>
    <w:semiHidden/>
    <w:rsid w:val="00A21E64"/>
    <w:rPr>
      <w:rFonts w:ascii="Calibri" w:eastAsia="SimSun" w:hAnsi="Calibri" w:cs="Times New Roman"/>
      <w:i/>
      <w:iCs/>
      <w:sz w:val="24"/>
      <w:szCs w:val="24"/>
      <w:lang w:val="en-US" w:eastAsia="en-US"/>
    </w:rPr>
  </w:style>
  <w:style w:type="character" w:customStyle="1" w:styleId="Heading9Char">
    <w:name w:val="Heading 9 Char"/>
    <w:basedOn w:val="DefaultParagraphFont"/>
    <w:link w:val="Heading9"/>
    <w:semiHidden/>
    <w:rsid w:val="00A21E64"/>
    <w:rPr>
      <w:rFonts w:ascii="Times New Roman" w:eastAsia="Times New Roman" w:hAnsi="Times New Roman" w:cs="Times New Roman"/>
      <w:b/>
      <w:bCs/>
      <w:sz w:val="24"/>
      <w:szCs w:val="24"/>
      <w:lang w:val="x-none" w:eastAsia="x-none"/>
    </w:rPr>
  </w:style>
  <w:style w:type="character" w:styleId="FollowedHyperlink">
    <w:name w:val="FollowedHyperlink"/>
    <w:semiHidden/>
    <w:unhideWhenUsed/>
    <w:rsid w:val="00A21E64"/>
    <w:rPr>
      <w:rFonts w:ascii="Times New Roman" w:hAnsi="Times New Roman" w:cs="Times New Roman" w:hint="default"/>
      <w:color w:val="800080"/>
      <w:u w:val="single"/>
    </w:rPr>
  </w:style>
  <w:style w:type="character" w:styleId="Emphasis">
    <w:name w:val="Emphasis"/>
    <w:qFormat/>
    <w:rsid w:val="00A21E64"/>
    <w:rPr>
      <w:rFonts w:ascii="Times New Roman" w:hAnsi="Times New Roman" w:cs="Times New Roman" w:hint="default"/>
      <w:i/>
      <w:iCs/>
    </w:rPr>
  </w:style>
  <w:style w:type="character" w:styleId="Strong">
    <w:name w:val="Strong"/>
    <w:uiPriority w:val="22"/>
    <w:qFormat/>
    <w:rsid w:val="00A21E64"/>
    <w:rPr>
      <w:rFonts w:ascii="Times New Roman" w:hAnsi="Times New Roman" w:cs="Times New Roman" w:hint="default"/>
      <w:b/>
      <w:bCs/>
    </w:rPr>
  </w:style>
  <w:style w:type="character" w:styleId="HTMLTypewriter">
    <w:name w:val="HTML Typewriter"/>
    <w:uiPriority w:val="99"/>
    <w:semiHidden/>
    <w:unhideWhenUsed/>
    <w:rsid w:val="00A21E64"/>
    <w:rPr>
      <w:rFonts w:ascii="Courier New" w:eastAsia="Times New Roman" w:hAnsi="Courier New" w:cs="Courier New" w:hint="default"/>
      <w:sz w:val="20"/>
      <w:szCs w:val="20"/>
    </w:rPr>
  </w:style>
  <w:style w:type="character" w:customStyle="1" w:styleId="CommentTextChar">
    <w:name w:val="Comment Text Char"/>
    <w:basedOn w:val="DefaultParagraphFont"/>
    <w:link w:val="CommentText"/>
    <w:uiPriority w:val="99"/>
    <w:semiHidden/>
    <w:locked/>
    <w:rsid w:val="00A21E64"/>
  </w:style>
  <w:style w:type="character" w:customStyle="1" w:styleId="EndnoteTextChar">
    <w:name w:val="Endnote Text Char"/>
    <w:aliases w:val="Char Char"/>
    <w:basedOn w:val="DefaultParagraphFont"/>
    <w:semiHidden/>
    <w:locked/>
    <w:rsid w:val="00A21E64"/>
    <w:rPr>
      <w:rFonts w:ascii="MS Mincho" w:eastAsia="MS Mincho" w:hAnsi="MS Mincho" w:hint="eastAsia"/>
      <w:lang w:eastAsia="ja-JP"/>
    </w:rPr>
  </w:style>
  <w:style w:type="paragraph" w:styleId="EndnoteText">
    <w:name w:val="endnote text"/>
    <w:aliases w:val="Char"/>
    <w:basedOn w:val="Heading2"/>
    <w:link w:val="EndnoteTextChar1"/>
    <w:uiPriority w:val="99"/>
    <w:semiHidden/>
    <w:unhideWhenUsed/>
    <w:rsid w:val="00A21E64"/>
    <w:pPr>
      <w:keepLines w:val="0"/>
      <w:pageBreakBefore/>
      <w:tabs>
        <w:tab w:val="left" w:pos="850"/>
        <w:tab w:val="left" w:pos="1191"/>
        <w:tab w:val="left" w:pos="1531"/>
      </w:tabs>
      <w:spacing w:before="0" w:after="60"/>
      <w:jc w:val="center"/>
    </w:pPr>
    <w:rPr>
      <w:rFonts w:ascii="Tahoma" w:eastAsia="SimSun" w:hAnsi="Tahoma" w:cs="Tahoma"/>
      <w:b/>
      <w:color w:val="FFFFFF"/>
      <w:spacing w:val="20"/>
      <w:sz w:val="20"/>
      <w:szCs w:val="22"/>
      <w:lang w:eastAsia="zh-CN"/>
    </w:rPr>
  </w:style>
  <w:style w:type="character" w:customStyle="1" w:styleId="EndnoteTextChar1">
    <w:name w:val="Endnote Text Char1"/>
    <w:aliases w:val="Char Char1"/>
    <w:basedOn w:val="DefaultParagraphFont"/>
    <w:link w:val="EndnoteText"/>
    <w:uiPriority w:val="99"/>
    <w:semiHidden/>
    <w:rsid w:val="00A21E64"/>
    <w:rPr>
      <w:rFonts w:ascii="Tahoma" w:eastAsia="SimSun" w:hAnsi="Tahoma" w:cs="Tahoma"/>
      <w:b/>
      <w:color w:val="FFFFFF"/>
      <w:spacing w:val="20"/>
      <w:sz w:val="20"/>
      <w:lang w:val="en-US"/>
    </w:rPr>
  </w:style>
  <w:style w:type="character" w:customStyle="1" w:styleId="TitleChar">
    <w:name w:val="Title Char"/>
    <w:basedOn w:val="DefaultParagraphFont"/>
    <w:link w:val="Title"/>
    <w:uiPriority w:val="10"/>
    <w:locked/>
    <w:rsid w:val="00A21E64"/>
    <w:rPr>
      <w:rFonts w:ascii="Arial" w:hAnsi="Arial" w:cs="Arial"/>
      <w:b/>
      <w:bCs/>
      <w:kern w:val="28"/>
      <w:sz w:val="32"/>
      <w:szCs w:val="32"/>
    </w:rPr>
  </w:style>
  <w:style w:type="character" w:customStyle="1" w:styleId="BodyTextChar">
    <w:name w:val="Body Text Char"/>
    <w:basedOn w:val="DefaultParagraphFont"/>
    <w:link w:val="BodyText"/>
    <w:semiHidden/>
    <w:locked/>
    <w:rsid w:val="00A21E64"/>
    <w:rPr>
      <w:rFonts w:ascii="Arial Narrow" w:hAnsi="Arial Narrow"/>
      <w:i/>
      <w:iCs/>
      <w:szCs w:val="24"/>
    </w:rPr>
  </w:style>
  <w:style w:type="character" w:customStyle="1" w:styleId="BodyTextIndentChar">
    <w:name w:val="Body Text Indent Char"/>
    <w:basedOn w:val="DefaultParagraphFont"/>
    <w:link w:val="BodyTextIndent"/>
    <w:semiHidden/>
    <w:locked/>
    <w:rsid w:val="00A21E64"/>
    <w:rPr>
      <w:b/>
      <w:i/>
      <w:sz w:val="28"/>
    </w:rPr>
  </w:style>
  <w:style w:type="character" w:customStyle="1" w:styleId="SubtitleChar">
    <w:name w:val="Subtitle Char"/>
    <w:basedOn w:val="DefaultParagraphFont"/>
    <w:link w:val="Subtitle"/>
    <w:uiPriority w:val="11"/>
    <w:locked/>
    <w:rsid w:val="00A21E64"/>
    <w:rPr>
      <w:rFonts w:ascii="Georgia" w:eastAsia="Georgia" w:hAnsi="Georgia" w:cs="Georgia"/>
      <w:i/>
      <w:color w:val="666666"/>
      <w:sz w:val="48"/>
      <w:szCs w:val="48"/>
      <w:lang w:val="en-GB"/>
    </w:rPr>
  </w:style>
  <w:style w:type="character" w:customStyle="1" w:styleId="BodyText2Char">
    <w:name w:val="Body Text 2 Char"/>
    <w:basedOn w:val="DefaultParagraphFont"/>
    <w:link w:val="BodyText2"/>
    <w:semiHidden/>
    <w:locked/>
    <w:rsid w:val="00A21E64"/>
    <w:rPr>
      <w:rFonts w:ascii="Arial Narrow" w:hAnsi="Arial Narrow"/>
      <w:szCs w:val="24"/>
    </w:rPr>
  </w:style>
  <w:style w:type="character" w:customStyle="1" w:styleId="BodyText3Char">
    <w:name w:val="Body Text 3 Char"/>
    <w:basedOn w:val="DefaultParagraphFont"/>
    <w:link w:val="BodyText3"/>
    <w:semiHidden/>
    <w:locked/>
    <w:rsid w:val="00A21E64"/>
  </w:style>
  <w:style w:type="character" w:customStyle="1" w:styleId="BodyTextIndent2Char">
    <w:name w:val="Body Text Indent 2 Char"/>
    <w:basedOn w:val="DefaultParagraphFont"/>
    <w:link w:val="BodyTextIndent2"/>
    <w:semiHidden/>
    <w:locked/>
    <w:rsid w:val="00A21E64"/>
    <w:rPr>
      <w:rFonts w:ascii="Times New Roman" w:eastAsia="Times New Roman" w:hAnsi="Times New Roman" w:cs="Times New Roman"/>
      <w:i/>
      <w:iCs/>
      <w:szCs w:val="24"/>
      <w:lang w:val="x-none" w:eastAsia="x-none"/>
    </w:rPr>
  </w:style>
  <w:style w:type="character" w:customStyle="1" w:styleId="BodyTextIndent3Char">
    <w:name w:val="Body Text Indent 3 Char"/>
    <w:basedOn w:val="DefaultParagraphFont"/>
    <w:link w:val="BodyTextIndent3"/>
    <w:semiHidden/>
    <w:locked/>
    <w:rsid w:val="00A21E64"/>
    <w:rPr>
      <w:rFonts w:ascii="Times New Roman" w:eastAsia="Times New Roman" w:hAnsi="Times New Roman" w:cs="Times New Roman"/>
      <w:sz w:val="24"/>
      <w:szCs w:val="24"/>
      <w:lang w:val="x-none" w:eastAsia="x-none"/>
    </w:rPr>
  </w:style>
  <w:style w:type="character" w:customStyle="1" w:styleId="DocumentMapChar">
    <w:name w:val="Document Map Char"/>
    <w:basedOn w:val="DefaultParagraphFont"/>
    <w:link w:val="DocumentMap"/>
    <w:semiHidden/>
    <w:locked/>
    <w:rsid w:val="00A21E64"/>
    <w:rPr>
      <w:rFonts w:ascii="Tahoma" w:eastAsia="Times New Roman" w:hAnsi="Tahoma" w:cs="Tahoma"/>
      <w:shd w:val="clear" w:color="auto" w:fill="000080"/>
      <w:lang w:val="x-none" w:eastAsia="x-none"/>
    </w:rPr>
  </w:style>
  <w:style w:type="character" w:customStyle="1" w:styleId="PlainTextChar">
    <w:name w:val="Plain Text Char"/>
    <w:basedOn w:val="DefaultParagraphFont"/>
    <w:link w:val="PlainText"/>
    <w:uiPriority w:val="99"/>
    <w:semiHidden/>
    <w:locked/>
    <w:rsid w:val="00A21E64"/>
    <w:rPr>
      <w:rFonts w:ascii="Consolas" w:eastAsia="Calibri" w:hAnsi="Consolas"/>
      <w:sz w:val="21"/>
      <w:szCs w:val="21"/>
    </w:rPr>
  </w:style>
  <w:style w:type="paragraph" w:styleId="CommentText">
    <w:name w:val="annotation text"/>
    <w:basedOn w:val="Normal"/>
    <w:link w:val="CommentTextChar"/>
    <w:uiPriority w:val="99"/>
    <w:semiHidden/>
    <w:unhideWhenUsed/>
    <w:rsid w:val="00A21E64"/>
    <w:pPr>
      <w:spacing w:after="60"/>
      <w:jc w:val="both"/>
    </w:pPr>
    <w:rPr>
      <w:rFonts w:asciiTheme="minorHAnsi" w:eastAsiaTheme="minorEastAsia" w:hAnsiTheme="minorHAnsi" w:cstheme="minorBidi"/>
      <w:sz w:val="22"/>
      <w:szCs w:val="22"/>
      <w:lang w:val="fr-FR" w:eastAsia="zh-CN"/>
    </w:rPr>
  </w:style>
  <w:style w:type="character" w:customStyle="1" w:styleId="CommentTextChar1">
    <w:name w:val="Comment Text Char1"/>
    <w:basedOn w:val="DefaultParagraphFont"/>
    <w:uiPriority w:val="99"/>
    <w:semiHidden/>
    <w:rsid w:val="00A21E64"/>
    <w:rPr>
      <w:rFonts w:ascii="Times New Roman" w:eastAsia="Times New Roman" w:hAnsi="Times New Roman" w:cs="Times New Roman"/>
      <w:sz w:val="20"/>
      <w:szCs w:val="20"/>
      <w:lang w:val="en-US" w:eastAsia="en-GB"/>
    </w:rPr>
  </w:style>
  <w:style w:type="character" w:customStyle="1" w:styleId="CommentSubjectChar">
    <w:name w:val="Comment Subject Char"/>
    <w:basedOn w:val="CommentTextChar"/>
    <w:link w:val="CommentSubject"/>
    <w:semiHidden/>
    <w:locked/>
    <w:rsid w:val="00A21E64"/>
    <w:rPr>
      <w:b/>
      <w:bCs/>
    </w:rPr>
  </w:style>
  <w:style w:type="character" w:customStyle="1" w:styleId="BalloonTextChar">
    <w:name w:val="Balloon Text Char"/>
    <w:basedOn w:val="DefaultParagraphFont"/>
    <w:link w:val="BalloonText"/>
    <w:uiPriority w:val="99"/>
    <w:semiHidden/>
    <w:locked/>
    <w:rsid w:val="00A21E64"/>
    <w:rPr>
      <w:rFonts w:ascii="Tahoma" w:hAnsi="Tahoma" w:cs="Tahoma"/>
      <w:sz w:val="16"/>
      <w:szCs w:val="16"/>
    </w:rPr>
  </w:style>
  <w:style w:type="character" w:customStyle="1" w:styleId="NoSpacingChar">
    <w:name w:val="No Spacing Char"/>
    <w:link w:val="NoSpacing"/>
    <w:uiPriority w:val="1"/>
    <w:locked/>
    <w:rsid w:val="00A21E64"/>
    <w:rPr>
      <w:rFonts w:ascii="Times" w:eastAsia="Times" w:hAnsi="Times" w:cs="Times"/>
      <w:sz w:val="24"/>
      <w:szCs w:val="24"/>
    </w:rPr>
  </w:style>
  <w:style w:type="paragraph" w:customStyle="1" w:styleId="CharCharChar1">
    <w:name w:val="Char Char Char1"/>
    <w:basedOn w:val="Normal"/>
    <w:uiPriority w:val="99"/>
    <w:rsid w:val="00A21E64"/>
    <w:pPr>
      <w:spacing w:after="160" w:line="240" w:lineRule="exact"/>
    </w:pPr>
    <w:rPr>
      <w:rFonts w:ascii="Calibri" w:eastAsia="SimSun" w:hAnsi="Calibri" w:cs="Arial"/>
      <w:sz w:val="20"/>
      <w:szCs w:val="20"/>
      <w:lang w:eastAsia="en-US"/>
    </w:rPr>
  </w:style>
  <w:style w:type="paragraph" w:customStyle="1" w:styleId="JFHeading3">
    <w:name w:val="JF Heading 3"/>
    <w:basedOn w:val="Heading3"/>
    <w:uiPriority w:val="99"/>
    <w:rsid w:val="00A21E64"/>
    <w:pPr>
      <w:keepNext w:val="0"/>
      <w:keepLines w:val="0"/>
      <w:pBdr>
        <w:bottom w:val="dotted" w:sz="4" w:space="2" w:color="666666"/>
      </w:pBdr>
      <w:spacing w:before="0"/>
    </w:pPr>
    <w:rPr>
      <w:rFonts w:ascii="Times New Roman" w:eastAsia="MS Mincho" w:hAnsi="Times New Roman" w:cs="Times New Roman"/>
      <w:i/>
      <w:color w:val="auto"/>
      <w:sz w:val="22"/>
      <w:szCs w:val="22"/>
      <w:lang w:eastAsia="ja-JP"/>
    </w:rPr>
  </w:style>
  <w:style w:type="paragraph" w:customStyle="1" w:styleId="Default">
    <w:name w:val="Default"/>
    <w:uiPriority w:val="99"/>
    <w:rsid w:val="00A21E64"/>
    <w:pPr>
      <w:autoSpaceDE w:val="0"/>
      <w:autoSpaceDN w:val="0"/>
      <w:adjustRightInd w:val="0"/>
      <w:spacing w:after="0" w:line="240" w:lineRule="auto"/>
    </w:pPr>
    <w:rPr>
      <w:rFonts w:ascii="Arial" w:eastAsia="MS Mincho" w:hAnsi="Arial" w:cs="Arial"/>
      <w:color w:val="000000"/>
      <w:sz w:val="24"/>
      <w:szCs w:val="24"/>
      <w:lang w:val="en-US" w:eastAsia="ja-JP"/>
    </w:rPr>
  </w:style>
  <w:style w:type="paragraph" w:customStyle="1" w:styleId="bodyfont">
    <w:name w:val="bodyfont"/>
    <w:basedOn w:val="Normal"/>
    <w:uiPriority w:val="99"/>
    <w:rsid w:val="00A21E64"/>
    <w:pPr>
      <w:spacing w:before="100" w:beforeAutospacing="1" w:after="100" w:afterAutospacing="1"/>
    </w:pPr>
    <w:rPr>
      <w:rFonts w:ascii="Calibri" w:eastAsia="MS Mincho" w:hAnsi="Calibri" w:cs="Arial"/>
      <w:sz w:val="12"/>
      <w:szCs w:val="12"/>
      <w:lang w:eastAsia="ja-JP"/>
    </w:rPr>
  </w:style>
  <w:style w:type="paragraph" w:customStyle="1" w:styleId="JFHeading1">
    <w:name w:val="JF Heading 1"/>
    <w:basedOn w:val="Heading1"/>
    <w:uiPriority w:val="99"/>
    <w:rsid w:val="00A21E64"/>
    <w:pPr>
      <w:pBdr>
        <w:top w:val="none" w:sz="0" w:space="0" w:color="auto"/>
      </w:pBdr>
      <w:suppressAutoHyphens w:val="0"/>
      <w:spacing w:before="240" w:after="60"/>
      <w:jc w:val="left"/>
    </w:pPr>
    <w:rPr>
      <w:rFonts w:ascii="Times New Roman" w:eastAsia="SimSun" w:hAnsi="Times New Roman" w:cs="Arial"/>
      <w:bCs/>
      <w:smallCaps w:val="0"/>
      <w:spacing w:val="0"/>
      <w:kern w:val="32"/>
      <w:sz w:val="24"/>
      <w:szCs w:val="32"/>
      <w:u w:val="single"/>
    </w:rPr>
  </w:style>
  <w:style w:type="paragraph" w:customStyle="1" w:styleId="Pa2">
    <w:name w:val="Pa2"/>
    <w:basedOn w:val="Default"/>
    <w:next w:val="Default"/>
    <w:uiPriority w:val="99"/>
    <w:rsid w:val="00A21E64"/>
    <w:pPr>
      <w:spacing w:line="191" w:lineRule="atLeast"/>
    </w:pPr>
    <w:rPr>
      <w:rFonts w:ascii="Adobe Garamond Pro" w:hAnsi="Adobe Garamond Pro" w:cs="Times New Roman"/>
      <w:color w:val="auto"/>
    </w:rPr>
  </w:style>
  <w:style w:type="paragraph" w:customStyle="1" w:styleId="CharCharCharCharCharCharChar">
    <w:name w:val="Char Char Char Char Char Char Char"/>
    <w:basedOn w:val="Heading2"/>
    <w:uiPriority w:val="99"/>
    <w:rsid w:val="00A21E64"/>
    <w:pPr>
      <w:keepLines w:val="0"/>
      <w:pageBreakBefore/>
      <w:tabs>
        <w:tab w:val="left" w:pos="850"/>
        <w:tab w:val="left" w:pos="1191"/>
        <w:tab w:val="left" w:pos="1531"/>
      </w:tabs>
      <w:spacing w:before="120" w:after="120"/>
      <w:jc w:val="center"/>
    </w:pPr>
    <w:rPr>
      <w:rFonts w:ascii="Tahoma" w:eastAsia="MS Mincho" w:hAnsi="Tahoma" w:cs="Tahoma"/>
      <w:b/>
      <w:color w:val="FFFFFF"/>
      <w:spacing w:val="20"/>
      <w:sz w:val="20"/>
      <w:szCs w:val="22"/>
      <w:lang w:eastAsia="zh-CN"/>
    </w:rPr>
  </w:style>
  <w:style w:type="paragraph" w:customStyle="1" w:styleId="CarCar">
    <w:name w:val="Car Car"/>
    <w:basedOn w:val="Heading2"/>
    <w:uiPriority w:val="99"/>
    <w:rsid w:val="00A21E64"/>
    <w:pPr>
      <w:keepLines w:val="0"/>
      <w:pageBreakBefore/>
      <w:tabs>
        <w:tab w:val="left" w:pos="850"/>
        <w:tab w:val="left" w:pos="1191"/>
        <w:tab w:val="left" w:pos="1531"/>
      </w:tabs>
      <w:spacing w:before="120" w:after="120"/>
      <w:jc w:val="center"/>
    </w:pPr>
    <w:rPr>
      <w:rFonts w:ascii="Tahoma" w:eastAsia="MS Mincho" w:hAnsi="Tahoma" w:cs="Tahoma"/>
      <w:b/>
      <w:color w:val="FFFFFF"/>
      <w:spacing w:val="20"/>
      <w:sz w:val="20"/>
      <w:szCs w:val="22"/>
      <w:lang w:eastAsia="zh-CN"/>
    </w:rPr>
  </w:style>
  <w:style w:type="paragraph" w:customStyle="1" w:styleId="Arial">
    <w:name w:val="Arial"/>
    <w:basedOn w:val="Normal"/>
    <w:uiPriority w:val="99"/>
    <w:rsid w:val="00A21E64"/>
    <w:pPr>
      <w:jc w:val="both"/>
    </w:pPr>
    <w:rPr>
      <w:rFonts w:ascii="Arial Narrow" w:eastAsia="SimSun" w:hAnsi="Arial Narrow" w:cs="Arial"/>
      <w:sz w:val="20"/>
      <w:szCs w:val="20"/>
      <w:lang w:eastAsia="en-US"/>
    </w:rPr>
  </w:style>
  <w:style w:type="character" w:customStyle="1" w:styleId="ParagraphChar">
    <w:name w:val="Paragraph Char"/>
    <w:link w:val="Paragraph"/>
    <w:locked/>
    <w:rsid w:val="00A21E64"/>
    <w:rPr>
      <w:rFonts w:ascii="Times New Roman" w:hAnsi="Times New Roman" w:cs="Angsana New"/>
      <w:noProof/>
    </w:rPr>
  </w:style>
  <w:style w:type="paragraph" w:customStyle="1" w:styleId="Paragraph">
    <w:name w:val="Paragraph"/>
    <w:basedOn w:val="Normal"/>
    <w:link w:val="ParagraphChar"/>
    <w:qFormat/>
    <w:rsid w:val="00A21E64"/>
    <w:pPr>
      <w:numPr>
        <w:numId w:val="98"/>
      </w:numPr>
      <w:spacing w:after="240"/>
    </w:pPr>
    <w:rPr>
      <w:rFonts w:eastAsiaTheme="minorEastAsia" w:cs="Angsana New"/>
      <w:noProof/>
      <w:sz w:val="22"/>
      <w:szCs w:val="22"/>
      <w:lang w:val="fr-FR" w:eastAsia="zh-CN"/>
    </w:rPr>
  </w:style>
  <w:style w:type="character" w:customStyle="1" w:styleId="BulletsChar">
    <w:name w:val="Bullets Char"/>
    <w:link w:val="Bullets"/>
    <w:locked/>
    <w:rsid w:val="00A21E64"/>
    <w:rPr>
      <w:rFonts w:ascii="Times New Roman" w:hAnsi="Times New Roman" w:cs="Angsana New"/>
      <w:noProof/>
    </w:rPr>
  </w:style>
  <w:style w:type="paragraph" w:customStyle="1" w:styleId="Bullets">
    <w:name w:val="Bullets"/>
    <w:aliases w:val="Párrafo de lista,ADB paragraph numbering,Paragraphe de liste 1,Titulo 4,NULLETS 2,• List Paragraph"/>
    <w:basedOn w:val="Paragraph"/>
    <w:link w:val="BulletsChar"/>
    <w:qFormat/>
    <w:rsid w:val="00A21E64"/>
    <w:pPr>
      <w:numPr>
        <w:numId w:val="99"/>
      </w:numPr>
      <w:spacing w:before="60" w:after="0"/>
    </w:pPr>
  </w:style>
  <w:style w:type="paragraph" w:customStyle="1" w:styleId="Normalbullets">
    <w:name w:val="Normal bullets"/>
    <w:basedOn w:val="Normal"/>
    <w:uiPriority w:val="99"/>
    <w:rsid w:val="00A21E64"/>
    <w:pPr>
      <w:numPr>
        <w:numId w:val="100"/>
      </w:numPr>
      <w:spacing w:after="60"/>
      <w:jc w:val="both"/>
    </w:pPr>
    <w:rPr>
      <w:rFonts w:ascii="Calibri" w:eastAsia="SimSun" w:hAnsi="Calibri"/>
      <w:sz w:val="20"/>
      <w:lang w:eastAsia="en-US"/>
    </w:rPr>
  </w:style>
  <w:style w:type="paragraph" w:customStyle="1" w:styleId="Text">
    <w:name w:val="Text"/>
    <w:basedOn w:val="Normal"/>
    <w:uiPriority w:val="99"/>
    <w:rsid w:val="00A21E64"/>
    <w:pPr>
      <w:spacing w:before="240" w:line="252" w:lineRule="auto"/>
      <w:jc w:val="both"/>
    </w:pPr>
    <w:rPr>
      <w:rFonts w:eastAsia="SimSun"/>
      <w:sz w:val="20"/>
      <w:szCs w:val="20"/>
      <w:lang w:eastAsia="en-US"/>
    </w:rPr>
  </w:style>
  <w:style w:type="paragraph" w:customStyle="1" w:styleId="CharCharChar11">
    <w:name w:val="Char Char Char11"/>
    <w:basedOn w:val="Normal"/>
    <w:uiPriority w:val="99"/>
    <w:rsid w:val="00A21E64"/>
    <w:pPr>
      <w:spacing w:after="160" w:line="240" w:lineRule="exact"/>
    </w:pPr>
    <w:rPr>
      <w:rFonts w:ascii="Calibri" w:eastAsia="SimSun" w:hAnsi="Calibri" w:cs="Arial"/>
      <w:sz w:val="20"/>
      <w:szCs w:val="20"/>
      <w:lang w:eastAsia="en-US"/>
    </w:rPr>
  </w:style>
  <w:style w:type="paragraph" w:customStyle="1" w:styleId="BodyText23">
    <w:name w:val="Body Text 23"/>
    <w:basedOn w:val="Normal"/>
    <w:uiPriority w:val="99"/>
    <w:rsid w:val="00A21E64"/>
    <w:pPr>
      <w:widowControl w:val="0"/>
      <w:tabs>
        <w:tab w:val="left" w:pos="547"/>
      </w:tabs>
      <w:snapToGrid w:val="0"/>
    </w:pPr>
    <w:rPr>
      <w:rFonts w:eastAsia="SimSun"/>
      <w:sz w:val="20"/>
      <w:szCs w:val="20"/>
      <w:lang w:eastAsia="en-US"/>
    </w:rPr>
  </w:style>
  <w:style w:type="paragraph" w:customStyle="1" w:styleId="TableT">
    <w:name w:val="TableT"/>
    <w:basedOn w:val="Normal"/>
    <w:autoRedefine/>
    <w:uiPriority w:val="99"/>
    <w:rsid w:val="00A21E64"/>
    <w:pPr>
      <w:spacing w:after="60"/>
    </w:pPr>
    <w:rPr>
      <w:rFonts w:eastAsia="SimSun"/>
      <w:noProof/>
      <w:sz w:val="20"/>
      <w:szCs w:val="20"/>
      <w:lang w:eastAsia="en-US"/>
    </w:rPr>
  </w:style>
  <w:style w:type="character" w:customStyle="1" w:styleId="ParaCharCharChar">
    <w:name w:val="Para Char Char Char"/>
    <w:link w:val="ParaCharChar"/>
    <w:locked/>
    <w:rsid w:val="00A21E64"/>
    <w:rPr>
      <w:rFonts w:ascii="Arial Unicode MS" w:eastAsia="Arial Unicode MS" w:hAnsi="Arial Unicode MS" w:cs="Arial"/>
    </w:rPr>
  </w:style>
  <w:style w:type="paragraph" w:customStyle="1" w:styleId="ParaCharChar">
    <w:name w:val="Para Char Char"/>
    <w:basedOn w:val="Normal"/>
    <w:link w:val="ParaCharCharChar"/>
    <w:autoRedefine/>
    <w:rsid w:val="00A21E6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Unicode MS" w:eastAsia="Arial Unicode MS" w:hAnsi="Arial Unicode MS" w:cs="Arial"/>
      <w:sz w:val="22"/>
      <w:szCs w:val="22"/>
      <w:lang w:val="fr-FR" w:eastAsia="zh-CN"/>
    </w:rPr>
  </w:style>
  <w:style w:type="character" w:customStyle="1" w:styleId="TableHCharCharCharChar">
    <w:name w:val="TableH Char Char Char Char"/>
    <w:link w:val="TableHCharCharChar"/>
    <w:locked/>
    <w:rsid w:val="00A21E64"/>
    <w:rPr>
      <w:rFonts w:ascii="Times New Roman" w:hAnsi="Times New Roman" w:cs="Times New Roman"/>
      <w:b/>
      <w:sz w:val="21"/>
    </w:rPr>
  </w:style>
  <w:style w:type="paragraph" w:customStyle="1" w:styleId="TableHCharCharChar">
    <w:name w:val="TableH Char Char Char"/>
    <w:basedOn w:val="Normal"/>
    <w:link w:val="TableHCharCharCharChar"/>
    <w:autoRedefine/>
    <w:rsid w:val="00A21E64"/>
    <w:pPr>
      <w:spacing w:before="240" w:after="60"/>
    </w:pPr>
    <w:rPr>
      <w:rFonts w:eastAsiaTheme="minorEastAsia"/>
      <w:b/>
      <w:sz w:val="21"/>
      <w:szCs w:val="22"/>
      <w:lang w:val="fr-FR" w:eastAsia="zh-CN"/>
    </w:rPr>
  </w:style>
  <w:style w:type="paragraph" w:customStyle="1" w:styleId="steptext">
    <w:name w:val="steptext"/>
    <w:basedOn w:val="Normal"/>
    <w:uiPriority w:val="99"/>
    <w:rsid w:val="00A21E64"/>
    <w:rPr>
      <w:rFonts w:eastAsia="SimSun"/>
      <w:sz w:val="20"/>
      <w:lang w:eastAsia="en-US"/>
    </w:rPr>
  </w:style>
  <w:style w:type="paragraph" w:customStyle="1" w:styleId="NumberedList2">
    <w:name w:val="Numbered List 2"/>
    <w:aliases w:val="nl2"/>
    <w:basedOn w:val="Normal"/>
    <w:uiPriority w:val="99"/>
    <w:rsid w:val="00A21E64"/>
    <w:pPr>
      <w:spacing w:line="240" w:lineRule="atLeast"/>
      <w:ind w:hanging="360"/>
    </w:pPr>
    <w:rPr>
      <w:rFonts w:ascii="Arial Unicode MS" w:eastAsia="SimSun" w:hAnsi="Arial Unicode MS"/>
      <w:sz w:val="20"/>
      <w:szCs w:val="22"/>
      <w:lang w:eastAsia="en-US"/>
    </w:rPr>
  </w:style>
  <w:style w:type="paragraph" w:customStyle="1" w:styleId="CharChar">
    <w:name w:val="Char Char Знак Знак"/>
    <w:basedOn w:val="Normal"/>
    <w:uiPriority w:val="99"/>
    <w:rsid w:val="00A21E64"/>
    <w:pPr>
      <w:spacing w:after="160" w:line="240" w:lineRule="exact"/>
    </w:pPr>
    <w:rPr>
      <w:rFonts w:eastAsia="SimSun" w:cs="Arial"/>
      <w:sz w:val="20"/>
      <w:szCs w:val="20"/>
      <w:lang w:val="de-CH" w:eastAsia="de-CH"/>
    </w:rPr>
  </w:style>
  <w:style w:type="paragraph" w:customStyle="1" w:styleId="Normal1">
    <w:name w:val="Normal1"/>
    <w:basedOn w:val="Normal"/>
    <w:next w:val="Normal"/>
    <w:uiPriority w:val="99"/>
    <w:rsid w:val="00A21E64"/>
    <w:pPr>
      <w:numPr>
        <w:numId w:val="101"/>
      </w:numPr>
    </w:pPr>
    <w:rPr>
      <w:rFonts w:ascii="Calibri" w:hAnsi="Calibri"/>
      <w:noProof/>
      <w:sz w:val="20"/>
      <w:lang w:eastAsia="ja-JP"/>
    </w:rPr>
  </w:style>
  <w:style w:type="character" w:customStyle="1" w:styleId="ColorfulList-Accent1Char">
    <w:name w:val="Colorful List - Accent 1 Char"/>
    <w:link w:val="ColorfulList-Accent12"/>
    <w:uiPriority w:val="34"/>
    <w:locked/>
    <w:rsid w:val="00A21E64"/>
  </w:style>
  <w:style w:type="paragraph" w:customStyle="1" w:styleId="ColorfulList-Accent12">
    <w:name w:val="Colorful List - Accent 12"/>
    <w:basedOn w:val="Normal"/>
    <w:link w:val="ColorfulList-Accent1Char"/>
    <w:uiPriority w:val="34"/>
    <w:rsid w:val="00A21E64"/>
    <w:pPr>
      <w:ind w:left="720"/>
    </w:pPr>
    <w:rPr>
      <w:rFonts w:asciiTheme="minorHAnsi" w:eastAsiaTheme="minorEastAsia" w:hAnsiTheme="minorHAnsi" w:cstheme="minorBidi"/>
      <w:sz w:val="22"/>
      <w:szCs w:val="22"/>
      <w:lang w:val="fr-FR" w:eastAsia="zh-CN"/>
    </w:rPr>
  </w:style>
  <w:style w:type="paragraph" w:customStyle="1" w:styleId="xmsonormal">
    <w:name w:val="x_msonormal"/>
    <w:basedOn w:val="Normal"/>
    <w:uiPriority w:val="99"/>
    <w:rsid w:val="00A21E64"/>
    <w:pPr>
      <w:spacing w:before="100" w:beforeAutospacing="1" w:after="100" w:afterAutospacing="1"/>
    </w:pPr>
    <w:rPr>
      <w:lang w:val="es-ES" w:eastAsia="es-ES"/>
    </w:rPr>
  </w:style>
  <w:style w:type="paragraph" w:customStyle="1" w:styleId="GEFQuestion">
    <w:name w:val="GEF Question"/>
    <w:basedOn w:val="Normal"/>
    <w:next w:val="Normal"/>
    <w:uiPriority w:val="99"/>
    <w:qFormat/>
    <w:rsid w:val="00A21E64"/>
    <w:pPr>
      <w:ind w:left="-720"/>
    </w:pPr>
    <w:rPr>
      <w:sz w:val="22"/>
      <w:lang w:eastAsia="en-US"/>
    </w:rPr>
  </w:style>
  <w:style w:type="paragraph" w:customStyle="1" w:styleId="GEFTableHeading">
    <w:name w:val="GEF Table Heading"/>
    <w:basedOn w:val="Normal"/>
    <w:next w:val="Normal"/>
    <w:uiPriority w:val="99"/>
    <w:qFormat/>
    <w:rsid w:val="00A21E64"/>
    <w:pPr>
      <w:ind w:left="-720"/>
    </w:pPr>
    <w:rPr>
      <w:rFonts w:ascii="Times New Roman Bold" w:hAnsi="Times New Roman Bold"/>
      <w:b/>
      <w:bCs/>
      <w:smallCaps/>
      <w:color w:val="000000"/>
      <w:sz w:val="22"/>
      <w:szCs w:val="22"/>
      <w:lang w:eastAsia="en-US"/>
    </w:rPr>
  </w:style>
  <w:style w:type="paragraph" w:customStyle="1" w:styleId="GEFInstruction">
    <w:name w:val="GEF Instruction"/>
    <w:basedOn w:val="Normal"/>
    <w:next w:val="Normal"/>
    <w:uiPriority w:val="99"/>
    <w:qFormat/>
    <w:rsid w:val="00A21E64"/>
    <w:pPr>
      <w:ind w:left="-540"/>
    </w:pPr>
    <w:rPr>
      <w:sz w:val="20"/>
      <w:lang w:eastAsia="en-US"/>
    </w:rPr>
  </w:style>
  <w:style w:type="paragraph" w:customStyle="1" w:styleId="bodybullets">
    <w:name w:val="body bullets"/>
    <w:basedOn w:val="Normal"/>
    <w:next w:val="Normal"/>
    <w:uiPriority w:val="99"/>
    <w:qFormat/>
    <w:rsid w:val="00A21E64"/>
    <w:pPr>
      <w:spacing w:before="60" w:after="60" w:line="260" w:lineRule="exact"/>
      <w:ind w:left="720" w:hanging="360"/>
    </w:pPr>
    <w:rPr>
      <w:rFonts w:ascii="Calibri" w:hAnsi="Calibri"/>
      <w:sz w:val="20"/>
      <w:lang w:eastAsia="ja-JP"/>
    </w:rPr>
  </w:style>
  <w:style w:type="paragraph" w:customStyle="1" w:styleId="Outline">
    <w:name w:val="Outline"/>
    <w:basedOn w:val="Normal"/>
    <w:uiPriority w:val="99"/>
    <w:rsid w:val="00A21E64"/>
    <w:pPr>
      <w:spacing w:before="240"/>
    </w:pPr>
    <w:rPr>
      <w:kern w:val="28"/>
      <w:szCs w:val="20"/>
      <w:lang w:eastAsia="en-US"/>
    </w:rPr>
  </w:style>
  <w:style w:type="character" w:customStyle="1" w:styleId="MainParanoChapterChar">
    <w:name w:val="Main Para no Chapter # Char"/>
    <w:link w:val="MainParanoChapter"/>
    <w:uiPriority w:val="99"/>
    <w:locked/>
    <w:rsid w:val="00A21E64"/>
    <w:rPr>
      <w:rFonts w:ascii="Times New Roman" w:eastAsia="Times New Roman" w:hAnsi="Times New Roman" w:cs="Times New Roman"/>
      <w:color w:val="000000"/>
      <w:sz w:val="24"/>
      <w:szCs w:val="24"/>
      <w:lang w:val="x-none" w:eastAsia="x-none"/>
    </w:rPr>
  </w:style>
  <w:style w:type="paragraph" w:customStyle="1" w:styleId="MainParanoChapter">
    <w:name w:val="Main Para no Chapter #"/>
    <w:basedOn w:val="Normal"/>
    <w:link w:val="MainParanoChapterChar"/>
    <w:autoRedefine/>
    <w:uiPriority w:val="99"/>
    <w:qFormat/>
    <w:rsid w:val="00A21E64"/>
    <w:pPr>
      <w:numPr>
        <w:numId w:val="102"/>
      </w:numPr>
      <w:spacing w:before="120" w:after="240"/>
      <w:ind w:left="0" w:firstLine="0"/>
      <w:outlineLvl w:val="1"/>
    </w:pPr>
    <w:rPr>
      <w:color w:val="000000"/>
      <w:lang w:val="x-none" w:eastAsia="x-none"/>
    </w:rPr>
  </w:style>
  <w:style w:type="paragraph" w:customStyle="1" w:styleId="GEFPartHeading">
    <w:name w:val="GEF Part Heading"/>
    <w:basedOn w:val="ListParagraph"/>
    <w:uiPriority w:val="99"/>
    <w:qFormat/>
    <w:rsid w:val="00A21E64"/>
    <w:pPr>
      <w:snapToGrid w:val="0"/>
      <w:spacing w:before="120" w:after="120"/>
      <w:ind w:left="-720"/>
      <w:contextualSpacing w:val="0"/>
      <w:outlineLvl w:val="0"/>
    </w:pPr>
    <w:rPr>
      <w:rFonts w:ascii="Times New Roman Bold" w:hAnsi="Times New Roman Bold"/>
      <w:b/>
      <w:caps/>
      <w:noProof/>
      <w:color w:val="000000"/>
      <w:sz w:val="22"/>
      <w:szCs w:val="22"/>
      <w:u w:val="single"/>
      <w:lang w:val="en-GB" w:eastAsia="zh-CN"/>
    </w:rPr>
  </w:style>
  <w:style w:type="paragraph" w:customStyle="1" w:styleId="NumberedParasPIF">
    <w:name w:val="Numbered Paras PIF"/>
    <w:basedOn w:val="Normal"/>
    <w:uiPriority w:val="99"/>
    <w:qFormat/>
    <w:rsid w:val="00A21E64"/>
    <w:pPr>
      <w:numPr>
        <w:numId w:val="103"/>
      </w:numPr>
      <w:spacing w:after="100"/>
      <w:jc w:val="both"/>
    </w:pPr>
    <w:rPr>
      <w:sz w:val="20"/>
      <w:szCs w:val="18"/>
      <w:lang w:val="en-GB" w:eastAsia="en-US"/>
    </w:rPr>
  </w:style>
  <w:style w:type="character" w:customStyle="1" w:styleId="ParaChar">
    <w:name w:val="Para Char"/>
    <w:link w:val="Para"/>
    <w:locked/>
    <w:rsid w:val="00A21E64"/>
    <w:rPr>
      <w:rFonts w:eastAsia="Times New Roman" w:cs="Times New Roman"/>
      <w:color w:val="000000"/>
      <w:lang w:val="en-GB" w:eastAsia="en-US"/>
    </w:rPr>
  </w:style>
  <w:style w:type="paragraph" w:customStyle="1" w:styleId="A">
    <w:name w:val="A"/>
    <w:basedOn w:val="Normal"/>
    <w:uiPriority w:val="99"/>
    <w:rsid w:val="00A21E64"/>
    <w:pPr>
      <w:numPr>
        <w:numId w:val="104"/>
      </w:numPr>
      <w:spacing w:after="100"/>
      <w:jc w:val="both"/>
    </w:pPr>
    <w:rPr>
      <w:sz w:val="22"/>
      <w:szCs w:val="22"/>
      <w:lang w:eastAsia="en-US"/>
    </w:rPr>
  </w:style>
  <w:style w:type="paragraph" w:customStyle="1" w:styleId="Char2">
    <w:name w:val="Char2"/>
    <w:basedOn w:val="Normal"/>
    <w:uiPriority w:val="99"/>
    <w:rsid w:val="00A21E64"/>
    <w:pPr>
      <w:spacing w:after="160" w:line="240" w:lineRule="exact"/>
    </w:pPr>
    <w:rPr>
      <w:sz w:val="20"/>
      <w:szCs w:val="20"/>
      <w:vertAlign w:val="superscript"/>
      <w:lang w:eastAsia="en-US"/>
    </w:rPr>
  </w:style>
  <w:style w:type="paragraph" w:customStyle="1" w:styleId="HTMLBody">
    <w:name w:val="HTML Body"/>
    <w:uiPriority w:val="99"/>
    <w:rsid w:val="00A21E64"/>
    <w:pPr>
      <w:autoSpaceDE w:val="0"/>
      <w:autoSpaceDN w:val="0"/>
      <w:adjustRightInd w:val="0"/>
      <w:spacing w:after="0" w:line="240" w:lineRule="auto"/>
    </w:pPr>
    <w:rPr>
      <w:rFonts w:ascii="Verdana" w:eastAsia="Times New Roman" w:hAnsi="Verdana" w:cs="Times New Roman"/>
      <w:sz w:val="20"/>
      <w:szCs w:val="20"/>
      <w:lang w:val="en-US" w:eastAsia="en-US"/>
    </w:rPr>
  </w:style>
  <w:style w:type="paragraph" w:customStyle="1" w:styleId="arial0">
    <w:name w:val="arial"/>
    <w:basedOn w:val="FootnoteText"/>
    <w:uiPriority w:val="99"/>
    <w:rsid w:val="00A21E64"/>
    <w:pPr>
      <w:widowControl/>
      <w:jc w:val="left"/>
    </w:pPr>
    <w:rPr>
      <w:rFonts w:ascii="Times New Roman" w:eastAsia="Arial Unicode MS" w:hAnsi="Times New Roman"/>
      <w:sz w:val="24"/>
      <w:szCs w:val="24"/>
    </w:rPr>
  </w:style>
  <w:style w:type="paragraph" w:customStyle="1" w:styleId="Style1">
    <w:name w:val="Style1"/>
    <w:basedOn w:val="Normal"/>
    <w:uiPriority w:val="99"/>
    <w:qFormat/>
    <w:rsid w:val="00A21E64"/>
    <w:rPr>
      <w:lang w:eastAsia="en-US"/>
    </w:rPr>
  </w:style>
  <w:style w:type="character" w:styleId="CommentReference">
    <w:name w:val="annotation reference"/>
    <w:semiHidden/>
    <w:unhideWhenUsed/>
    <w:rsid w:val="00A21E64"/>
    <w:rPr>
      <w:rFonts w:ascii="Times New Roman" w:hAnsi="Times New Roman" w:cs="Times New Roman" w:hint="default"/>
      <w:sz w:val="16"/>
      <w:szCs w:val="16"/>
    </w:rPr>
  </w:style>
  <w:style w:type="character" w:styleId="PageNumber">
    <w:name w:val="page number"/>
    <w:uiPriority w:val="99"/>
    <w:semiHidden/>
    <w:unhideWhenUsed/>
    <w:rsid w:val="00A21E64"/>
    <w:rPr>
      <w:rFonts w:ascii="Times New Roman" w:hAnsi="Times New Roman" w:cs="Times New Roman" w:hint="default"/>
    </w:rPr>
  </w:style>
  <w:style w:type="character" w:styleId="EndnoteReference">
    <w:name w:val="endnote reference"/>
    <w:semiHidden/>
    <w:unhideWhenUsed/>
    <w:rsid w:val="00A21E64"/>
    <w:rPr>
      <w:rFonts w:ascii="Times New Roman" w:hAnsi="Times New Roman" w:cs="Times New Roman" w:hint="default"/>
      <w:vertAlign w:val="superscript"/>
    </w:rPr>
  </w:style>
  <w:style w:type="character" w:styleId="PlaceholderText">
    <w:name w:val="Placeholder Text"/>
    <w:uiPriority w:val="99"/>
    <w:semiHidden/>
    <w:rsid w:val="00A21E64"/>
    <w:rPr>
      <w:color w:val="808080"/>
    </w:rPr>
  </w:style>
  <w:style w:type="character" w:styleId="IntenseReference">
    <w:name w:val="Intense Reference"/>
    <w:uiPriority w:val="32"/>
    <w:qFormat/>
    <w:rsid w:val="00A21E64"/>
    <w:rPr>
      <w:b/>
      <w:bCs/>
      <w:smallCaps/>
      <w:color w:val="C0504D"/>
      <w:spacing w:val="5"/>
      <w:u w:val="single"/>
    </w:rPr>
  </w:style>
  <w:style w:type="character" w:customStyle="1" w:styleId="Heading7Char1">
    <w:name w:val="Heading 7 Char1"/>
    <w:basedOn w:val="DefaultParagraphFont"/>
    <w:semiHidden/>
    <w:rsid w:val="00A21E64"/>
    <w:rPr>
      <w:rFonts w:asciiTheme="majorHAnsi" w:eastAsiaTheme="majorEastAsia" w:hAnsiTheme="majorHAnsi" w:cstheme="majorBidi"/>
      <w:i/>
      <w:iCs/>
      <w:color w:val="1F3763" w:themeColor="accent1" w:themeShade="7F"/>
      <w:sz w:val="24"/>
      <w:szCs w:val="24"/>
      <w:lang w:eastAsia="en-GB"/>
    </w:rPr>
  </w:style>
  <w:style w:type="character" w:customStyle="1" w:styleId="Heading8Char1">
    <w:name w:val="Heading 8 Char1"/>
    <w:basedOn w:val="DefaultParagraphFont"/>
    <w:semiHidden/>
    <w:rsid w:val="00A21E64"/>
    <w:rPr>
      <w:rFonts w:asciiTheme="majorHAnsi" w:eastAsiaTheme="majorEastAsia" w:hAnsiTheme="majorHAnsi" w:cstheme="majorBidi"/>
      <w:color w:val="272727" w:themeColor="text1" w:themeTint="D8"/>
      <w:sz w:val="21"/>
      <w:szCs w:val="21"/>
      <w:lang w:eastAsia="en-GB"/>
    </w:rPr>
  </w:style>
  <w:style w:type="character" w:customStyle="1" w:styleId="Heading9Char1">
    <w:name w:val="Heading 9 Char1"/>
    <w:basedOn w:val="DefaultParagraphFont"/>
    <w:semiHidden/>
    <w:rsid w:val="00A21E64"/>
    <w:rPr>
      <w:rFonts w:asciiTheme="majorHAnsi" w:eastAsiaTheme="majorEastAsia" w:hAnsiTheme="majorHAnsi" w:cstheme="majorBidi"/>
      <w:i/>
      <w:iCs/>
      <w:color w:val="272727" w:themeColor="text1" w:themeTint="D8"/>
      <w:sz w:val="21"/>
      <w:szCs w:val="21"/>
      <w:lang w:eastAsia="en-GB"/>
    </w:rPr>
  </w:style>
  <w:style w:type="paragraph" w:styleId="BalloonText">
    <w:name w:val="Balloon Text"/>
    <w:basedOn w:val="Normal"/>
    <w:link w:val="BalloonTextChar"/>
    <w:uiPriority w:val="99"/>
    <w:semiHidden/>
    <w:unhideWhenUsed/>
    <w:rsid w:val="00A21E64"/>
    <w:pPr>
      <w:spacing w:after="60"/>
      <w:jc w:val="both"/>
    </w:pPr>
    <w:rPr>
      <w:rFonts w:ascii="Tahoma" w:eastAsiaTheme="minorEastAsia" w:hAnsi="Tahoma" w:cs="Tahoma"/>
      <w:sz w:val="16"/>
      <w:szCs w:val="16"/>
      <w:lang w:val="fr-FR" w:eastAsia="zh-CN"/>
    </w:rPr>
  </w:style>
  <w:style w:type="character" w:customStyle="1" w:styleId="BalloonTextChar1">
    <w:name w:val="Balloon Text Char1"/>
    <w:basedOn w:val="DefaultParagraphFont"/>
    <w:uiPriority w:val="99"/>
    <w:semiHidden/>
    <w:rsid w:val="00A21E64"/>
    <w:rPr>
      <w:rFonts w:ascii="Segoe UI" w:eastAsia="Times New Roman" w:hAnsi="Segoe UI" w:cs="Segoe UI"/>
      <w:sz w:val="18"/>
      <w:szCs w:val="18"/>
      <w:lang w:val="en-US" w:eastAsia="en-GB"/>
    </w:rPr>
  </w:style>
  <w:style w:type="character" w:customStyle="1" w:styleId="Heading2Char1">
    <w:name w:val="Heading 2 Char1"/>
    <w:semiHidden/>
    <w:locked/>
    <w:rsid w:val="00A21E64"/>
    <w:rPr>
      <w:rFonts w:ascii="Arial Narrow" w:eastAsia="Times New Roman" w:hAnsi="Arial Narrow" w:cs="Times New Roman"/>
      <w:b/>
      <w:bCs/>
      <w:sz w:val="20"/>
      <w:szCs w:val="24"/>
      <w:lang w:val="en-US" w:eastAsia="en-US"/>
    </w:rPr>
  </w:style>
  <w:style w:type="character" w:customStyle="1" w:styleId="HeaderChar1">
    <w:name w:val="Header Char1"/>
    <w:basedOn w:val="DefaultParagraphFont"/>
    <w:uiPriority w:val="99"/>
    <w:semiHidden/>
    <w:rsid w:val="00A21E64"/>
    <w:rPr>
      <w:rFonts w:ascii="Times New Roman" w:eastAsia="Times New Roman" w:hAnsi="Times New Roman" w:cs="Times New Roman"/>
      <w:sz w:val="24"/>
      <w:szCs w:val="24"/>
      <w:lang w:val="en-US" w:eastAsia="en-GB"/>
    </w:rPr>
  </w:style>
  <w:style w:type="character" w:customStyle="1" w:styleId="FooterChar1">
    <w:name w:val="Footer Char1"/>
    <w:basedOn w:val="DefaultParagraphFont"/>
    <w:uiPriority w:val="99"/>
    <w:semiHidden/>
    <w:rsid w:val="00A21E64"/>
    <w:rPr>
      <w:rFonts w:ascii="Times New Roman" w:eastAsia="Times New Roman" w:hAnsi="Times New Roman" w:cs="Times New Roman"/>
      <w:sz w:val="24"/>
      <w:szCs w:val="24"/>
      <w:lang w:val="en-US" w:eastAsia="en-GB"/>
    </w:rPr>
  </w:style>
  <w:style w:type="paragraph" w:styleId="BodyText3">
    <w:name w:val="Body Text 3"/>
    <w:basedOn w:val="Normal"/>
    <w:link w:val="BodyText3Char"/>
    <w:semiHidden/>
    <w:unhideWhenUsed/>
    <w:rsid w:val="00A21E64"/>
    <w:pPr>
      <w:spacing w:after="60"/>
      <w:jc w:val="both"/>
    </w:pPr>
    <w:rPr>
      <w:rFonts w:asciiTheme="minorHAnsi" w:eastAsiaTheme="minorEastAsia" w:hAnsiTheme="minorHAnsi" w:cstheme="minorBidi"/>
      <w:sz w:val="22"/>
      <w:szCs w:val="22"/>
      <w:lang w:val="fr-FR" w:eastAsia="zh-CN"/>
    </w:rPr>
  </w:style>
  <w:style w:type="character" w:customStyle="1" w:styleId="BodyText3Char1">
    <w:name w:val="Body Text 3 Char1"/>
    <w:basedOn w:val="DefaultParagraphFont"/>
    <w:semiHidden/>
    <w:rsid w:val="00A21E64"/>
    <w:rPr>
      <w:rFonts w:ascii="Times New Roman" w:eastAsia="Times New Roman" w:hAnsi="Times New Roman" w:cs="Times New Roman"/>
      <w:sz w:val="16"/>
      <w:szCs w:val="16"/>
      <w:lang w:val="en-US" w:eastAsia="en-GB"/>
    </w:rPr>
  </w:style>
  <w:style w:type="paragraph" w:styleId="BodyTextIndent">
    <w:name w:val="Body Text Indent"/>
    <w:basedOn w:val="Normal"/>
    <w:link w:val="BodyTextIndentChar"/>
    <w:semiHidden/>
    <w:unhideWhenUsed/>
    <w:rsid w:val="00A21E64"/>
    <w:pPr>
      <w:tabs>
        <w:tab w:val="left" w:pos="360"/>
      </w:tabs>
      <w:spacing w:after="60"/>
      <w:jc w:val="both"/>
    </w:pPr>
    <w:rPr>
      <w:rFonts w:asciiTheme="minorHAnsi" w:eastAsiaTheme="minorEastAsia" w:hAnsiTheme="minorHAnsi" w:cstheme="minorBidi"/>
      <w:b/>
      <w:i/>
      <w:sz w:val="28"/>
      <w:szCs w:val="22"/>
      <w:lang w:val="fr-FR" w:eastAsia="zh-CN"/>
    </w:rPr>
  </w:style>
  <w:style w:type="character" w:customStyle="1" w:styleId="BodyTextIndentChar1">
    <w:name w:val="Body Text Indent Char1"/>
    <w:basedOn w:val="DefaultParagraphFont"/>
    <w:semiHidden/>
    <w:rsid w:val="00A21E64"/>
    <w:rPr>
      <w:rFonts w:ascii="Times New Roman" w:eastAsia="Times New Roman" w:hAnsi="Times New Roman" w:cs="Times New Roman"/>
      <w:sz w:val="24"/>
      <w:szCs w:val="24"/>
      <w:lang w:val="en-US" w:eastAsia="en-GB"/>
    </w:rPr>
  </w:style>
  <w:style w:type="paragraph" w:styleId="BodyText">
    <w:name w:val="Body Text"/>
    <w:basedOn w:val="Normal"/>
    <w:link w:val="BodyTextChar"/>
    <w:semiHidden/>
    <w:unhideWhenUsed/>
    <w:rsid w:val="00A21E64"/>
    <w:pPr>
      <w:pBdr>
        <w:bottom w:val="single" w:sz="4" w:space="1" w:color="auto"/>
      </w:pBdr>
      <w:spacing w:after="60"/>
      <w:jc w:val="both"/>
    </w:pPr>
    <w:rPr>
      <w:rFonts w:ascii="Arial Narrow" w:eastAsiaTheme="minorEastAsia" w:hAnsi="Arial Narrow" w:cstheme="minorBidi"/>
      <w:i/>
      <w:iCs/>
      <w:sz w:val="22"/>
      <w:lang w:val="fr-FR" w:eastAsia="zh-CN"/>
    </w:rPr>
  </w:style>
  <w:style w:type="character" w:customStyle="1" w:styleId="BodyTextChar1">
    <w:name w:val="Body Text Char1"/>
    <w:basedOn w:val="DefaultParagraphFont"/>
    <w:semiHidden/>
    <w:rsid w:val="00A21E64"/>
    <w:rPr>
      <w:rFonts w:ascii="Times New Roman" w:eastAsia="Times New Roman" w:hAnsi="Times New Roman" w:cs="Times New Roman"/>
      <w:sz w:val="24"/>
      <w:szCs w:val="24"/>
      <w:lang w:val="en-US" w:eastAsia="en-GB"/>
    </w:rPr>
  </w:style>
  <w:style w:type="paragraph" w:styleId="BodyText2">
    <w:name w:val="Body Text 2"/>
    <w:basedOn w:val="Normal"/>
    <w:link w:val="BodyText2Char"/>
    <w:semiHidden/>
    <w:unhideWhenUsed/>
    <w:rsid w:val="00A21E64"/>
    <w:pPr>
      <w:spacing w:before="120" w:after="120"/>
      <w:jc w:val="both"/>
    </w:pPr>
    <w:rPr>
      <w:rFonts w:ascii="Arial Narrow" w:eastAsiaTheme="minorEastAsia" w:hAnsi="Arial Narrow" w:cstheme="minorBidi"/>
      <w:sz w:val="22"/>
      <w:lang w:val="fr-FR" w:eastAsia="zh-CN"/>
    </w:rPr>
  </w:style>
  <w:style w:type="character" w:customStyle="1" w:styleId="BodyText2Char1">
    <w:name w:val="Body Text 2 Char1"/>
    <w:basedOn w:val="DefaultParagraphFont"/>
    <w:semiHidden/>
    <w:rsid w:val="00A21E64"/>
    <w:rPr>
      <w:rFonts w:ascii="Times New Roman" w:eastAsia="Times New Roman" w:hAnsi="Times New Roman" w:cs="Times New Roman"/>
      <w:sz w:val="24"/>
      <w:szCs w:val="24"/>
      <w:lang w:val="en-US" w:eastAsia="en-GB"/>
    </w:rPr>
  </w:style>
  <w:style w:type="paragraph" w:styleId="CommentSubject">
    <w:name w:val="annotation subject"/>
    <w:basedOn w:val="CommentText"/>
    <w:next w:val="CommentText"/>
    <w:link w:val="CommentSubjectChar"/>
    <w:semiHidden/>
    <w:unhideWhenUsed/>
    <w:rsid w:val="00A21E64"/>
    <w:rPr>
      <w:b/>
      <w:bCs/>
    </w:rPr>
  </w:style>
  <w:style w:type="character" w:customStyle="1" w:styleId="CommentSubjectChar1">
    <w:name w:val="Comment Subject Char1"/>
    <w:basedOn w:val="CommentTextChar1"/>
    <w:semiHidden/>
    <w:rsid w:val="00A21E64"/>
    <w:rPr>
      <w:rFonts w:ascii="Times New Roman" w:eastAsia="Times New Roman" w:hAnsi="Times New Roman" w:cs="Times New Roman"/>
      <w:b/>
      <w:bCs/>
      <w:sz w:val="20"/>
      <w:szCs w:val="20"/>
      <w:lang w:val="en-US" w:eastAsia="en-GB"/>
    </w:rPr>
  </w:style>
  <w:style w:type="paragraph" w:styleId="Title">
    <w:name w:val="Title"/>
    <w:basedOn w:val="Normal"/>
    <w:link w:val="TitleChar"/>
    <w:uiPriority w:val="10"/>
    <w:qFormat/>
    <w:rsid w:val="00A21E64"/>
    <w:pPr>
      <w:pBdr>
        <w:top w:val="single" w:sz="4" w:space="1" w:color="auto"/>
        <w:left w:val="single" w:sz="4" w:space="4" w:color="auto"/>
        <w:bottom w:val="single" w:sz="4" w:space="1" w:color="auto"/>
        <w:right w:val="single" w:sz="4" w:space="4" w:color="auto"/>
      </w:pBdr>
      <w:spacing w:before="240" w:after="60"/>
      <w:jc w:val="center"/>
      <w:outlineLvl w:val="0"/>
    </w:pPr>
    <w:rPr>
      <w:rFonts w:ascii="Arial" w:eastAsiaTheme="minorEastAsia" w:hAnsi="Arial" w:cs="Arial"/>
      <w:b/>
      <w:bCs/>
      <w:kern w:val="28"/>
      <w:sz w:val="32"/>
      <w:szCs w:val="32"/>
      <w:lang w:val="fr-FR" w:eastAsia="zh-CN"/>
    </w:rPr>
  </w:style>
  <w:style w:type="character" w:customStyle="1" w:styleId="TitleChar1">
    <w:name w:val="Title Char1"/>
    <w:basedOn w:val="DefaultParagraphFont"/>
    <w:uiPriority w:val="10"/>
    <w:rsid w:val="00A21E64"/>
    <w:rPr>
      <w:rFonts w:asciiTheme="majorHAnsi" w:eastAsiaTheme="majorEastAsia" w:hAnsiTheme="majorHAnsi" w:cstheme="majorBidi"/>
      <w:spacing w:val="-10"/>
      <w:kern w:val="28"/>
      <w:sz w:val="56"/>
      <w:szCs w:val="56"/>
      <w:lang w:val="en-US" w:eastAsia="en-GB"/>
    </w:rPr>
  </w:style>
  <w:style w:type="character" w:customStyle="1" w:styleId="bodytag3">
    <w:name w:val="bodytag3"/>
    <w:rsid w:val="00A21E64"/>
    <w:rPr>
      <w:rFonts w:ascii="Trebuchet MS" w:hAnsi="Trebuchet MS" w:cs="Times New Roman" w:hint="default"/>
      <w:sz w:val="15"/>
      <w:szCs w:val="15"/>
    </w:rPr>
  </w:style>
  <w:style w:type="character" w:customStyle="1" w:styleId="mw-headline">
    <w:name w:val="mw-headline"/>
    <w:rsid w:val="00A21E64"/>
    <w:rPr>
      <w:rFonts w:ascii="Times New Roman" w:hAnsi="Times New Roman" w:cs="Times New Roman" w:hint="default"/>
    </w:rPr>
  </w:style>
  <w:style w:type="character" w:customStyle="1" w:styleId="highlighttext">
    <w:name w:val="highlighttext"/>
    <w:rsid w:val="00A21E64"/>
    <w:rPr>
      <w:rFonts w:ascii="Times New Roman" w:hAnsi="Times New Roman" w:cs="Times New Roman" w:hint="default"/>
      <w:sz w:val="22"/>
      <w:bdr w:val="none" w:sz="0" w:space="0" w:color="auto" w:frame="1"/>
      <w:shd w:val="clear" w:color="auto" w:fill="B3B3B3"/>
    </w:rPr>
  </w:style>
  <w:style w:type="paragraph" w:styleId="PlainText">
    <w:name w:val="Plain Text"/>
    <w:basedOn w:val="Normal"/>
    <w:link w:val="PlainTextChar"/>
    <w:uiPriority w:val="99"/>
    <w:semiHidden/>
    <w:unhideWhenUsed/>
    <w:rsid w:val="00A21E64"/>
    <w:rPr>
      <w:rFonts w:ascii="Consolas" w:eastAsia="Calibri" w:hAnsi="Consolas" w:cstheme="minorBidi"/>
      <w:sz w:val="21"/>
      <w:szCs w:val="21"/>
      <w:lang w:val="fr-FR" w:eastAsia="zh-CN"/>
    </w:rPr>
  </w:style>
  <w:style w:type="character" w:customStyle="1" w:styleId="PlainTextChar1">
    <w:name w:val="Plain Text Char1"/>
    <w:basedOn w:val="DefaultParagraphFont"/>
    <w:uiPriority w:val="99"/>
    <w:semiHidden/>
    <w:rsid w:val="00A21E64"/>
    <w:rPr>
      <w:rFonts w:ascii="Consolas" w:eastAsia="Times New Roman" w:hAnsi="Consolas" w:cs="Times New Roman"/>
      <w:sz w:val="21"/>
      <w:szCs w:val="21"/>
      <w:lang w:val="en-US" w:eastAsia="en-GB"/>
    </w:rPr>
  </w:style>
  <w:style w:type="paragraph" w:styleId="NoSpacing">
    <w:name w:val="No Spacing"/>
    <w:link w:val="NoSpacingChar"/>
    <w:uiPriority w:val="1"/>
    <w:qFormat/>
    <w:rsid w:val="00A21E64"/>
    <w:pPr>
      <w:spacing w:after="0" w:line="240" w:lineRule="auto"/>
    </w:pPr>
    <w:rPr>
      <w:rFonts w:ascii="Times" w:eastAsia="Times" w:hAnsi="Times" w:cs="Times"/>
      <w:sz w:val="24"/>
      <w:szCs w:val="24"/>
    </w:rPr>
  </w:style>
  <w:style w:type="character" w:customStyle="1" w:styleId="StyleHeading2NotBoldChar">
    <w:name w:val="Style Heading 2 + Not Bold Char"/>
    <w:rsid w:val="00A21E64"/>
    <w:rPr>
      <w:rFonts w:ascii="Book Antiqua" w:hAnsi="Book Antiqua" w:cs="Arial" w:hint="default"/>
      <w:b/>
      <w:bCs w:val="0"/>
      <w:i/>
      <w:iCs w:val="0"/>
      <w:sz w:val="22"/>
      <w:szCs w:val="28"/>
      <w:lang w:val="en-US" w:eastAsia="ar-SA"/>
    </w:rPr>
  </w:style>
  <w:style w:type="character" w:customStyle="1" w:styleId="apple-converted-space">
    <w:name w:val="apple-converted-space"/>
    <w:basedOn w:val="DefaultParagraphFont"/>
    <w:rsid w:val="00A21E64"/>
  </w:style>
  <w:style w:type="character" w:customStyle="1" w:styleId="Mention1">
    <w:name w:val="Mention1"/>
    <w:uiPriority w:val="99"/>
    <w:semiHidden/>
    <w:rsid w:val="00A21E64"/>
    <w:rPr>
      <w:color w:val="2B579A"/>
      <w:shd w:val="clear" w:color="auto" w:fill="E6E6E6"/>
    </w:rPr>
  </w:style>
  <w:style w:type="character" w:customStyle="1" w:styleId="UnresolvedMention1">
    <w:name w:val="Unresolved Mention1"/>
    <w:uiPriority w:val="99"/>
    <w:semiHidden/>
    <w:rsid w:val="00A21E64"/>
    <w:rPr>
      <w:color w:val="605E5C"/>
      <w:shd w:val="clear" w:color="auto" w:fill="E1DFDD"/>
    </w:rPr>
  </w:style>
  <w:style w:type="paragraph" w:styleId="BodyTextIndent2">
    <w:name w:val="Body Text Indent 2"/>
    <w:basedOn w:val="Normal"/>
    <w:link w:val="BodyTextIndent2Char"/>
    <w:semiHidden/>
    <w:unhideWhenUsed/>
    <w:rsid w:val="00A21E64"/>
    <w:pPr>
      <w:ind w:left="360"/>
    </w:pPr>
    <w:rPr>
      <w:i/>
      <w:iCs/>
      <w:sz w:val="22"/>
      <w:lang w:val="x-none" w:eastAsia="x-none"/>
    </w:rPr>
  </w:style>
  <w:style w:type="character" w:customStyle="1" w:styleId="BodyTextIndent2Char1">
    <w:name w:val="Body Text Indent 2 Char1"/>
    <w:basedOn w:val="DefaultParagraphFont"/>
    <w:semiHidden/>
    <w:rsid w:val="00A21E64"/>
    <w:rPr>
      <w:rFonts w:ascii="Times New Roman" w:eastAsia="Times New Roman" w:hAnsi="Times New Roman" w:cs="Times New Roman"/>
      <w:sz w:val="24"/>
      <w:szCs w:val="24"/>
      <w:lang w:val="en-US" w:eastAsia="en-GB"/>
    </w:rPr>
  </w:style>
  <w:style w:type="paragraph" w:styleId="BodyTextIndent3">
    <w:name w:val="Body Text Indent 3"/>
    <w:basedOn w:val="Normal"/>
    <w:link w:val="BodyTextIndent3Char"/>
    <w:semiHidden/>
    <w:unhideWhenUsed/>
    <w:rsid w:val="00A21E64"/>
    <w:pPr>
      <w:ind w:left="540"/>
    </w:pPr>
    <w:rPr>
      <w:lang w:val="x-none" w:eastAsia="x-none"/>
    </w:rPr>
  </w:style>
  <w:style w:type="character" w:customStyle="1" w:styleId="BodyTextIndent3Char1">
    <w:name w:val="Body Text Indent 3 Char1"/>
    <w:basedOn w:val="DefaultParagraphFont"/>
    <w:semiHidden/>
    <w:rsid w:val="00A21E64"/>
    <w:rPr>
      <w:rFonts w:ascii="Times New Roman" w:eastAsia="Times New Roman" w:hAnsi="Times New Roman" w:cs="Times New Roman"/>
      <w:sz w:val="16"/>
      <w:szCs w:val="16"/>
      <w:lang w:val="en-US" w:eastAsia="en-GB"/>
    </w:rPr>
  </w:style>
  <w:style w:type="paragraph" w:styleId="DocumentMap">
    <w:name w:val="Document Map"/>
    <w:basedOn w:val="Normal"/>
    <w:link w:val="DocumentMapChar"/>
    <w:semiHidden/>
    <w:unhideWhenUsed/>
    <w:rsid w:val="00A21E64"/>
    <w:pPr>
      <w:shd w:val="clear" w:color="auto" w:fill="000080"/>
    </w:pPr>
    <w:rPr>
      <w:rFonts w:ascii="Tahoma" w:hAnsi="Tahoma" w:cs="Tahoma"/>
      <w:sz w:val="22"/>
      <w:szCs w:val="22"/>
      <w:lang w:val="x-none" w:eastAsia="x-none"/>
    </w:rPr>
  </w:style>
  <w:style w:type="character" w:customStyle="1" w:styleId="DocumentMapChar1">
    <w:name w:val="Document Map Char1"/>
    <w:basedOn w:val="DefaultParagraphFont"/>
    <w:semiHidden/>
    <w:rsid w:val="00A21E64"/>
    <w:rPr>
      <w:rFonts w:ascii="Segoe UI" w:eastAsia="Times New Roman" w:hAnsi="Segoe UI" w:cs="Segoe UI"/>
      <w:sz w:val="16"/>
      <w:szCs w:val="16"/>
      <w:lang w:val="en-US" w:eastAsia="en-GB"/>
    </w:rPr>
  </w:style>
  <w:style w:type="paragraph" w:styleId="z-TopofForm">
    <w:name w:val="HTML Top of Form"/>
    <w:basedOn w:val="Normal"/>
    <w:next w:val="Normal"/>
    <w:link w:val="z-TopofFormChar"/>
    <w:hidden/>
    <w:semiHidden/>
    <w:unhideWhenUsed/>
    <w:rsid w:val="00A21E6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rsid w:val="00A21E64"/>
    <w:rPr>
      <w:rFonts w:ascii="Arial" w:eastAsia="Times New Roman" w:hAnsi="Arial" w:cs="Arial"/>
      <w:vanish/>
      <w:sz w:val="16"/>
      <w:szCs w:val="16"/>
      <w:lang w:val="en-US" w:eastAsia="en-GB"/>
    </w:rPr>
  </w:style>
  <w:style w:type="paragraph" w:styleId="z-BottomofForm">
    <w:name w:val="HTML Bottom of Form"/>
    <w:basedOn w:val="Normal"/>
    <w:next w:val="Normal"/>
    <w:link w:val="z-BottomofFormChar"/>
    <w:hidden/>
    <w:semiHidden/>
    <w:unhideWhenUsed/>
    <w:rsid w:val="00A21E6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A21E64"/>
    <w:rPr>
      <w:rFonts w:ascii="Arial" w:eastAsia="Times New Roman" w:hAnsi="Arial" w:cs="Arial"/>
      <w:vanish/>
      <w:sz w:val="16"/>
      <w:szCs w:val="16"/>
      <w:lang w:val="en-US" w:eastAsia="en-GB"/>
    </w:rPr>
  </w:style>
  <w:style w:type="character" w:customStyle="1" w:styleId="hps">
    <w:name w:val="hps"/>
    <w:uiPriority w:val="99"/>
    <w:rsid w:val="00A21E64"/>
  </w:style>
  <w:style w:type="character" w:customStyle="1" w:styleId="shorttext">
    <w:name w:val="short_text"/>
    <w:rsid w:val="00A21E64"/>
  </w:style>
  <w:style w:type="paragraph" w:styleId="Subtitle">
    <w:name w:val="Subtitle"/>
    <w:basedOn w:val="Normal"/>
    <w:next w:val="Normal"/>
    <w:link w:val="SubtitleChar"/>
    <w:uiPriority w:val="11"/>
    <w:qFormat/>
    <w:rsid w:val="00A21E64"/>
    <w:pPr>
      <w:keepNext/>
      <w:keepLines/>
      <w:spacing w:before="360" w:after="80"/>
    </w:pPr>
    <w:rPr>
      <w:rFonts w:ascii="Georgia" w:eastAsia="Georgia" w:hAnsi="Georgia" w:cs="Georgia"/>
      <w:i/>
      <w:color w:val="666666"/>
      <w:sz w:val="48"/>
      <w:szCs w:val="48"/>
      <w:lang w:val="en-GB" w:eastAsia="zh-CN"/>
    </w:rPr>
  </w:style>
  <w:style w:type="character" w:customStyle="1" w:styleId="SubtitleChar1">
    <w:name w:val="Subtitle Char1"/>
    <w:basedOn w:val="DefaultParagraphFont"/>
    <w:uiPriority w:val="11"/>
    <w:rsid w:val="00A21E64"/>
    <w:rPr>
      <w:color w:val="5A5A5A" w:themeColor="text1" w:themeTint="A5"/>
      <w:spacing w:val="15"/>
      <w:lang w:val="en-US" w:eastAsia="en-GB"/>
    </w:rPr>
  </w:style>
  <w:style w:type="character" w:customStyle="1" w:styleId="ListParagraphChar1">
    <w:name w:val="List Paragraph Char1"/>
    <w:aliases w:val="List Paragraph1 Char1,Numbered paragraph Char1,Project Profile name Char1,Paragraphe de liste1 Char1,Medium Grid 1 - Accent 21 Char1,List Paragraph (numbered (a)) Char1,Numbered List Paragraph Char1,References Char1,En tête 1 Char"/>
    <w:uiPriority w:val="34"/>
    <w:qFormat/>
    <w:rsid w:val="00A21E64"/>
    <w:rPr>
      <w:rFonts w:ascii="Times New Roman" w:eastAsia="SimSun" w:hAnsi="Times New Roman" w:cs="Times New Roman" w:hint="default"/>
    </w:rPr>
  </w:style>
  <w:style w:type="character" w:customStyle="1" w:styleId="label">
    <w:name w:val="label"/>
    <w:rsid w:val="00A21E64"/>
  </w:style>
  <w:style w:type="character" w:customStyle="1" w:styleId="data">
    <w:name w:val="data"/>
    <w:rsid w:val="00A21E64"/>
  </w:style>
  <w:style w:type="character" w:customStyle="1" w:styleId="customoid">
    <w:name w:val="customoid"/>
    <w:rsid w:val="00A21E64"/>
  </w:style>
  <w:style w:type="character" w:customStyle="1" w:styleId="eudoraheader">
    <w:name w:val="eudoraheader"/>
    <w:rsid w:val="00A21E64"/>
  </w:style>
  <w:style w:type="character" w:customStyle="1" w:styleId="apple-style-span">
    <w:name w:val="apple-style-span"/>
    <w:rsid w:val="00A21E64"/>
  </w:style>
  <w:style w:type="character" w:customStyle="1" w:styleId="il">
    <w:name w:val="il"/>
    <w:rsid w:val="00A21E64"/>
  </w:style>
  <w:style w:type="table" w:customStyle="1" w:styleId="TableGrid1">
    <w:name w:val="Table Grid1"/>
    <w:basedOn w:val="TableNormal"/>
    <w:uiPriority w:val="39"/>
    <w:rsid w:val="00A21E64"/>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A21E64"/>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A21E64"/>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A21E64"/>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A21E64"/>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A21E64"/>
    <w:pPr>
      <w:spacing w:after="0" w:line="240" w:lineRule="auto"/>
    </w:pPr>
    <w:rPr>
      <w:rFonts w:ascii="Times New Roman" w:eastAsia="Times New Roman" w:hAnsi="Times New Roman" w:cs="Times New Roman"/>
      <w:lang w:val="hr-H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21E64"/>
    <w:pPr>
      <w:ind w:left="400"/>
    </w:pPr>
    <w:rPr>
      <w:rFonts w:asciiTheme="minorHAnsi" w:eastAsia="SimSun" w:hAnsiTheme="minorHAnsi" w:cstheme="minorHAnsi"/>
      <w:i/>
      <w:iCs/>
      <w:sz w:val="20"/>
      <w:szCs w:val="20"/>
      <w:lang w:eastAsia="en-US"/>
    </w:rPr>
  </w:style>
  <w:style w:type="paragraph" w:styleId="TOC4">
    <w:name w:val="toc 4"/>
    <w:basedOn w:val="Normal"/>
    <w:next w:val="Normal"/>
    <w:autoRedefine/>
    <w:uiPriority w:val="39"/>
    <w:semiHidden/>
    <w:unhideWhenUsed/>
    <w:rsid w:val="00A21E64"/>
    <w:pPr>
      <w:ind w:left="600"/>
    </w:pPr>
    <w:rPr>
      <w:rFonts w:asciiTheme="minorHAnsi" w:eastAsia="SimSun" w:hAnsiTheme="minorHAnsi" w:cstheme="minorHAnsi"/>
      <w:sz w:val="18"/>
      <w:szCs w:val="18"/>
      <w:lang w:eastAsia="en-US"/>
    </w:rPr>
  </w:style>
  <w:style w:type="paragraph" w:styleId="TOC5">
    <w:name w:val="toc 5"/>
    <w:basedOn w:val="Normal"/>
    <w:next w:val="Normal"/>
    <w:autoRedefine/>
    <w:uiPriority w:val="39"/>
    <w:semiHidden/>
    <w:unhideWhenUsed/>
    <w:rsid w:val="00A21E64"/>
    <w:pPr>
      <w:ind w:left="800"/>
    </w:pPr>
    <w:rPr>
      <w:rFonts w:asciiTheme="minorHAnsi" w:eastAsia="SimSun" w:hAnsiTheme="minorHAnsi" w:cstheme="minorHAnsi"/>
      <w:sz w:val="18"/>
      <w:szCs w:val="18"/>
      <w:lang w:eastAsia="en-US"/>
    </w:rPr>
  </w:style>
  <w:style w:type="paragraph" w:styleId="TOC6">
    <w:name w:val="toc 6"/>
    <w:basedOn w:val="Normal"/>
    <w:next w:val="Normal"/>
    <w:autoRedefine/>
    <w:uiPriority w:val="39"/>
    <w:semiHidden/>
    <w:unhideWhenUsed/>
    <w:rsid w:val="00A21E64"/>
    <w:pPr>
      <w:ind w:left="1000"/>
    </w:pPr>
    <w:rPr>
      <w:rFonts w:asciiTheme="minorHAnsi" w:eastAsia="SimSun" w:hAnsiTheme="minorHAnsi" w:cstheme="minorHAnsi"/>
      <w:sz w:val="18"/>
      <w:szCs w:val="18"/>
      <w:lang w:eastAsia="en-US"/>
    </w:rPr>
  </w:style>
  <w:style w:type="paragraph" w:styleId="TOC7">
    <w:name w:val="toc 7"/>
    <w:basedOn w:val="Normal"/>
    <w:next w:val="Normal"/>
    <w:autoRedefine/>
    <w:uiPriority w:val="39"/>
    <w:semiHidden/>
    <w:unhideWhenUsed/>
    <w:rsid w:val="00A21E64"/>
    <w:pPr>
      <w:ind w:left="1200"/>
    </w:pPr>
    <w:rPr>
      <w:rFonts w:asciiTheme="minorHAnsi" w:eastAsia="SimSun" w:hAnsiTheme="minorHAnsi" w:cstheme="minorHAnsi"/>
      <w:sz w:val="18"/>
      <w:szCs w:val="18"/>
      <w:lang w:eastAsia="en-US"/>
    </w:rPr>
  </w:style>
  <w:style w:type="paragraph" w:styleId="TOC8">
    <w:name w:val="toc 8"/>
    <w:basedOn w:val="Normal"/>
    <w:next w:val="Normal"/>
    <w:autoRedefine/>
    <w:uiPriority w:val="39"/>
    <w:semiHidden/>
    <w:unhideWhenUsed/>
    <w:rsid w:val="00A21E64"/>
    <w:pPr>
      <w:ind w:left="1400"/>
    </w:pPr>
    <w:rPr>
      <w:rFonts w:asciiTheme="minorHAnsi" w:eastAsia="SimSun" w:hAnsiTheme="minorHAnsi" w:cstheme="minorHAnsi"/>
      <w:sz w:val="18"/>
      <w:szCs w:val="18"/>
      <w:lang w:eastAsia="en-US"/>
    </w:rPr>
  </w:style>
  <w:style w:type="paragraph" w:styleId="TOC9">
    <w:name w:val="toc 9"/>
    <w:basedOn w:val="Normal"/>
    <w:next w:val="Normal"/>
    <w:autoRedefine/>
    <w:uiPriority w:val="39"/>
    <w:semiHidden/>
    <w:unhideWhenUsed/>
    <w:rsid w:val="00A21E64"/>
    <w:pPr>
      <w:ind w:left="1600"/>
    </w:pPr>
    <w:rPr>
      <w:rFonts w:asciiTheme="minorHAnsi" w:eastAsia="SimSun" w:hAnsiTheme="minorHAnsi" w:cstheme="minorHAnsi"/>
      <w:sz w:val="18"/>
      <w:szCs w:val="18"/>
      <w:lang w:eastAsia="en-US"/>
    </w:rPr>
  </w:style>
  <w:style w:type="paragraph" w:styleId="Caption">
    <w:name w:val="caption"/>
    <w:basedOn w:val="Normal"/>
    <w:next w:val="Normal"/>
    <w:uiPriority w:val="99"/>
    <w:semiHidden/>
    <w:unhideWhenUsed/>
    <w:qFormat/>
    <w:rsid w:val="00A21E64"/>
    <w:rPr>
      <w:rFonts w:eastAsia="SimSun"/>
      <w:b/>
      <w:bCs/>
      <w:sz w:val="28"/>
      <w:lang w:eastAsia="en-US"/>
    </w:rPr>
  </w:style>
  <w:style w:type="paragraph" w:styleId="Revision">
    <w:name w:val="Revision"/>
    <w:uiPriority w:val="99"/>
    <w:semiHidden/>
    <w:rsid w:val="00A21E64"/>
    <w:pPr>
      <w:spacing w:after="0" w:line="240" w:lineRule="auto"/>
    </w:pPr>
    <w:rPr>
      <w:rFonts w:ascii="Calibri" w:eastAsia="SimSun" w:hAnsi="Calibri" w:cs="Times New Roman"/>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5537">
      <w:bodyDiv w:val="1"/>
      <w:marLeft w:val="0"/>
      <w:marRight w:val="0"/>
      <w:marTop w:val="0"/>
      <w:marBottom w:val="0"/>
      <w:divBdr>
        <w:top w:val="none" w:sz="0" w:space="0" w:color="auto"/>
        <w:left w:val="none" w:sz="0" w:space="0" w:color="auto"/>
        <w:bottom w:val="none" w:sz="0" w:space="0" w:color="auto"/>
        <w:right w:val="none" w:sz="0" w:space="0" w:color="auto"/>
      </w:divBdr>
    </w:div>
    <w:div w:id="47724432">
      <w:bodyDiv w:val="1"/>
      <w:marLeft w:val="0"/>
      <w:marRight w:val="0"/>
      <w:marTop w:val="0"/>
      <w:marBottom w:val="0"/>
      <w:divBdr>
        <w:top w:val="none" w:sz="0" w:space="0" w:color="auto"/>
        <w:left w:val="none" w:sz="0" w:space="0" w:color="auto"/>
        <w:bottom w:val="none" w:sz="0" w:space="0" w:color="auto"/>
        <w:right w:val="none" w:sz="0" w:space="0" w:color="auto"/>
      </w:divBdr>
    </w:div>
    <w:div w:id="93331530">
      <w:bodyDiv w:val="1"/>
      <w:marLeft w:val="0"/>
      <w:marRight w:val="0"/>
      <w:marTop w:val="0"/>
      <w:marBottom w:val="0"/>
      <w:divBdr>
        <w:top w:val="none" w:sz="0" w:space="0" w:color="auto"/>
        <w:left w:val="none" w:sz="0" w:space="0" w:color="auto"/>
        <w:bottom w:val="none" w:sz="0" w:space="0" w:color="auto"/>
        <w:right w:val="none" w:sz="0" w:space="0" w:color="auto"/>
      </w:divBdr>
    </w:div>
    <w:div w:id="100230185">
      <w:bodyDiv w:val="1"/>
      <w:marLeft w:val="0"/>
      <w:marRight w:val="0"/>
      <w:marTop w:val="0"/>
      <w:marBottom w:val="0"/>
      <w:divBdr>
        <w:top w:val="none" w:sz="0" w:space="0" w:color="auto"/>
        <w:left w:val="none" w:sz="0" w:space="0" w:color="auto"/>
        <w:bottom w:val="none" w:sz="0" w:space="0" w:color="auto"/>
        <w:right w:val="none" w:sz="0" w:space="0" w:color="auto"/>
      </w:divBdr>
    </w:div>
    <w:div w:id="101801258">
      <w:bodyDiv w:val="1"/>
      <w:marLeft w:val="0"/>
      <w:marRight w:val="0"/>
      <w:marTop w:val="0"/>
      <w:marBottom w:val="0"/>
      <w:divBdr>
        <w:top w:val="none" w:sz="0" w:space="0" w:color="auto"/>
        <w:left w:val="none" w:sz="0" w:space="0" w:color="auto"/>
        <w:bottom w:val="none" w:sz="0" w:space="0" w:color="auto"/>
        <w:right w:val="none" w:sz="0" w:space="0" w:color="auto"/>
      </w:divBdr>
    </w:div>
    <w:div w:id="117337278">
      <w:bodyDiv w:val="1"/>
      <w:marLeft w:val="0"/>
      <w:marRight w:val="0"/>
      <w:marTop w:val="0"/>
      <w:marBottom w:val="0"/>
      <w:divBdr>
        <w:top w:val="none" w:sz="0" w:space="0" w:color="auto"/>
        <w:left w:val="none" w:sz="0" w:space="0" w:color="auto"/>
        <w:bottom w:val="none" w:sz="0" w:space="0" w:color="auto"/>
        <w:right w:val="none" w:sz="0" w:space="0" w:color="auto"/>
      </w:divBdr>
    </w:div>
    <w:div w:id="118301563">
      <w:bodyDiv w:val="1"/>
      <w:marLeft w:val="0"/>
      <w:marRight w:val="0"/>
      <w:marTop w:val="0"/>
      <w:marBottom w:val="0"/>
      <w:divBdr>
        <w:top w:val="none" w:sz="0" w:space="0" w:color="auto"/>
        <w:left w:val="none" w:sz="0" w:space="0" w:color="auto"/>
        <w:bottom w:val="none" w:sz="0" w:space="0" w:color="auto"/>
        <w:right w:val="none" w:sz="0" w:space="0" w:color="auto"/>
      </w:divBdr>
    </w:div>
    <w:div w:id="141507876">
      <w:bodyDiv w:val="1"/>
      <w:marLeft w:val="0"/>
      <w:marRight w:val="0"/>
      <w:marTop w:val="0"/>
      <w:marBottom w:val="0"/>
      <w:divBdr>
        <w:top w:val="none" w:sz="0" w:space="0" w:color="auto"/>
        <w:left w:val="none" w:sz="0" w:space="0" w:color="auto"/>
        <w:bottom w:val="none" w:sz="0" w:space="0" w:color="auto"/>
        <w:right w:val="none" w:sz="0" w:space="0" w:color="auto"/>
      </w:divBdr>
    </w:div>
    <w:div w:id="161748436">
      <w:bodyDiv w:val="1"/>
      <w:marLeft w:val="0"/>
      <w:marRight w:val="0"/>
      <w:marTop w:val="0"/>
      <w:marBottom w:val="0"/>
      <w:divBdr>
        <w:top w:val="none" w:sz="0" w:space="0" w:color="auto"/>
        <w:left w:val="none" w:sz="0" w:space="0" w:color="auto"/>
        <w:bottom w:val="none" w:sz="0" w:space="0" w:color="auto"/>
        <w:right w:val="none" w:sz="0" w:space="0" w:color="auto"/>
      </w:divBdr>
    </w:div>
    <w:div w:id="196239640">
      <w:bodyDiv w:val="1"/>
      <w:marLeft w:val="0"/>
      <w:marRight w:val="0"/>
      <w:marTop w:val="0"/>
      <w:marBottom w:val="0"/>
      <w:divBdr>
        <w:top w:val="none" w:sz="0" w:space="0" w:color="auto"/>
        <w:left w:val="none" w:sz="0" w:space="0" w:color="auto"/>
        <w:bottom w:val="none" w:sz="0" w:space="0" w:color="auto"/>
        <w:right w:val="none" w:sz="0" w:space="0" w:color="auto"/>
      </w:divBdr>
    </w:div>
    <w:div w:id="199129054">
      <w:bodyDiv w:val="1"/>
      <w:marLeft w:val="0"/>
      <w:marRight w:val="0"/>
      <w:marTop w:val="0"/>
      <w:marBottom w:val="0"/>
      <w:divBdr>
        <w:top w:val="none" w:sz="0" w:space="0" w:color="auto"/>
        <w:left w:val="none" w:sz="0" w:space="0" w:color="auto"/>
        <w:bottom w:val="none" w:sz="0" w:space="0" w:color="auto"/>
        <w:right w:val="none" w:sz="0" w:space="0" w:color="auto"/>
      </w:divBdr>
    </w:div>
    <w:div w:id="203569479">
      <w:bodyDiv w:val="1"/>
      <w:marLeft w:val="0"/>
      <w:marRight w:val="0"/>
      <w:marTop w:val="0"/>
      <w:marBottom w:val="0"/>
      <w:divBdr>
        <w:top w:val="none" w:sz="0" w:space="0" w:color="auto"/>
        <w:left w:val="none" w:sz="0" w:space="0" w:color="auto"/>
        <w:bottom w:val="none" w:sz="0" w:space="0" w:color="auto"/>
        <w:right w:val="none" w:sz="0" w:space="0" w:color="auto"/>
      </w:divBdr>
    </w:div>
    <w:div w:id="207911045">
      <w:bodyDiv w:val="1"/>
      <w:marLeft w:val="0"/>
      <w:marRight w:val="0"/>
      <w:marTop w:val="0"/>
      <w:marBottom w:val="0"/>
      <w:divBdr>
        <w:top w:val="none" w:sz="0" w:space="0" w:color="auto"/>
        <w:left w:val="none" w:sz="0" w:space="0" w:color="auto"/>
        <w:bottom w:val="none" w:sz="0" w:space="0" w:color="auto"/>
        <w:right w:val="none" w:sz="0" w:space="0" w:color="auto"/>
      </w:divBdr>
    </w:div>
    <w:div w:id="242955397">
      <w:bodyDiv w:val="1"/>
      <w:marLeft w:val="0"/>
      <w:marRight w:val="0"/>
      <w:marTop w:val="0"/>
      <w:marBottom w:val="0"/>
      <w:divBdr>
        <w:top w:val="none" w:sz="0" w:space="0" w:color="auto"/>
        <w:left w:val="none" w:sz="0" w:space="0" w:color="auto"/>
        <w:bottom w:val="none" w:sz="0" w:space="0" w:color="auto"/>
        <w:right w:val="none" w:sz="0" w:space="0" w:color="auto"/>
      </w:divBdr>
    </w:div>
    <w:div w:id="300889010">
      <w:bodyDiv w:val="1"/>
      <w:marLeft w:val="0"/>
      <w:marRight w:val="0"/>
      <w:marTop w:val="0"/>
      <w:marBottom w:val="0"/>
      <w:divBdr>
        <w:top w:val="none" w:sz="0" w:space="0" w:color="auto"/>
        <w:left w:val="none" w:sz="0" w:space="0" w:color="auto"/>
        <w:bottom w:val="none" w:sz="0" w:space="0" w:color="auto"/>
        <w:right w:val="none" w:sz="0" w:space="0" w:color="auto"/>
      </w:divBdr>
    </w:div>
    <w:div w:id="372997785">
      <w:bodyDiv w:val="1"/>
      <w:marLeft w:val="0"/>
      <w:marRight w:val="0"/>
      <w:marTop w:val="0"/>
      <w:marBottom w:val="0"/>
      <w:divBdr>
        <w:top w:val="none" w:sz="0" w:space="0" w:color="auto"/>
        <w:left w:val="none" w:sz="0" w:space="0" w:color="auto"/>
        <w:bottom w:val="none" w:sz="0" w:space="0" w:color="auto"/>
        <w:right w:val="none" w:sz="0" w:space="0" w:color="auto"/>
      </w:divBdr>
    </w:div>
    <w:div w:id="374545551">
      <w:bodyDiv w:val="1"/>
      <w:marLeft w:val="0"/>
      <w:marRight w:val="0"/>
      <w:marTop w:val="0"/>
      <w:marBottom w:val="0"/>
      <w:divBdr>
        <w:top w:val="none" w:sz="0" w:space="0" w:color="auto"/>
        <w:left w:val="none" w:sz="0" w:space="0" w:color="auto"/>
        <w:bottom w:val="none" w:sz="0" w:space="0" w:color="auto"/>
        <w:right w:val="none" w:sz="0" w:space="0" w:color="auto"/>
      </w:divBdr>
    </w:div>
    <w:div w:id="377557394">
      <w:bodyDiv w:val="1"/>
      <w:marLeft w:val="0"/>
      <w:marRight w:val="0"/>
      <w:marTop w:val="0"/>
      <w:marBottom w:val="0"/>
      <w:divBdr>
        <w:top w:val="none" w:sz="0" w:space="0" w:color="auto"/>
        <w:left w:val="none" w:sz="0" w:space="0" w:color="auto"/>
        <w:bottom w:val="none" w:sz="0" w:space="0" w:color="auto"/>
        <w:right w:val="none" w:sz="0" w:space="0" w:color="auto"/>
      </w:divBdr>
    </w:div>
    <w:div w:id="380594069">
      <w:bodyDiv w:val="1"/>
      <w:marLeft w:val="0"/>
      <w:marRight w:val="0"/>
      <w:marTop w:val="0"/>
      <w:marBottom w:val="0"/>
      <w:divBdr>
        <w:top w:val="none" w:sz="0" w:space="0" w:color="auto"/>
        <w:left w:val="none" w:sz="0" w:space="0" w:color="auto"/>
        <w:bottom w:val="none" w:sz="0" w:space="0" w:color="auto"/>
        <w:right w:val="none" w:sz="0" w:space="0" w:color="auto"/>
      </w:divBdr>
    </w:div>
    <w:div w:id="385877111">
      <w:bodyDiv w:val="1"/>
      <w:marLeft w:val="0"/>
      <w:marRight w:val="0"/>
      <w:marTop w:val="0"/>
      <w:marBottom w:val="0"/>
      <w:divBdr>
        <w:top w:val="none" w:sz="0" w:space="0" w:color="auto"/>
        <w:left w:val="none" w:sz="0" w:space="0" w:color="auto"/>
        <w:bottom w:val="none" w:sz="0" w:space="0" w:color="auto"/>
        <w:right w:val="none" w:sz="0" w:space="0" w:color="auto"/>
      </w:divBdr>
    </w:div>
    <w:div w:id="387269862">
      <w:bodyDiv w:val="1"/>
      <w:marLeft w:val="0"/>
      <w:marRight w:val="0"/>
      <w:marTop w:val="0"/>
      <w:marBottom w:val="0"/>
      <w:divBdr>
        <w:top w:val="none" w:sz="0" w:space="0" w:color="auto"/>
        <w:left w:val="none" w:sz="0" w:space="0" w:color="auto"/>
        <w:bottom w:val="none" w:sz="0" w:space="0" w:color="auto"/>
        <w:right w:val="none" w:sz="0" w:space="0" w:color="auto"/>
      </w:divBdr>
    </w:div>
    <w:div w:id="425661891">
      <w:bodyDiv w:val="1"/>
      <w:marLeft w:val="0"/>
      <w:marRight w:val="0"/>
      <w:marTop w:val="0"/>
      <w:marBottom w:val="0"/>
      <w:divBdr>
        <w:top w:val="none" w:sz="0" w:space="0" w:color="auto"/>
        <w:left w:val="none" w:sz="0" w:space="0" w:color="auto"/>
        <w:bottom w:val="none" w:sz="0" w:space="0" w:color="auto"/>
        <w:right w:val="none" w:sz="0" w:space="0" w:color="auto"/>
      </w:divBdr>
    </w:div>
    <w:div w:id="436291784">
      <w:bodyDiv w:val="1"/>
      <w:marLeft w:val="0"/>
      <w:marRight w:val="0"/>
      <w:marTop w:val="0"/>
      <w:marBottom w:val="0"/>
      <w:divBdr>
        <w:top w:val="none" w:sz="0" w:space="0" w:color="auto"/>
        <w:left w:val="none" w:sz="0" w:space="0" w:color="auto"/>
        <w:bottom w:val="none" w:sz="0" w:space="0" w:color="auto"/>
        <w:right w:val="none" w:sz="0" w:space="0" w:color="auto"/>
      </w:divBdr>
    </w:div>
    <w:div w:id="444203222">
      <w:bodyDiv w:val="1"/>
      <w:marLeft w:val="0"/>
      <w:marRight w:val="0"/>
      <w:marTop w:val="0"/>
      <w:marBottom w:val="0"/>
      <w:divBdr>
        <w:top w:val="none" w:sz="0" w:space="0" w:color="auto"/>
        <w:left w:val="none" w:sz="0" w:space="0" w:color="auto"/>
        <w:bottom w:val="none" w:sz="0" w:space="0" w:color="auto"/>
        <w:right w:val="none" w:sz="0" w:space="0" w:color="auto"/>
      </w:divBdr>
    </w:div>
    <w:div w:id="469832924">
      <w:bodyDiv w:val="1"/>
      <w:marLeft w:val="0"/>
      <w:marRight w:val="0"/>
      <w:marTop w:val="0"/>
      <w:marBottom w:val="0"/>
      <w:divBdr>
        <w:top w:val="none" w:sz="0" w:space="0" w:color="auto"/>
        <w:left w:val="none" w:sz="0" w:space="0" w:color="auto"/>
        <w:bottom w:val="none" w:sz="0" w:space="0" w:color="auto"/>
        <w:right w:val="none" w:sz="0" w:space="0" w:color="auto"/>
      </w:divBdr>
    </w:div>
    <w:div w:id="528299105">
      <w:bodyDiv w:val="1"/>
      <w:marLeft w:val="0"/>
      <w:marRight w:val="0"/>
      <w:marTop w:val="0"/>
      <w:marBottom w:val="0"/>
      <w:divBdr>
        <w:top w:val="none" w:sz="0" w:space="0" w:color="auto"/>
        <w:left w:val="none" w:sz="0" w:space="0" w:color="auto"/>
        <w:bottom w:val="none" w:sz="0" w:space="0" w:color="auto"/>
        <w:right w:val="none" w:sz="0" w:space="0" w:color="auto"/>
      </w:divBdr>
    </w:div>
    <w:div w:id="549460260">
      <w:bodyDiv w:val="1"/>
      <w:marLeft w:val="0"/>
      <w:marRight w:val="0"/>
      <w:marTop w:val="0"/>
      <w:marBottom w:val="0"/>
      <w:divBdr>
        <w:top w:val="none" w:sz="0" w:space="0" w:color="auto"/>
        <w:left w:val="none" w:sz="0" w:space="0" w:color="auto"/>
        <w:bottom w:val="none" w:sz="0" w:space="0" w:color="auto"/>
        <w:right w:val="none" w:sz="0" w:space="0" w:color="auto"/>
      </w:divBdr>
    </w:div>
    <w:div w:id="563032863">
      <w:bodyDiv w:val="1"/>
      <w:marLeft w:val="0"/>
      <w:marRight w:val="0"/>
      <w:marTop w:val="0"/>
      <w:marBottom w:val="0"/>
      <w:divBdr>
        <w:top w:val="none" w:sz="0" w:space="0" w:color="auto"/>
        <w:left w:val="none" w:sz="0" w:space="0" w:color="auto"/>
        <w:bottom w:val="none" w:sz="0" w:space="0" w:color="auto"/>
        <w:right w:val="none" w:sz="0" w:space="0" w:color="auto"/>
      </w:divBdr>
    </w:div>
    <w:div w:id="581567215">
      <w:bodyDiv w:val="1"/>
      <w:marLeft w:val="0"/>
      <w:marRight w:val="0"/>
      <w:marTop w:val="0"/>
      <w:marBottom w:val="0"/>
      <w:divBdr>
        <w:top w:val="none" w:sz="0" w:space="0" w:color="auto"/>
        <w:left w:val="none" w:sz="0" w:space="0" w:color="auto"/>
        <w:bottom w:val="none" w:sz="0" w:space="0" w:color="auto"/>
        <w:right w:val="none" w:sz="0" w:space="0" w:color="auto"/>
      </w:divBdr>
    </w:div>
    <w:div w:id="585573142">
      <w:bodyDiv w:val="1"/>
      <w:marLeft w:val="0"/>
      <w:marRight w:val="0"/>
      <w:marTop w:val="0"/>
      <w:marBottom w:val="0"/>
      <w:divBdr>
        <w:top w:val="none" w:sz="0" w:space="0" w:color="auto"/>
        <w:left w:val="none" w:sz="0" w:space="0" w:color="auto"/>
        <w:bottom w:val="none" w:sz="0" w:space="0" w:color="auto"/>
        <w:right w:val="none" w:sz="0" w:space="0" w:color="auto"/>
      </w:divBdr>
    </w:div>
    <w:div w:id="594753795">
      <w:bodyDiv w:val="1"/>
      <w:marLeft w:val="0"/>
      <w:marRight w:val="0"/>
      <w:marTop w:val="0"/>
      <w:marBottom w:val="0"/>
      <w:divBdr>
        <w:top w:val="none" w:sz="0" w:space="0" w:color="auto"/>
        <w:left w:val="none" w:sz="0" w:space="0" w:color="auto"/>
        <w:bottom w:val="none" w:sz="0" w:space="0" w:color="auto"/>
        <w:right w:val="none" w:sz="0" w:space="0" w:color="auto"/>
      </w:divBdr>
    </w:div>
    <w:div w:id="622813719">
      <w:bodyDiv w:val="1"/>
      <w:marLeft w:val="0"/>
      <w:marRight w:val="0"/>
      <w:marTop w:val="0"/>
      <w:marBottom w:val="0"/>
      <w:divBdr>
        <w:top w:val="none" w:sz="0" w:space="0" w:color="auto"/>
        <w:left w:val="none" w:sz="0" w:space="0" w:color="auto"/>
        <w:bottom w:val="none" w:sz="0" w:space="0" w:color="auto"/>
        <w:right w:val="none" w:sz="0" w:space="0" w:color="auto"/>
      </w:divBdr>
    </w:div>
    <w:div w:id="626467885">
      <w:bodyDiv w:val="1"/>
      <w:marLeft w:val="0"/>
      <w:marRight w:val="0"/>
      <w:marTop w:val="0"/>
      <w:marBottom w:val="0"/>
      <w:divBdr>
        <w:top w:val="none" w:sz="0" w:space="0" w:color="auto"/>
        <w:left w:val="none" w:sz="0" w:space="0" w:color="auto"/>
        <w:bottom w:val="none" w:sz="0" w:space="0" w:color="auto"/>
        <w:right w:val="none" w:sz="0" w:space="0" w:color="auto"/>
      </w:divBdr>
    </w:div>
    <w:div w:id="647781392">
      <w:bodyDiv w:val="1"/>
      <w:marLeft w:val="0"/>
      <w:marRight w:val="0"/>
      <w:marTop w:val="0"/>
      <w:marBottom w:val="0"/>
      <w:divBdr>
        <w:top w:val="none" w:sz="0" w:space="0" w:color="auto"/>
        <w:left w:val="none" w:sz="0" w:space="0" w:color="auto"/>
        <w:bottom w:val="none" w:sz="0" w:space="0" w:color="auto"/>
        <w:right w:val="none" w:sz="0" w:space="0" w:color="auto"/>
      </w:divBdr>
    </w:div>
    <w:div w:id="677855649">
      <w:bodyDiv w:val="1"/>
      <w:marLeft w:val="0"/>
      <w:marRight w:val="0"/>
      <w:marTop w:val="0"/>
      <w:marBottom w:val="0"/>
      <w:divBdr>
        <w:top w:val="none" w:sz="0" w:space="0" w:color="auto"/>
        <w:left w:val="none" w:sz="0" w:space="0" w:color="auto"/>
        <w:bottom w:val="none" w:sz="0" w:space="0" w:color="auto"/>
        <w:right w:val="none" w:sz="0" w:space="0" w:color="auto"/>
      </w:divBdr>
    </w:div>
    <w:div w:id="681510594">
      <w:bodyDiv w:val="1"/>
      <w:marLeft w:val="0"/>
      <w:marRight w:val="0"/>
      <w:marTop w:val="0"/>
      <w:marBottom w:val="0"/>
      <w:divBdr>
        <w:top w:val="none" w:sz="0" w:space="0" w:color="auto"/>
        <w:left w:val="none" w:sz="0" w:space="0" w:color="auto"/>
        <w:bottom w:val="none" w:sz="0" w:space="0" w:color="auto"/>
        <w:right w:val="none" w:sz="0" w:space="0" w:color="auto"/>
      </w:divBdr>
    </w:div>
    <w:div w:id="692658561">
      <w:bodyDiv w:val="1"/>
      <w:marLeft w:val="0"/>
      <w:marRight w:val="0"/>
      <w:marTop w:val="0"/>
      <w:marBottom w:val="0"/>
      <w:divBdr>
        <w:top w:val="none" w:sz="0" w:space="0" w:color="auto"/>
        <w:left w:val="none" w:sz="0" w:space="0" w:color="auto"/>
        <w:bottom w:val="none" w:sz="0" w:space="0" w:color="auto"/>
        <w:right w:val="none" w:sz="0" w:space="0" w:color="auto"/>
      </w:divBdr>
    </w:div>
    <w:div w:id="700128851">
      <w:bodyDiv w:val="1"/>
      <w:marLeft w:val="0"/>
      <w:marRight w:val="0"/>
      <w:marTop w:val="0"/>
      <w:marBottom w:val="0"/>
      <w:divBdr>
        <w:top w:val="none" w:sz="0" w:space="0" w:color="auto"/>
        <w:left w:val="none" w:sz="0" w:space="0" w:color="auto"/>
        <w:bottom w:val="none" w:sz="0" w:space="0" w:color="auto"/>
        <w:right w:val="none" w:sz="0" w:space="0" w:color="auto"/>
      </w:divBdr>
    </w:div>
    <w:div w:id="707608620">
      <w:bodyDiv w:val="1"/>
      <w:marLeft w:val="0"/>
      <w:marRight w:val="0"/>
      <w:marTop w:val="0"/>
      <w:marBottom w:val="0"/>
      <w:divBdr>
        <w:top w:val="none" w:sz="0" w:space="0" w:color="auto"/>
        <w:left w:val="none" w:sz="0" w:space="0" w:color="auto"/>
        <w:bottom w:val="none" w:sz="0" w:space="0" w:color="auto"/>
        <w:right w:val="none" w:sz="0" w:space="0" w:color="auto"/>
      </w:divBdr>
    </w:div>
    <w:div w:id="716394315">
      <w:bodyDiv w:val="1"/>
      <w:marLeft w:val="0"/>
      <w:marRight w:val="0"/>
      <w:marTop w:val="0"/>
      <w:marBottom w:val="0"/>
      <w:divBdr>
        <w:top w:val="none" w:sz="0" w:space="0" w:color="auto"/>
        <w:left w:val="none" w:sz="0" w:space="0" w:color="auto"/>
        <w:bottom w:val="none" w:sz="0" w:space="0" w:color="auto"/>
        <w:right w:val="none" w:sz="0" w:space="0" w:color="auto"/>
      </w:divBdr>
    </w:div>
    <w:div w:id="721103264">
      <w:bodyDiv w:val="1"/>
      <w:marLeft w:val="0"/>
      <w:marRight w:val="0"/>
      <w:marTop w:val="0"/>
      <w:marBottom w:val="0"/>
      <w:divBdr>
        <w:top w:val="none" w:sz="0" w:space="0" w:color="auto"/>
        <w:left w:val="none" w:sz="0" w:space="0" w:color="auto"/>
        <w:bottom w:val="none" w:sz="0" w:space="0" w:color="auto"/>
        <w:right w:val="none" w:sz="0" w:space="0" w:color="auto"/>
      </w:divBdr>
    </w:div>
    <w:div w:id="733507515">
      <w:bodyDiv w:val="1"/>
      <w:marLeft w:val="0"/>
      <w:marRight w:val="0"/>
      <w:marTop w:val="0"/>
      <w:marBottom w:val="0"/>
      <w:divBdr>
        <w:top w:val="none" w:sz="0" w:space="0" w:color="auto"/>
        <w:left w:val="none" w:sz="0" w:space="0" w:color="auto"/>
        <w:bottom w:val="none" w:sz="0" w:space="0" w:color="auto"/>
        <w:right w:val="none" w:sz="0" w:space="0" w:color="auto"/>
      </w:divBdr>
    </w:div>
    <w:div w:id="737633272">
      <w:bodyDiv w:val="1"/>
      <w:marLeft w:val="0"/>
      <w:marRight w:val="0"/>
      <w:marTop w:val="0"/>
      <w:marBottom w:val="0"/>
      <w:divBdr>
        <w:top w:val="none" w:sz="0" w:space="0" w:color="auto"/>
        <w:left w:val="none" w:sz="0" w:space="0" w:color="auto"/>
        <w:bottom w:val="none" w:sz="0" w:space="0" w:color="auto"/>
        <w:right w:val="none" w:sz="0" w:space="0" w:color="auto"/>
      </w:divBdr>
    </w:div>
    <w:div w:id="776099428">
      <w:bodyDiv w:val="1"/>
      <w:marLeft w:val="0"/>
      <w:marRight w:val="0"/>
      <w:marTop w:val="0"/>
      <w:marBottom w:val="0"/>
      <w:divBdr>
        <w:top w:val="none" w:sz="0" w:space="0" w:color="auto"/>
        <w:left w:val="none" w:sz="0" w:space="0" w:color="auto"/>
        <w:bottom w:val="none" w:sz="0" w:space="0" w:color="auto"/>
        <w:right w:val="none" w:sz="0" w:space="0" w:color="auto"/>
      </w:divBdr>
    </w:div>
    <w:div w:id="826213634">
      <w:bodyDiv w:val="1"/>
      <w:marLeft w:val="0"/>
      <w:marRight w:val="0"/>
      <w:marTop w:val="0"/>
      <w:marBottom w:val="0"/>
      <w:divBdr>
        <w:top w:val="none" w:sz="0" w:space="0" w:color="auto"/>
        <w:left w:val="none" w:sz="0" w:space="0" w:color="auto"/>
        <w:bottom w:val="none" w:sz="0" w:space="0" w:color="auto"/>
        <w:right w:val="none" w:sz="0" w:space="0" w:color="auto"/>
      </w:divBdr>
    </w:div>
    <w:div w:id="827019781">
      <w:bodyDiv w:val="1"/>
      <w:marLeft w:val="0"/>
      <w:marRight w:val="0"/>
      <w:marTop w:val="0"/>
      <w:marBottom w:val="0"/>
      <w:divBdr>
        <w:top w:val="none" w:sz="0" w:space="0" w:color="auto"/>
        <w:left w:val="none" w:sz="0" w:space="0" w:color="auto"/>
        <w:bottom w:val="none" w:sz="0" w:space="0" w:color="auto"/>
        <w:right w:val="none" w:sz="0" w:space="0" w:color="auto"/>
      </w:divBdr>
    </w:div>
    <w:div w:id="873153910">
      <w:bodyDiv w:val="1"/>
      <w:marLeft w:val="0"/>
      <w:marRight w:val="0"/>
      <w:marTop w:val="0"/>
      <w:marBottom w:val="0"/>
      <w:divBdr>
        <w:top w:val="none" w:sz="0" w:space="0" w:color="auto"/>
        <w:left w:val="none" w:sz="0" w:space="0" w:color="auto"/>
        <w:bottom w:val="none" w:sz="0" w:space="0" w:color="auto"/>
        <w:right w:val="none" w:sz="0" w:space="0" w:color="auto"/>
      </w:divBdr>
    </w:div>
    <w:div w:id="877936774">
      <w:bodyDiv w:val="1"/>
      <w:marLeft w:val="0"/>
      <w:marRight w:val="0"/>
      <w:marTop w:val="0"/>
      <w:marBottom w:val="0"/>
      <w:divBdr>
        <w:top w:val="none" w:sz="0" w:space="0" w:color="auto"/>
        <w:left w:val="none" w:sz="0" w:space="0" w:color="auto"/>
        <w:bottom w:val="none" w:sz="0" w:space="0" w:color="auto"/>
        <w:right w:val="none" w:sz="0" w:space="0" w:color="auto"/>
      </w:divBdr>
    </w:div>
    <w:div w:id="951060800">
      <w:bodyDiv w:val="1"/>
      <w:marLeft w:val="0"/>
      <w:marRight w:val="0"/>
      <w:marTop w:val="0"/>
      <w:marBottom w:val="0"/>
      <w:divBdr>
        <w:top w:val="none" w:sz="0" w:space="0" w:color="auto"/>
        <w:left w:val="none" w:sz="0" w:space="0" w:color="auto"/>
        <w:bottom w:val="none" w:sz="0" w:space="0" w:color="auto"/>
        <w:right w:val="none" w:sz="0" w:space="0" w:color="auto"/>
      </w:divBdr>
    </w:div>
    <w:div w:id="960112198">
      <w:bodyDiv w:val="1"/>
      <w:marLeft w:val="0"/>
      <w:marRight w:val="0"/>
      <w:marTop w:val="0"/>
      <w:marBottom w:val="0"/>
      <w:divBdr>
        <w:top w:val="none" w:sz="0" w:space="0" w:color="auto"/>
        <w:left w:val="none" w:sz="0" w:space="0" w:color="auto"/>
        <w:bottom w:val="none" w:sz="0" w:space="0" w:color="auto"/>
        <w:right w:val="none" w:sz="0" w:space="0" w:color="auto"/>
      </w:divBdr>
    </w:div>
    <w:div w:id="986781358">
      <w:bodyDiv w:val="1"/>
      <w:marLeft w:val="0"/>
      <w:marRight w:val="0"/>
      <w:marTop w:val="0"/>
      <w:marBottom w:val="0"/>
      <w:divBdr>
        <w:top w:val="none" w:sz="0" w:space="0" w:color="auto"/>
        <w:left w:val="none" w:sz="0" w:space="0" w:color="auto"/>
        <w:bottom w:val="none" w:sz="0" w:space="0" w:color="auto"/>
        <w:right w:val="none" w:sz="0" w:space="0" w:color="auto"/>
      </w:divBdr>
    </w:div>
    <w:div w:id="1007371500">
      <w:bodyDiv w:val="1"/>
      <w:marLeft w:val="0"/>
      <w:marRight w:val="0"/>
      <w:marTop w:val="0"/>
      <w:marBottom w:val="0"/>
      <w:divBdr>
        <w:top w:val="none" w:sz="0" w:space="0" w:color="auto"/>
        <w:left w:val="none" w:sz="0" w:space="0" w:color="auto"/>
        <w:bottom w:val="none" w:sz="0" w:space="0" w:color="auto"/>
        <w:right w:val="none" w:sz="0" w:space="0" w:color="auto"/>
      </w:divBdr>
    </w:div>
    <w:div w:id="1032877204">
      <w:bodyDiv w:val="1"/>
      <w:marLeft w:val="0"/>
      <w:marRight w:val="0"/>
      <w:marTop w:val="0"/>
      <w:marBottom w:val="0"/>
      <w:divBdr>
        <w:top w:val="none" w:sz="0" w:space="0" w:color="auto"/>
        <w:left w:val="none" w:sz="0" w:space="0" w:color="auto"/>
        <w:bottom w:val="none" w:sz="0" w:space="0" w:color="auto"/>
        <w:right w:val="none" w:sz="0" w:space="0" w:color="auto"/>
      </w:divBdr>
    </w:div>
    <w:div w:id="1040667683">
      <w:bodyDiv w:val="1"/>
      <w:marLeft w:val="0"/>
      <w:marRight w:val="0"/>
      <w:marTop w:val="0"/>
      <w:marBottom w:val="0"/>
      <w:divBdr>
        <w:top w:val="none" w:sz="0" w:space="0" w:color="auto"/>
        <w:left w:val="none" w:sz="0" w:space="0" w:color="auto"/>
        <w:bottom w:val="none" w:sz="0" w:space="0" w:color="auto"/>
        <w:right w:val="none" w:sz="0" w:space="0" w:color="auto"/>
      </w:divBdr>
    </w:div>
    <w:div w:id="1067531775">
      <w:bodyDiv w:val="1"/>
      <w:marLeft w:val="0"/>
      <w:marRight w:val="0"/>
      <w:marTop w:val="0"/>
      <w:marBottom w:val="0"/>
      <w:divBdr>
        <w:top w:val="none" w:sz="0" w:space="0" w:color="auto"/>
        <w:left w:val="none" w:sz="0" w:space="0" w:color="auto"/>
        <w:bottom w:val="none" w:sz="0" w:space="0" w:color="auto"/>
        <w:right w:val="none" w:sz="0" w:space="0" w:color="auto"/>
      </w:divBdr>
    </w:div>
    <w:div w:id="1082796197">
      <w:bodyDiv w:val="1"/>
      <w:marLeft w:val="0"/>
      <w:marRight w:val="0"/>
      <w:marTop w:val="0"/>
      <w:marBottom w:val="0"/>
      <w:divBdr>
        <w:top w:val="none" w:sz="0" w:space="0" w:color="auto"/>
        <w:left w:val="none" w:sz="0" w:space="0" w:color="auto"/>
        <w:bottom w:val="none" w:sz="0" w:space="0" w:color="auto"/>
        <w:right w:val="none" w:sz="0" w:space="0" w:color="auto"/>
      </w:divBdr>
    </w:div>
    <w:div w:id="1104620032">
      <w:bodyDiv w:val="1"/>
      <w:marLeft w:val="0"/>
      <w:marRight w:val="0"/>
      <w:marTop w:val="0"/>
      <w:marBottom w:val="0"/>
      <w:divBdr>
        <w:top w:val="none" w:sz="0" w:space="0" w:color="auto"/>
        <w:left w:val="none" w:sz="0" w:space="0" w:color="auto"/>
        <w:bottom w:val="none" w:sz="0" w:space="0" w:color="auto"/>
        <w:right w:val="none" w:sz="0" w:space="0" w:color="auto"/>
      </w:divBdr>
    </w:div>
    <w:div w:id="1118720039">
      <w:bodyDiv w:val="1"/>
      <w:marLeft w:val="0"/>
      <w:marRight w:val="0"/>
      <w:marTop w:val="0"/>
      <w:marBottom w:val="0"/>
      <w:divBdr>
        <w:top w:val="none" w:sz="0" w:space="0" w:color="auto"/>
        <w:left w:val="none" w:sz="0" w:space="0" w:color="auto"/>
        <w:bottom w:val="none" w:sz="0" w:space="0" w:color="auto"/>
        <w:right w:val="none" w:sz="0" w:space="0" w:color="auto"/>
      </w:divBdr>
    </w:div>
    <w:div w:id="1125004218">
      <w:bodyDiv w:val="1"/>
      <w:marLeft w:val="0"/>
      <w:marRight w:val="0"/>
      <w:marTop w:val="0"/>
      <w:marBottom w:val="0"/>
      <w:divBdr>
        <w:top w:val="none" w:sz="0" w:space="0" w:color="auto"/>
        <w:left w:val="none" w:sz="0" w:space="0" w:color="auto"/>
        <w:bottom w:val="none" w:sz="0" w:space="0" w:color="auto"/>
        <w:right w:val="none" w:sz="0" w:space="0" w:color="auto"/>
      </w:divBdr>
    </w:div>
    <w:div w:id="1126118140">
      <w:bodyDiv w:val="1"/>
      <w:marLeft w:val="0"/>
      <w:marRight w:val="0"/>
      <w:marTop w:val="0"/>
      <w:marBottom w:val="0"/>
      <w:divBdr>
        <w:top w:val="none" w:sz="0" w:space="0" w:color="auto"/>
        <w:left w:val="none" w:sz="0" w:space="0" w:color="auto"/>
        <w:bottom w:val="none" w:sz="0" w:space="0" w:color="auto"/>
        <w:right w:val="none" w:sz="0" w:space="0" w:color="auto"/>
      </w:divBdr>
    </w:div>
    <w:div w:id="1135106264">
      <w:bodyDiv w:val="1"/>
      <w:marLeft w:val="0"/>
      <w:marRight w:val="0"/>
      <w:marTop w:val="0"/>
      <w:marBottom w:val="0"/>
      <w:divBdr>
        <w:top w:val="none" w:sz="0" w:space="0" w:color="auto"/>
        <w:left w:val="none" w:sz="0" w:space="0" w:color="auto"/>
        <w:bottom w:val="none" w:sz="0" w:space="0" w:color="auto"/>
        <w:right w:val="none" w:sz="0" w:space="0" w:color="auto"/>
      </w:divBdr>
    </w:div>
    <w:div w:id="1160150652">
      <w:bodyDiv w:val="1"/>
      <w:marLeft w:val="0"/>
      <w:marRight w:val="0"/>
      <w:marTop w:val="0"/>
      <w:marBottom w:val="0"/>
      <w:divBdr>
        <w:top w:val="none" w:sz="0" w:space="0" w:color="auto"/>
        <w:left w:val="none" w:sz="0" w:space="0" w:color="auto"/>
        <w:bottom w:val="none" w:sz="0" w:space="0" w:color="auto"/>
        <w:right w:val="none" w:sz="0" w:space="0" w:color="auto"/>
      </w:divBdr>
    </w:div>
    <w:div w:id="1164668947">
      <w:bodyDiv w:val="1"/>
      <w:marLeft w:val="0"/>
      <w:marRight w:val="0"/>
      <w:marTop w:val="0"/>
      <w:marBottom w:val="0"/>
      <w:divBdr>
        <w:top w:val="none" w:sz="0" w:space="0" w:color="auto"/>
        <w:left w:val="none" w:sz="0" w:space="0" w:color="auto"/>
        <w:bottom w:val="none" w:sz="0" w:space="0" w:color="auto"/>
        <w:right w:val="none" w:sz="0" w:space="0" w:color="auto"/>
      </w:divBdr>
    </w:div>
    <w:div w:id="1221480820">
      <w:bodyDiv w:val="1"/>
      <w:marLeft w:val="0"/>
      <w:marRight w:val="0"/>
      <w:marTop w:val="0"/>
      <w:marBottom w:val="0"/>
      <w:divBdr>
        <w:top w:val="none" w:sz="0" w:space="0" w:color="auto"/>
        <w:left w:val="none" w:sz="0" w:space="0" w:color="auto"/>
        <w:bottom w:val="none" w:sz="0" w:space="0" w:color="auto"/>
        <w:right w:val="none" w:sz="0" w:space="0" w:color="auto"/>
      </w:divBdr>
    </w:div>
    <w:div w:id="1223062966">
      <w:bodyDiv w:val="1"/>
      <w:marLeft w:val="0"/>
      <w:marRight w:val="0"/>
      <w:marTop w:val="0"/>
      <w:marBottom w:val="0"/>
      <w:divBdr>
        <w:top w:val="none" w:sz="0" w:space="0" w:color="auto"/>
        <w:left w:val="none" w:sz="0" w:space="0" w:color="auto"/>
        <w:bottom w:val="none" w:sz="0" w:space="0" w:color="auto"/>
        <w:right w:val="none" w:sz="0" w:space="0" w:color="auto"/>
      </w:divBdr>
    </w:div>
    <w:div w:id="1233127964">
      <w:bodyDiv w:val="1"/>
      <w:marLeft w:val="0"/>
      <w:marRight w:val="0"/>
      <w:marTop w:val="0"/>
      <w:marBottom w:val="0"/>
      <w:divBdr>
        <w:top w:val="none" w:sz="0" w:space="0" w:color="auto"/>
        <w:left w:val="none" w:sz="0" w:space="0" w:color="auto"/>
        <w:bottom w:val="none" w:sz="0" w:space="0" w:color="auto"/>
        <w:right w:val="none" w:sz="0" w:space="0" w:color="auto"/>
      </w:divBdr>
    </w:div>
    <w:div w:id="1271156943">
      <w:bodyDiv w:val="1"/>
      <w:marLeft w:val="0"/>
      <w:marRight w:val="0"/>
      <w:marTop w:val="0"/>
      <w:marBottom w:val="0"/>
      <w:divBdr>
        <w:top w:val="none" w:sz="0" w:space="0" w:color="auto"/>
        <w:left w:val="none" w:sz="0" w:space="0" w:color="auto"/>
        <w:bottom w:val="none" w:sz="0" w:space="0" w:color="auto"/>
        <w:right w:val="none" w:sz="0" w:space="0" w:color="auto"/>
      </w:divBdr>
    </w:div>
    <w:div w:id="1289510869">
      <w:bodyDiv w:val="1"/>
      <w:marLeft w:val="0"/>
      <w:marRight w:val="0"/>
      <w:marTop w:val="0"/>
      <w:marBottom w:val="0"/>
      <w:divBdr>
        <w:top w:val="none" w:sz="0" w:space="0" w:color="auto"/>
        <w:left w:val="none" w:sz="0" w:space="0" w:color="auto"/>
        <w:bottom w:val="none" w:sz="0" w:space="0" w:color="auto"/>
        <w:right w:val="none" w:sz="0" w:space="0" w:color="auto"/>
      </w:divBdr>
    </w:div>
    <w:div w:id="1296327743">
      <w:bodyDiv w:val="1"/>
      <w:marLeft w:val="0"/>
      <w:marRight w:val="0"/>
      <w:marTop w:val="0"/>
      <w:marBottom w:val="0"/>
      <w:divBdr>
        <w:top w:val="none" w:sz="0" w:space="0" w:color="auto"/>
        <w:left w:val="none" w:sz="0" w:space="0" w:color="auto"/>
        <w:bottom w:val="none" w:sz="0" w:space="0" w:color="auto"/>
        <w:right w:val="none" w:sz="0" w:space="0" w:color="auto"/>
      </w:divBdr>
    </w:div>
    <w:div w:id="1321541922">
      <w:bodyDiv w:val="1"/>
      <w:marLeft w:val="0"/>
      <w:marRight w:val="0"/>
      <w:marTop w:val="0"/>
      <w:marBottom w:val="0"/>
      <w:divBdr>
        <w:top w:val="none" w:sz="0" w:space="0" w:color="auto"/>
        <w:left w:val="none" w:sz="0" w:space="0" w:color="auto"/>
        <w:bottom w:val="none" w:sz="0" w:space="0" w:color="auto"/>
        <w:right w:val="none" w:sz="0" w:space="0" w:color="auto"/>
      </w:divBdr>
    </w:div>
    <w:div w:id="1338460901">
      <w:bodyDiv w:val="1"/>
      <w:marLeft w:val="0"/>
      <w:marRight w:val="0"/>
      <w:marTop w:val="0"/>
      <w:marBottom w:val="0"/>
      <w:divBdr>
        <w:top w:val="none" w:sz="0" w:space="0" w:color="auto"/>
        <w:left w:val="none" w:sz="0" w:space="0" w:color="auto"/>
        <w:bottom w:val="none" w:sz="0" w:space="0" w:color="auto"/>
        <w:right w:val="none" w:sz="0" w:space="0" w:color="auto"/>
      </w:divBdr>
    </w:div>
    <w:div w:id="1340157912">
      <w:bodyDiv w:val="1"/>
      <w:marLeft w:val="0"/>
      <w:marRight w:val="0"/>
      <w:marTop w:val="0"/>
      <w:marBottom w:val="0"/>
      <w:divBdr>
        <w:top w:val="none" w:sz="0" w:space="0" w:color="auto"/>
        <w:left w:val="none" w:sz="0" w:space="0" w:color="auto"/>
        <w:bottom w:val="none" w:sz="0" w:space="0" w:color="auto"/>
        <w:right w:val="none" w:sz="0" w:space="0" w:color="auto"/>
      </w:divBdr>
    </w:div>
    <w:div w:id="1340888991">
      <w:bodyDiv w:val="1"/>
      <w:marLeft w:val="0"/>
      <w:marRight w:val="0"/>
      <w:marTop w:val="0"/>
      <w:marBottom w:val="0"/>
      <w:divBdr>
        <w:top w:val="none" w:sz="0" w:space="0" w:color="auto"/>
        <w:left w:val="none" w:sz="0" w:space="0" w:color="auto"/>
        <w:bottom w:val="none" w:sz="0" w:space="0" w:color="auto"/>
        <w:right w:val="none" w:sz="0" w:space="0" w:color="auto"/>
      </w:divBdr>
    </w:div>
    <w:div w:id="1341932870">
      <w:bodyDiv w:val="1"/>
      <w:marLeft w:val="0"/>
      <w:marRight w:val="0"/>
      <w:marTop w:val="0"/>
      <w:marBottom w:val="0"/>
      <w:divBdr>
        <w:top w:val="none" w:sz="0" w:space="0" w:color="auto"/>
        <w:left w:val="none" w:sz="0" w:space="0" w:color="auto"/>
        <w:bottom w:val="none" w:sz="0" w:space="0" w:color="auto"/>
        <w:right w:val="none" w:sz="0" w:space="0" w:color="auto"/>
      </w:divBdr>
    </w:div>
    <w:div w:id="1342197997">
      <w:bodyDiv w:val="1"/>
      <w:marLeft w:val="0"/>
      <w:marRight w:val="0"/>
      <w:marTop w:val="0"/>
      <w:marBottom w:val="0"/>
      <w:divBdr>
        <w:top w:val="none" w:sz="0" w:space="0" w:color="auto"/>
        <w:left w:val="none" w:sz="0" w:space="0" w:color="auto"/>
        <w:bottom w:val="none" w:sz="0" w:space="0" w:color="auto"/>
        <w:right w:val="none" w:sz="0" w:space="0" w:color="auto"/>
      </w:divBdr>
    </w:div>
    <w:div w:id="1378512630">
      <w:bodyDiv w:val="1"/>
      <w:marLeft w:val="0"/>
      <w:marRight w:val="0"/>
      <w:marTop w:val="0"/>
      <w:marBottom w:val="0"/>
      <w:divBdr>
        <w:top w:val="none" w:sz="0" w:space="0" w:color="auto"/>
        <w:left w:val="none" w:sz="0" w:space="0" w:color="auto"/>
        <w:bottom w:val="none" w:sz="0" w:space="0" w:color="auto"/>
        <w:right w:val="none" w:sz="0" w:space="0" w:color="auto"/>
      </w:divBdr>
    </w:div>
    <w:div w:id="1442644046">
      <w:bodyDiv w:val="1"/>
      <w:marLeft w:val="0"/>
      <w:marRight w:val="0"/>
      <w:marTop w:val="0"/>
      <w:marBottom w:val="0"/>
      <w:divBdr>
        <w:top w:val="none" w:sz="0" w:space="0" w:color="auto"/>
        <w:left w:val="none" w:sz="0" w:space="0" w:color="auto"/>
        <w:bottom w:val="none" w:sz="0" w:space="0" w:color="auto"/>
        <w:right w:val="none" w:sz="0" w:space="0" w:color="auto"/>
      </w:divBdr>
    </w:div>
    <w:div w:id="1460538437">
      <w:bodyDiv w:val="1"/>
      <w:marLeft w:val="0"/>
      <w:marRight w:val="0"/>
      <w:marTop w:val="0"/>
      <w:marBottom w:val="0"/>
      <w:divBdr>
        <w:top w:val="none" w:sz="0" w:space="0" w:color="auto"/>
        <w:left w:val="none" w:sz="0" w:space="0" w:color="auto"/>
        <w:bottom w:val="none" w:sz="0" w:space="0" w:color="auto"/>
        <w:right w:val="none" w:sz="0" w:space="0" w:color="auto"/>
      </w:divBdr>
    </w:div>
    <w:div w:id="1462265729">
      <w:bodyDiv w:val="1"/>
      <w:marLeft w:val="0"/>
      <w:marRight w:val="0"/>
      <w:marTop w:val="0"/>
      <w:marBottom w:val="0"/>
      <w:divBdr>
        <w:top w:val="none" w:sz="0" w:space="0" w:color="auto"/>
        <w:left w:val="none" w:sz="0" w:space="0" w:color="auto"/>
        <w:bottom w:val="none" w:sz="0" w:space="0" w:color="auto"/>
        <w:right w:val="none" w:sz="0" w:space="0" w:color="auto"/>
      </w:divBdr>
    </w:div>
    <w:div w:id="1477919210">
      <w:bodyDiv w:val="1"/>
      <w:marLeft w:val="0"/>
      <w:marRight w:val="0"/>
      <w:marTop w:val="0"/>
      <w:marBottom w:val="0"/>
      <w:divBdr>
        <w:top w:val="none" w:sz="0" w:space="0" w:color="auto"/>
        <w:left w:val="none" w:sz="0" w:space="0" w:color="auto"/>
        <w:bottom w:val="none" w:sz="0" w:space="0" w:color="auto"/>
        <w:right w:val="none" w:sz="0" w:space="0" w:color="auto"/>
      </w:divBdr>
    </w:div>
    <w:div w:id="1480463838">
      <w:bodyDiv w:val="1"/>
      <w:marLeft w:val="0"/>
      <w:marRight w:val="0"/>
      <w:marTop w:val="0"/>
      <w:marBottom w:val="0"/>
      <w:divBdr>
        <w:top w:val="none" w:sz="0" w:space="0" w:color="auto"/>
        <w:left w:val="none" w:sz="0" w:space="0" w:color="auto"/>
        <w:bottom w:val="none" w:sz="0" w:space="0" w:color="auto"/>
        <w:right w:val="none" w:sz="0" w:space="0" w:color="auto"/>
      </w:divBdr>
    </w:div>
    <w:div w:id="1530293077">
      <w:bodyDiv w:val="1"/>
      <w:marLeft w:val="0"/>
      <w:marRight w:val="0"/>
      <w:marTop w:val="0"/>
      <w:marBottom w:val="0"/>
      <w:divBdr>
        <w:top w:val="none" w:sz="0" w:space="0" w:color="auto"/>
        <w:left w:val="none" w:sz="0" w:space="0" w:color="auto"/>
        <w:bottom w:val="none" w:sz="0" w:space="0" w:color="auto"/>
        <w:right w:val="none" w:sz="0" w:space="0" w:color="auto"/>
      </w:divBdr>
    </w:div>
    <w:div w:id="1568884623">
      <w:bodyDiv w:val="1"/>
      <w:marLeft w:val="0"/>
      <w:marRight w:val="0"/>
      <w:marTop w:val="0"/>
      <w:marBottom w:val="0"/>
      <w:divBdr>
        <w:top w:val="none" w:sz="0" w:space="0" w:color="auto"/>
        <w:left w:val="none" w:sz="0" w:space="0" w:color="auto"/>
        <w:bottom w:val="none" w:sz="0" w:space="0" w:color="auto"/>
        <w:right w:val="none" w:sz="0" w:space="0" w:color="auto"/>
      </w:divBdr>
    </w:div>
    <w:div w:id="1594699320">
      <w:bodyDiv w:val="1"/>
      <w:marLeft w:val="0"/>
      <w:marRight w:val="0"/>
      <w:marTop w:val="0"/>
      <w:marBottom w:val="0"/>
      <w:divBdr>
        <w:top w:val="none" w:sz="0" w:space="0" w:color="auto"/>
        <w:left w:val="none" w:sz="0" w:space="0" w:color="auto"/>
        <w:bottom w:val="none" w:sz="0" w:space="0" w:color="auto"/>
        <w:right w:val="none" w:sz="0" w:space="0" w:color="auto"/>
      </w:divBdr>
    </w:div>
    <w:div w:id="1620988956">
      <w:bodyDiv w:val="1"/>
      <w:marLeft w:val="0"/>
      <w:marRight w:val="0"/>
      <w:marTop w:val="0"/>
      <w:marBottom w:val="0"/>
      <w:divBdr>
        <w:top w:val="none" w:sz="0" w:space="0" w:color="auto"/>
        <w:left w:val="none" w:sz="0" w:space="0" w:color="auto"/>
        <w:bottom w:val="none" w:sz="0" w:space="0" w:color="auto"/>
        <w:right w:val="none" w:sz="0" w:space="0" w:color="auto"/>
      </w:divBdr>
    </w:div>
    <w:div w:id="1622878446">
      <w:bodyDiv w:val="1"/>
      <w:marLeft w:val="0"/>
      <w:marRight w:val="0"/>
      <w:marTop w:val="0"/>
      <w:marBottom w:val="0"/>
      <w:divBdr>
        <w:top w:val="none" w:sz="0" w:space="0" w:color="auto"/>
        <w:left w:val="none" w:sz="0" w:space="0" w:color="auto"/>
        <w:bottom w:val="none" w:sz="0" w:space="0" w:color="auto"/>
        <w:right w:val="none" w:sz="0" w:space="0" w:color="auto"/>
      </w:divBdr>
    </w:div>
    <w:div w:id="1624076782">
      <w:bodyDiv w:val="1"/>
      <w:marLeft w:val="0"/>
      <w:marRight w:val="0"/>
      <w:marTop w:val="0"/>
      <w:marBottom w:val="0"/>
      <w:divBdr>
        <w:top w:val="none" w:sz="0" w:space="0" w:color="auto"/>
        <w:left w:val="none" w:sz="0" w:space="0" w:color="auto"/>
        <w:bottom w:val="none" w:sz="0" w:space="0" w:color="auto"/>
        <w:right w:val="none" w:sz="0" w:space="0" w:color="auto"/>
      </w:divBdr>
    </w:div>
    <w:div w:id="1627392826">
      <w:bodyDiv w:val="1"/>
      <w:marLeft w:val="0"/>
      <w:marRight w:val="0"/>
      <w:marTop w:val="0"/>
      <w:marBottom w:val="0"/>
      <w:divBdr>
        <w:top w:val="none" w:sz="0" w:space="0" w:color="auto"/>
        <w:left w:val="none" w:sz="0" w:space="0" w:color="auto"/>
        <w:bottom w:val="none" w:sz="0" w:space="0" w:color="auto"/>
        <w:right w:val="none" w:sz="0" w:space="0" w:color="auto"/>
      </w:divBdr>
    </w:div>
    <w:div w:id="1684816393">
      <w:bodyDiv w:val="1"/>
      <w:marLeft w:val="0"/>
      <w:marRight w:val="0"/>
      <w:marTop w:val="0"/>
      <w:marBottom w:val="0"/>
      <w:divBdr>
        <w:top w:val="none" w:sz="0" w:space="0" w:color="auto"/>
        <w:left w:val="none" w:sz="0" w:space="0" w:color="auto"/>
        <w:bottom w:val="none" w:sz="0" w:space="0" w:color="auto"/>
        <w:right w:val="none" w:sz="0" w:space="0" w:color="auto"/>
      </w:divBdr>
    </w:div>
    <w:div w:id="1724981716">
      <w:bodyDiv w:val="1"/>
      <w:marLeft w:val="0"/>
      <w:marRight w:val="0"/>
      <w:marTop w:val="0"/>
      <w:marBottom w:val="0"/>
      <w:divBdr>
        <w:top w:val="none" w:sz="0" w:space="0" w:color="auto"/>
        <w:left w:val="none" w:sz="0" w:space="0" w:color="auto"/>
        <w:bottom w:val="none" w:sz="0" w:space="0" w:color="auto"/>
        <w:right w:val="none" w:sz="0" w:space="0" w:color="auto"/>
      </w:divBdr>
    </w:div>
    <w:div w:id="1726373351">
      <w:bodyDiv w:val="1"/>
      <w:marLeft w:val="0"/>
      <w:marRight w:val="0"/>
      <w:marTop w:val="0"/>
      <w:marBottom w:val="0"/>
      <w:divBdr>
        <w:top w:val="none" w:sz="0" w:space="0" w:color="auto"/>
        <w:left w:val="none" w:sz="0" w:space="0" w:color="auto"/>
        <w:bottom w:val="none" w:sz="0" w:space="0" w:color="auto"/>
        <w:right w:val="none" w:sz="0" w:space="0" w:color="auto"/>
      </w:divBdr>
    </w:div>
    <w:div w:id="1740402479">
      <w:bodyDiv w:val="1"/>
      <w:marLeft w:val="0"/>
      <w:marRight w:val="0"/>
      <w:marTop w:val="0"/>
      <w:marBottom w:val="0"/>
      <w:divBdr>
        <w:top w:val="none" w:sz="0" w:space="0" w:color="auto"/>
        <w:left w:val="none" w:sz="0" w:space="0" w:color="auto"/>
        <w:bottom w:val="none" w:sz="0" w:space="0" w:color="auto"/>
        <w:right w:val="none" w:sz="0" w:space="0" w:color="auto"/>
      </w:divBdr>
    </w:div>
    <w:div w:id="1744911000">
      <w:bodyDiv w:val="1"/>
      <w:marLeft w:val="0"/>
      <w:marRight w:val="0"/>
      <w:marTop w:val="0"/>
      <w:marBottom w:val="0"/>
      <w:divBdr>
        <w:top w:val="none" w:sz="0" w:space="0" w:color="auto"/>
        <w:left w:val="none" w:sz="0" w:space="0" w:color="auto"/>
        <w:bottom w:val="none" w:sz="0" w:space="0" w:color="auto"/>
        <w:right w:val="none" w:sz="0" w:space="0" w:color="auto"/>
      </w:divBdr>
    </w:div>
    <w:div w:id="1759323343">
      <w:bodyDiv w:val="1"/>
      <w:marLeft w:val="0"/>
      <w:marRight w:val="0"/>
      <w:marTop w:val="0"/>
      <w:marBottom w:val="0"/>
      <w:divBdr>
        <w:top w:val="none" w:sz="0" w:space="0" w:color="auto"/>
        <w:left w:val="none" w:sz="0" w:space="0" w:color="auto"/>
        <w:bottom w:val="none" w:sz="0" w:space="0" w:color="auto"/>
        <w:right w:val="none" w:sz="0" w:space="0" w:color="auto"/>
      </w:divBdr>
    </w:div>
    <w:div w:id="1766682137">
      <w:bodyDiv w:val="1"/>
      <w:marLeft w:val="0"/>
      <w:marRight w:val="0"/>
      <w:marTop w:val="0"/>
      <w:marBottom w:val="0"/>
      <w:divBdr>
        <w:top w:val="none" w:sz="0" w:space="0" w:color="auto"/>
        <w:left w:val="none" w:sz="0" w:space="0" w:color="auto"/>
        <w:bottom w:val="none" w:sz="0" w:space="0" w:color="auto"/>
        <w:right w:val="none" w:sz="0" w:space="0" w:color="auto"/>
      </w:divBdr>
    </w:div>
    <w:div w:id="1770618481">
      <w:bodyDiv w:val="1"/>
      <w:marLeft w:val="0"/>
      <w:marRight w:val="0"/>
      <w:marTop w:val="0"/>
      <w:marBottom w:val="0"/>
      <w:divBdr>
        <w:top w:val="none" w:sz="0" w:space="0" w:color="auto"/>
        <w:left w:val="none" w:sz="0" w:space="0" w:color="auto"/>
        <w:bottom w:val="none" w:sz="0" w:space="0" w:color="auto"/>
        <w:right w:val="none" w:sz="0" w:space="0" w:color="auto"/>
      </w:divBdr>
    </w:div>
    <w:div w:id="1791240453">
      <w:bodyDiv w:val="1"/>
      <w:marLeft w:val="0"/>
      <w:marRight w:val="0"/>
      <w:marTop w:val="0"/>
      <w:marBottom w:val="0"/>
      <w:divBdr>
        <w:top w:val="none" w:sz="0" w:space="0" w:color="auto"/>
        <w:left w:val="none" w:sz="0" w:space="0" w:color="auto"/>
        <w:bottom w:val="none" w:sz="0" w:space="0" w:color="auto"/>
        <w:right w:val="none" w:sz="0" w:space="0" w:color="auto"/>
      </w:divBdr>
    </w:div>
    <w:div w:id="1801804982">
      <w:bodyDiv w:val="1"/>
      <w:marLeft w:val="0"/>
      <w:marRight w:val="0"/>
      <w:marTop w:val="0"/>
      <w:marBottom w:val="0"/>
      <w:divBdr>
        <w:top w:val="none" w:sz="0" w:space="0" w:color="auto"/>
        <w:left w:val="none" w:sz="0" w:space="0" w:color="auto"/>
        <w:bottom w:val="none" w:sz="0" w:space="0" w:color="auto"/>
        <w:right w:val="none" w:sz="0" w:space="0" w:color="auto"/>
      </w:divBdr>
    </w:div>
    <w:div w:id="1813715742">
      <w:bodyDiv w:val="1"/>
      <w:marLeft w:val="0"/>
      <w:marRight w:val="0"/>
      <w:marTop w:val="0"/>
      <w:marBottom w:val="0"/>
      <w:divBdr>
        <w:top w:val="none" w:sz="0" w:space="0" w:color="auto"/>
        <w:left w:val="none" w:sz="0" w:space="0" w:color="auto"/>
        <w:bottom w:val="none" w:sz="0" w:space="0" w:color="auto"/>
        <w:right w:val="none" w:sz="0" w:space="0" w:color="auto"/>
      </w:divBdr>
    </w:div>
    <w:div w:id="1846749799">
      <w:bodyDiv w:val="1"/>
      <w:marLeft w:val="0"/>
      <w:marRight w:val="0"/>
      <w:marTop w:val="0"/>
      <w:marBottom w:val="0"/>
      <w:divBdr>
        <w:top w:val="none" w:sz="0" w:space="0" w:color="auto"/>
        <w:left w:val="none" w:sz="0" w:space="0" w:color="auto"/>
        <w:bottom w:val="none" w:sz="0" w:space="0" w:color="auto"/>
        <w:right w:val="none" w:sz="0" w:space="0" w:color="auto"/>
      </w:divBdr>
    </w:div>
    <w:div w:id="1867283817">
      <w:bodyDiv w:val="1"/>
      <w:marLeft w:val="0"/>
      <w:marRight w:val="0"/>
      <w:marTop w:val="0"/>
      <w:marBottom w:val="0"/>
      <w:divBdr>
        <w:top w:val="none" w:sz="0" w:space="0" w:color="auto"/>
        <w:left w:val="none" w:sz="0" w:space="0" w:color="auto"/>
        <w:bottom w:val="none" w:sz="0" w:space="0" w:color="auto"/>
        <w:right w:val="none" w:sz="0" w:space="0" w:color="auto"/>
      </w:divBdr>
    </w:div>
    <w:div w:id="1884514738">
      <w:bodyDiv w:val="1"/>
      <w:marLeft w:val="0"/>
      <w:marRight w:val="0"/>
      <w:marTop w:val="0"/>
      <w:marBottom w:val="0"/>
      <w:divBdr>
        <w:top w:val="none" w:sz="0" w:space="0" w:color="auto"/>
        <w:left w:val="none" w:sz="0" w:space="0" w:color="auto"/>
        <w:bottom w:val="none" w:sz="0" w:space="0" w:color="auto"/>
        <w:right w:val="none" w:sz="0" w:space="0" w:color="auto"/>
      </w:divBdr>
    </w:div>
    <w:div w:id="1891530271">
      <w:bodyDiv w:val="1"/>
      <w:marLeft w:val="0"/>
      <w:marRight w:val="0"/>
      <w:marTop w:val="0"/>
      <w:marBottom w:val="0"/>
      <w:divBdr>
        <w:top w:val="none" w:sz="0" w:space="0" w:color="auto"/>
        <w:left w:val="none" w:sz="0" w:space="0" w:color="auto"/>
        <w:bottom w:val="none" w:sz="0" w:space="0" w:color="auto"/>
        <w:right w:val="none" w:sz="0" w:space="0" w:color="auto"/>
      </w:divBdr>
    </w:div>
    <w:div w:id="1894390178">
      <w:bodyDiv w:val="1"/>
      <w:marLeft w:val="0"/>
      <w:marRight w:val="0"/>
      <w:marTop w:val="0"/>
      <w:marBottom w:val="0"/>
      <w:divBdr>
        <w:top w:val="none" w:sz="0" w:space="0" w:color="auto"/>
        <w:left w:val="none" w:sz="0" w:space="0" w:color="auto"/>
        <w:bottom w:val="none" w:sz="0" w:space="0" w:color="auto"/>
        <w:right w:val="none" w:sz="0" w:space="0" w:color="auto"/>
      </w:divBdr>
    </w:div>
    <w:div w:id="1917743605">
      <w:bodyDiv w:val="1"/>
      <w:marLeft w:val="0"/>
      <w:marRight w:val="0"/>
      <w:marTop w:val="0"/>
      <w:marBottom w:val="0"/>
      <w:divBdr>
        <w:top w:val="none" w:sz="0" w:space="0" w:color="auto"/>
        <w:left w:val="none" w:sz="0" w:space="0" w:color="auto"/>
        <w:bottom w:val="none" w:sz="0" w:space="0" w:color="auto"/>
        <w:right w:val="none" w:sz="0" w:space="0" w:color="auto"/>
      </w:divBdr>
    </w:div>
    <w:div w:id="1945068239">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78533835">
      <w:bodyDiv w:val="1"/>
      <w:marLeft w:val="0"/>
      <w:marRight w:val="0"/>
      <w:marTop w:val="0"/>
      <w:marBottom w:val="0"/>
      <w:divBdr>
        <w:top w:val="none" w:sz="0" w:space="0" w:color="auto"/>
        <w:left w:val="none" w:sz="0" w:space="0" w:color="auto"/>
        <w:bottom w:val="none" w:sz="0" w:space="0" w:color="auto"/>
        <w:right w:val="none" w:sz="0" w:space="0" w:color="auto"/>
      </w:divBdr>
    </w:div>
    <w:div w:id="2016419575">
      <w:bodyDiv w:val="1"/>
      <w:marLeft w:val="0"/>
      <w:marRight w:val="0"/>
      <w:marTop w:val="0"/>
      <w:marBottom w:val="0"/>
      <w:divBdr>
        <w:top w:val="none" w:sz="0" w:space="0" w:color="auto"/>
        <w:left w:val="none" w:sz="0" w:space="0" w:color="auto"/>
        <w:bottom w:val="none" w:sz="0" w:space="0" w:color="auto"/>
        <w:right w:val="none" w:sz="0" w:space="0" w:color="auto"/>
      </w:divBdr>
    </w:div>
    <w:div w:id="2038386778">
      <w:bodyDiv w:val="1"/>
      <w:marLeft w:val="0"/>
      <w:marRight w:val="0"/>
      <w:marTop w:val="0"/>
      <w:marBottom w:val="0"/>
      <w:divBdr>
        <w:top w:val="none" w:sz="0" w:space="0" w:color="auto"/>
        <w:left w:val="none" w:sz="0" w:space="0" w:color="auto"/>
        <w:bottom w:val="none" w:sz="0" w:space="0" w:color="auto"/>
        <w:right w:val="none" w:sz="0" w:space="0" w:color="auto"/>
      </w:divBdr>
    </w:div>
    <w:div w:id="2045255100">
      <w:bodyDiv w:val="1"/>
      <w:marLeft w:val="0"/>
      <w:marRight w:val="0"/>
      <w:marTop w:val="0"/>
      <w:marBottom w:val="0"/>
      <w:divBdr>
        <w:top w:val="none" w:sz="0" w:space="0" w:color="auto"/>
        <w:left w:val="none" w:sz="0" w:space="0" w:color="auto"/>
        <w:bottom w:val="none" w:sz="0" w:space="0" w:color="auto"/>
        <w:right w:val="none" w:sz="0" w:space="0" w:color="auto"/>
      </w:divBdr>
    </w:div>
    <w:div w:id="2054770726">
      <w:bodyDiv w:val="1"/>
      <w:marLeft w:val="0"/>
      <w:marRight w:val="0"/>
      <w:marTop w:val="0"/>
      <w:marBottom w:val="0"/>
      <w:divBdr>
        <w:top w:val="none" w:sz="0" w:space="0" w:color="auto"/>
        <w:left w:val="none" w:sz="0" w:space="0" w:color="auto"/>
        <w:bottom w:val="none" w:sz="0" w:space="0" w:color="auto"/>
        <w:right w:val="none" w:sz="0" w:space="0" w:color="auto"/>
      </w:divBdr>
    </w:div>
    <w:div w:id="2073040560">
      <w:bodyDiv w:val="1"/>
      <w:marLeft w:val="0"/>
      <w:marRight w:val="0"/>
      <w:marTop w:val="0"/>
      <w:marBottom w:val="0"/>
      <w:divBdr>
        <w:top w:val="none" w:sz="0" w:space="0" w:color="auto"/>
        <w:left w:val="none" w:sz="0" w:space="0" w:color="auto"/>
        <w:bottom w:val="none" w:sz="0" w:space="0" w:color="auto"/>
        <w:right w:val="none" w:sz="0" w:space="0" w:color="auto"/>
      </w:divBdr>
    </w:div>
    <w:div w:id="2074159833">
      <w:bodyDiv w:val="1"/>
      <w:marLeft w:val="0"/>
      <w:marRight w:val="0"/>
      <w:marTop w:val="0"/>
      <w:marBottom w:val="0"/>
      <w:divBdr>
        <w:top w:val="none" w:sz="0" w:space="0" w:color="auto"/>
        <w:left w:val="none" w:sz="0" w:space="0" w:color="auto"/>
        <w:bottom w:val="none" w:sz="0" w:space="0" w:color="auto"/>
        <w:right w:val="none" w:sz="0" w:space="0" w:color="auto"/>
      </w:divBdr>
    </w:div>
    <w:div w:id="2100830346">
      <w:bodyDiv w:val="1"/>
      <w:marLeft w:val="0"/>
      <w:marRight w:val="0"/>
      <w:marTop w:val="0"/>
      <w:marBottom w:val="0"/>
      <w:divBdr>
        <w:top w:val="none" w:sz="0" w:space="0" w:color="auto"/>
        <w:left w:val="none" w:sz="0" w:space="0" w:color="auto"/>
        <w:bottom w:val="none" w:sz="0" w:space="0" w:color="auto"/>
        <w:right w:val="none" w:sz="0" w:space="0" w:color="auto"/>
      </w:divBdr>
    </w:div>
    <w:div w:id="2103182584">
      <w:bodyDiv w:val="1"/>
      <w:marLeft w:val="0"/>
      <w:marRight w:val="0"/>
      <w:marTop w:val="0"/>
      <w:marBottom w:val="0"/>
      <w:divBdr>
        <w:top w:val="none" w:sz="0" w:space="0" w:color="auto"/>
        <w:left w:val="none" w:sz="0" w:space="0" w:color="auto"/>
        <w:bottom w:val="none" w:sz="0" w:space="0" w:color="auto"/>
        <w:right w:val="none" w:sz="0" w:space="0" w:color="auto"/>
      </w:divBdr>
    </w:div>
    <w:div w:id="2105219560">
      <w:bodyDiv w:val="1"/>
      <w:marLeft w:val="0"/>
      <w:marRight w:val="0"/>
      <w:marTop w:val="0"/>
      <w:marBottom w:val="0"/>
      <w:divBdr>
        <w:top w:val="none" w:sz="0" w:space="0" w:color="auto"/>
        <w:left w:val="none" w:sz="0" w:space="0" w:color="auto"/>
        <w:bottom w:val="none" w:sz="0" w:space="0" w:color="auto"/>
        <w:right w:val="none" w:sz="0" w:space="0" w:color="auto"/>
      </w:divBdr>
    </w:div>
    <w:div w:id="2108191426">
      <w:bodyDiv w:val="1"/>
      <w:marLeft w:val="0"/>
      <w:marRight w:val="0"/>
      <w:marTop w:val="0"/>
      <w:marBottom w:val="0"/>
      <w:divBdr>
        <w:top w:val="none" w:sz="0" w:space="0" w:color="auto"/>
        <w:left w:val="none" w:sz="0" w:space="0" w:color="auto"/>
        <w:bottom w:val="none" w:sz="0" w:space="0" w:color="auto"/>
        <w:right w:val="none" w:sz="0" w:space="0" w:color="auto"/>
      </w:divBdr>
    </w:div>
    <w:div w:id="2108377993">
      <w:bodyDiv w:val="1"/>
      <w:marLeft w:val="0"/>
      <w:marRight w:val="0"/>
      <w:marTop w:val="0"/>
      <w:marBottom w:val="0"/>
      <w:divBdr>
        <w:top w:val="none" w:sz="0" w:space="0" w:color="auto"/>
        <w:left w:val="none" w:sz="0" w:space="0" w:color="auto"/>
        <w:bottom w:val="none" w:sz="0" w:space="0" w:color="auto"/>
        <w:right w:val="none" w:sz="0" w:space="0" w:color="auto"/>
      </w:divBdr>
    </w:div>
    <w:div w:id="2113279516">
      <w:bodyDiv w:val="1"/>
      <w:marLeft w:val="0"/>
      <w:marRight w:val="0"/>
      <w:marTop w:val="0"/>
      <w:marBottom w:val="0"/>
      <w:divBdr>
        <w:top w:val="none" w:sz="0" w:space="0" w:color="auto"/>
        <w:left w:val="none" w:sz="0" w:space="0" w:color="auto"/>
        <w:bottom w:val="none" w:sz="0" w:space="0" w:color="auto"/>
        <w:right w:val="none" w:sz="0" w:space="0" w:color="auto"/>
      </w:divBdr>
    </w:div>
    <w:div w:id="2140101544">
      <w:bodyDiv w:val="1"/>
      <w:marLeft w:val="0"/>
      <w:marRight w:val="0"/>
      <w:marTop w:val="0"/>
      <w:marBottom w:val="0"/>
      <w:divBdr>
        <w:top w:val="none" w:sz="0" w:space="0" w:color="auto"/>
        <w:left w:val="none" w:sz="0" w:space="0" w:color="auto"/>
        <w:bottom w:val="none" w:sz="0" w:space="0" w:color="auto"/>
        <w:right w:val="none" w:sz="0" w:space="0" w:color="auto"/>
      </w:divBdr>
    </w:div>
    <w:div w:id="21443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o4sd.esa.int/" TargetMode="External"/><Relationship Id="rId18" Type="http://schemas.openxmlformats.org/officeDocument/2006/relationships/image" Target="https://lh6.googleusercontent.com/NUjiMzE0HUVJFLtiIwk-IV-UUhD5YUob9Fi61G9mux8ZvEiMliQbpUOOsSlNIPzzS9S5_ku6ci-Ej97WKcIbg9EuW6oXQAaIWeDJmEu17ouDnHH5nzPxKtGEAyYl1PDj6TwI4YQ" TargetMode="External"/><Relationship Id="rId26" Type="http://schemas.openxmlformats.org/officeDocument/2006/relationships/hyperlink" Target="http://www.undp.org/content/undp/en/home/operations/accountability/evaluation/evaluation_policyofundp.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hyperlink" Target="http://www.undp.org/content/undp/en/home/operations/accountability/programme_and_operationspoliciesandprocedures.html"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lh6.googleusercontent.com/rdXmr6_TelvOxPSLyEljJywfhTc-eSFSCzsBWrtwn02lRUeW7w887zQmegNfPLnseC8OYDqdfd_m17QqbxC6JWHnRfgH01r68HNDagN6a_HPQ4qmRnHpt_5YfzrWrXnWo60jcuo" TargetMode="External"/><Relationship Id="rId20" Type="http://schemas.openxmlformats.org/officeDocument/2006/relationships/image" Target="media/image8.png"/><Relationship Id="rId29" Type="http://schemas.openxmlformats.org/officeDocument/2006/relationships/hyperlink" Target="https://www.thegef.org/documents/policies-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iwlearn.net/resolveuid/9bf836dc-5a96-4b58-82dd-b00c98494b7b" TargetMode="External"/><Relationship Id="rId32" Type="http://schemas.openxmlformats.org/officeDocument/2006/relationships/hyperlink" Target="http://web.undp.org/evaluation/guidance.shtml" TargetMode="External"/><Relationship Id="rId37"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unece.org/environmental-policy/conventions/water/areas-of-work-of-the-convention/financing-of-transboundary-water-cooperation.html" TargetMode="External"/><Relationship Id="rId28" Type="http://schemas.openxmlformats.org/officeDocument/2006/relationships/hyperlink" Target="https://www.thegef.org/sites/default/files/council-meeting-documents/EN_GEF.ME_C56_02_GEF_Evaluation_Policy_May_2019_0.pdf" TargetMode="External"/><Relationship Id="rId36" Type="http://schemas.openxmlformats.org/officeDocument/2006/relationships/hyperlink" Target="http://www.un.org/sc/committees/1267/aq_sanctions_list.shtml"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web.undp.org/evaluation/guidance.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wlearn.net/learning/twinning/twinning-exchanges/pacific-iw-r2r-regional-knowledge-exchange-improved-domestic-pig-waste-management" TargetMode="External"/><Relationship Id="rId22" Type="http://schemas.openxmlformats.org/officeDocument/2006/relationships/hyperlink" Target="https://iwlearn.net/resolveuid/9bf836dc-5a96-4b58-82dd-b00c98494b7b" TargetMode="External"/><Relationship Id="rId27" Type="http://schemas.openxmlformats.org/officeDocument/2006/relationships/hyperlink" Target="https://www.thegef.org/sites/default/files/council-meeting-documents/GEF-C.56-03%2C%20Policy%20on%20Monitoring.pdf" TargetMode="External"/><Relationship Id="rId30" Type="http://schemas.openxmlformats.org/officeDocument/2006/relationships/hyperlink" Target="https://www.thegef.org/sites/default/files/documents/Results_Guidelines.pdf" TargetMode="External"/><Relationship Id="rId35" Type="http://schemas.openxmlformats.org/officeDocument/2006/relationships/hyperlink" Target="https://intranet.undp.org/global/documents/ppm/Supplement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idsdock.org" TargetMode="External"/><Relationship Id="rId7"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s://www.un.org/esa/sustdev/sids/sidslist.htm" TargetMode="External"/><Relationship Id="rId1" Type="http://schemas.openxmlformats.org/officeDocument/2006/relationships/hyperlink" Target="https://www.thegef.org/sites/default/files/project_documents/3900_4219_2014_TE_UNEP_UNDP_GLOBAL_IW_MSP_%2520IWLEARN.pdf" TargetMode="External"/><Relationship Id="rId6" Type="http://schemas.openxmlformats.org/officeDocument/2006/relationships/hyperlink" Target="https://www.thegef.org/gef/policies_guidelines" TargetMode="External"/><Relationship Id="rId5" Type="http://schemas.openxmlformats.org/officeDocument/2006/relationships/hyperlink" Target="https://www.thegef.org/sites/default/files/council-meeting-documents/EN_GEF_C.58_05_GEFs%20Private%20Sector%20Engagement%20Strategy_0.pdf" TargetMode="External"/><Relationship Id="rId4" Type="http://schemas.openxmlformats.org/officeDocument/2006/relationships/hyperlink" Target="https://sidspartnerships.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3F881-35AE-4F77-823B-9FC6AD0DC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4711</TotalTime>
  <Pages>178</Pages>
  <Words>68918</Words>
  <Characters>392836</Characters>
  <Application>Microsoft Office Word</Application>
  <DocSecurity>0</DocSecurity>
  <Lines>3273</Lines>
  <Paragraphs>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Jover, Alejandro</dc:creator>
  <cp:keywords/>
  <dc:description/>
  <cp:lastModifiedBy>Spiteri, Claudette</cp:lastModifiedBy>
  <cp:revision>46</cp:revision>
  <dcterms:created xsi:type="dcterms:W3CDTF">2022-09-23T13:21:00Z</dcterms:created>
  <dcterms:modified xsi:type="dcterms:W3CDTF">2022-10-13T13:11:00Z</dcterms:modified>
</cp:coreProperties>
</file>